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7 -->
  <w:body>
    <w:p w:rsidR="005C6E47" w:rsidRPr="00650FF1" w:rsidP="005C6E47">
      <w:r>
        <w:rPr>
          <w:noProof/>
          <w:snapToGrid/>
          <w:lang w:val="fr-FR" w:eastAsia="fr-FR"/>
        </w:rPr>
        <mc:AlternateContent>
          <mc:Choice Requires="wps">
            <w:drawing>
              <wp:anchor distT="0" distB="0" distL="114300" distR="114300" simplePos="0" relativeHeight="251669504" behindDoc="0" locked="0" layoutInCell="1" allowOverlap="1">
                <wp:simplePos x="0" y="0"/>
                <wp:positionH relativeFrom="column">
                  <wp:posOffset>3587115</wp:posOffset>
                </wp:positionH>
                <wp:positionV relativeFrom="paragraph">
                  <wp:posOffset>2782570</wp:posOffset>
                </wp:positionV>
                <wp:extent cx="3228975" cy="714375"/>
                <wp:effectExtent l="0" t="0" r="9525" b="9525"/>
                <wp:wrapNone/>
                <wp:docPr id="45" name="Text Box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8975" cy="714375"/>
                        </a:xfrm>
                        <a:prstGeom prst="rect">
                          <a:avLst/>
                        </a:prstGeom>
                        <a:solidFill>
                          <a:schemeClr val="bg1">
                            <a:lumMod val="85000"/>
                          </a:schemeClr>
                        </a:solidFill>
                        <a:ln w="6350">
                          <a:noFill/>
                        </a:ln>
                      </wps:spPr>
                      <wps:txbx>
                        <w:txbxContent>
                          <w:p w:rsidR="006576F2" w:rsidRPr="006576F2" w:rsidP="006576F2">
                            <w:pPr>
                              <w:jc w:val="center"/>
                              <w:rPr>
                                <w:rFonts w:asciiTheme="minorHAnsi" w:hAnsiTheme="minorHAnsi" w:cstheme="minorHAnsi"/>
                                <w:b/>
                                <w:color w:val="17365D" w:themeColor="text2" w:themeShade="BF"/>
                                <w:sz w:val="52"/>
                                <w:szCs w:val="52"/>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pPr>
                            <w:r w:rsidRPr="006576F2">
                              <w:rPr>
                                <w:rFonts w:asciiTheme="minorHAnsi" w:hAnsiTheme="minorHAnsi" w:cstheme="minorHAnsi"/>
                                <w:b/>
                                <w:color w:val="17365D" w:themeColor="text2" w:themeShade="BF"/>
                                <w:sz w:val="52"/>
                                <w:szCs w:val="52"/>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Annual Report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5" type="#_x0000_t202" style="width:254.25pt;height:56.25pt;margin-top:219.1pt;margin-left:282.45pt;mso-height-percent:0;mso-height-relative:margin;mso-wrap-distance-bottom:0;mso-wrap-distance-left:9pt;mso-wrap-distance-right:9pt;mso-wrap-distance-top:0;mso-wrap-style:square;position:absolute;visibility:visible;v-text-anchor:top;z-index:251670528" fillcolor="#d8d8d8" stroked="f" strokeweight="0.5pt">
                <v:textbox>
                  <w:txbxContent>
                    <w:p w:rsidR="006576F2" w:rsidRPr="006576F2" w:rsidP="006576F2">
                      <w:pPr>
                        <w:jc w:val="center"/>
                        <w:rPr>
                          <w:rFonts w:asciiTheme="minorHAnsi" w:hAnsiTheme="minorHAnsi" w:cstheme="minorHAnsi"/>
                          <w:b/>
                          <w:color w:val="17365D" w:themeColor="text2" w:themeShade="BF"/>
                          <w:sz w:val="52"/>
                          <w:szCs w:val="52"/>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pPr>
                      <w:r w:rsidRPr="006576F2">
                        <w:rPr>
                          <w:rFonts w:asciiTheme="minorHAnsi" w:hAnsiTheme="minorHAnsi" w:cstheme="minorHAnsi"/>
                          <w:b/>
                          <w:color w:val="17365D" w:themeColor="text2" w:themeShade="BF"/>
                          <w:sz w:val="52"/>
                          <w:szCs w:val="52"/>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Annual Report</w:t>
                      </w:r>
                    </w:p>
                  </w:txbxContent>
                </v:textbox>
              </v:shape>
            </w:pict>
          </mc:Fallback>
        </mc:AlternateContent>
      </w:r>
      <w:r>
        <w:rPr>
          <w:noProof/>
          <w:snapToGrid/>
          <w:lang w:val="fr-FR" w:eastAsia="fr-FR"/>
        </w:rPr>
        <mc:AlternateContent>
          <mc:Choice Requires="wps">
            <w:drawing>
              <wp:anchor distT="0" distB="0" distL="114300" distR="114300" simplePos="0" relativeHeight="251671552" behindDoc="0" locked="0" layoutInCell="1" allowOverlap="1">
                <wp:simplePos x="0" y="0"/>
                <wp:positionH relativeFrom="column">
                  <wp:posOffset>3053715</wp:posOffset>
                </wp:positionH>
                <wp:positionV relativeFrom="paragraph">
                  <wp:posOffset>4782820</wp:posOffset>
                </wp:positionV>
                <wp:extent cx="3857625" cy="762000"/>
                <wp:effectExtent l="0" t="0" r="9525" b="0"/>
                <wp:wrapNone/>
                <wp:docPr id="50" name="Text Box 50"/>
                <wp:cNvGraphicFramePr/>
                <a:graphic xmlns:a="http://schemas.openxmlformats.org/drawingml/2006/main">
                  <a:graphicData uri="http://schemas.microsoft.com/office/word/2010/wordprocessingShape">
                    <wps:wsp xmlns:wps="http://schemas.microsoft.com/office/word/2010/wordprocessingShape">
                      <wps:cNvSpPr txBox="1"/>
                      <wps:spPr>
                        <a:xfrm>
                          <a:off x="0" y="0"/>
                          <a:ext cx="3857625" cy="762000"/>
                        </a:xfrm>
                        <a:prstGeom prst="rect">
                          <a:avLst/>
                        </a:prstGeom>
                        <a:solidFill>
                          <a:schemeClr val="bg1">
                            <a:lumMod val="85000"/>
                          </a:schemeClr>
                        </a:solidFill>
                        <a:ln w="6350">
                          <a:noFill/>
                        </a:ln>
                      </wps:spPr>
                      <wps:txbx>
                        <w:txbxContent>
                          <w:p w:rsidR="006576F2" w:rsidRPr="006576F2" w:rsidP="006576F2">
                            <w:pPr>
                              <w:jc w:val="right"/>
                              <w:rPr>
                                <w:rFonts w:asciiTheme="minorHAnsi" w:hAnsiTheme="minorHAnsi" w:cstheme="minorHAnsi"/>
                                <w:b/>
                                <w:sz w:val="44"/>
                                <w:szCs w:val="44"/>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pP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Status</w:t>
                            </w: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 xml:space="preserve"> up to 31 </w:t>
                            </w: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December</w:t>
                            </w: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 xml:space="preserve"> 2017</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50" o:spid="_x0000_s1026" type="#_x0000_t202" style="width:303.75pt;height:60pt;margin-top:376.6pt;margin-left:240.45pt;mso-width-percent:0;mso-width-relative:margin;mso-wrap-distance-bottom:0;mso-wrap-distance-left:9pt;mso-wrap-distance-right:9pt;mso-wrap-distance-top:0;mso-wrap-style:square;position:absolute;visibility:visible;v-text-anchor:top;z-index:251672576" fillcolor="#d8d8d8" stroked="f" strokeweight="0.5pt">
                <v:textbox>
                  <w:txbxContent>
                    <w:p w:rsidR="006576F2" w:rsidRPr="006576F2" w:rsidP="006576F2">
                      <w:pPr>
                        <w:jc w:val="right"/>
                        <w:rPr>
                          <w:rFonts w:asciiTheme="minorHAnsi" w:hAnsiTheme="minorHAnsi" w:cstheme="minorHAnsi"/>
                          <w:b/>
                          <w:sz w:val="44"/>
                          <w:szCs w:val="44"/>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pP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Status</w:t>
                      </w: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 xml:space="preserve"> up to 31 </w:t>
                      </w: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December</w:t>
                      </w:r>
                      <w:r w:rsidRPr="006576F2">
                        <w:rPr>
                          <w:rFonts w:asciiTheme="minorHAnsi" w:hAnsiTheme="minorHAnsi" w:cstheme="minorHAnsi"/>
                          <w:b/>
                          <w:bCs/>
                          <w:snapToGrid/>
                          <w:sz w:val="44"/>
                          <w:szCs w:val="44"/>
                          <w:lang w:val="fr-FR" w:eastAsia="es-ES_tradnl"/>
                          <w14:shadow w14:blurRad="12700" w14:dist="38100" w14:dir="2700000" w14:sx="100000" w14:sy="100000" w14:kx="0" w14:ky="0" w14:algn="tl">
                            <w14:schemeClr w14:val="accent5">
                              <w14:lumMod w14:val="60000"/>
                              <w14:lumOff w14:val="40000"/>
                            </w14:schemeClr>
                          </w14:shadow>
                          <w14:textOutline w14:w="9525">
                            <w14:solidFill>
                              <w14:schemeClr w14:val="bg1"/>
                            </w14:solidFill>
                            <w14:round/>
                          </w14:textOutline>
                        </w:rPr>
                        <w:t xml:space="preserve"> 2017</w:t>
                      </w:r>
                    </w:p>
                  </w:txbxContent>
                </v:textbox>
              </v:shape>
            </w:pict>
          </mc:Fallback>
        </mc:AlternateContent>
      </w:r>
      <w:r w:rsidRPr="00650FF1" w:rsidR="00140FC2">
        <w:rPr>
          <w:noProof/>
          <w:lang w:val="fr-FR" w:eastAsia="fr-FR"/>
        </w:rPr>
        <w:drawing>
          <wp:inline distT="0" distB="0" distL="0" distR="0">
            <wp:extent cx="6981825" cy="9906000"/>
            <wp:effectExtent l="0" t="0" r="9525" b="0"/>
            <wp:docPr id="8" name="Imagen 1"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69238" name="Picture 1" descr="Diapositiva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981825" cy="9906000"/>
                    </a:xfrm>
                    <a:prstGeom prst="rect">
                      <a:avLst/>
                    </a:prstGeom>
                    <a:noFill/>
                    <a:ln>
                      <a:noFill/>
                    </a:ln>
                  </pic:spPr>
                </pic:pic>
              </a:graphicData>
            </a:graphic>
          </wp:inline>
        </w:drawing>
      </w:r>
    </w:p>
    <w:p w:rsidR="005C6E47" w:rsidRPr="00650FF1" w:rsidP="005C6E47">
      <w:pPr>
        <w:pStyle w:val="Ueber1"/>
        <w:tabs>
          <w:tab w:val="clear" w:pos="567"/>
        </w:tabs>
        <w:spacing w:before="120" w:after="0" w:line="240" w:lineRule="auto"/>
        <w:ind w:left="0" w:firstLine="0"/>
        <w:jc w:val="center"/>
        <w:rPr>
          <w:rFonts w:ascii="Calibri" w:hAnsi="Calibri"/>
          <w:bCs w:val="0"/>
          <w:kern w:val="0"/>
          <w:lang w:val="es-ES_tradnl"/>
        </w:rPr>
      </w:pPr>
    </w:p>
    <w:p w:rsidR="005C6E47" w:rsidRPr="00650FF1" w:rsidP="005C6E47">
      <w:pPr>
        <w:jc w:val="center"/>
      </w:pPr>
      <w:r w:rsidRPr="00650FF1">
        <w:rPr>
          <w:noProof/>
          <w:lang w:val="fr-FR" w:eastAsia="fr-FR"/>
        </w:rPr>
        <w:drawing>
          <wp:inline distT="0" distB="0" distL="0" distR="0">
            <wp:extent cx="3380740" cy="485140"/>
            <wp:effectExtent l="0" t="0" r="0" b="0"/>
            <wp:docPr id="56" name="Imagen 20" descr="LOGO AESF (EUROPA-GOB-M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86177" name="Picture 20" descr="LOGO AESF (EUROPA-GOB-MFO)"/>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0740" cy="485140"/>
                    </a:xfrm>
                    <a:prstGeom prst="rect">
                      <a:avLst/>
                    </a:prstGeom>
                    <a:noFill/>
                    <a:ln>
                      <a:noFill/>
                    </a:ln>
                  </pic:spPr>
                </pic:pic>
              </a:graphicData>
            </a:graphic>
          </wp:inline>
        </w:drawing>
      </w:r>
    </w:p>
    <w:p w:rsidR="005C6E47" w:rsidRPr="00650FF1" w:rsidP="005C6E47">
      <w:pPr>
        <w:pStyle w:val="Ueber1"/>
        <w:tabs>
          <w:tab w:val="clear" w:pos="567"/>
        </w:tabs>
        <w:spacing w:before="120" w:after="0" w:line="240" w:lineRule="auto"/>
        <w:ind w:left="0" w:firstLine="0"/>
        <w:jc w:val="center"/>
        <w:rPr>
          <w:rFonts w:ascii="Calibri" w:hAnsi="Calibri" w:cs="Times New Roman"/>
          <w:bCs w:val="0"/>
          <w:i/>
          <w:kern w:val="0"/>
          <w:sz w:val="20"/>
          <w:szCs w:val="42"/>
          <w:lang w:val="es-ES_tradnl"/>
        </w:rPr>
      </w:pPr>
    </w:p>
    <w:p w:rsidR="005C6E47" w:rsidRPr="00650FF1" w:rsidP="005C6E47">
      <w:pPr>
        <w:jc w:val="center"/>
        <w:rPr>
          <w:rFonts w:asciiTheme="minorHAnsi" w:hAnsiTheme="minorHAnsi" w:cstheme="minorHAnsi"/>
          <w:b/>
          <w:i/>
          <w:sz w:val="42"/>
          <w:szCs w:val="42"/>
        </w:rPr>
      </w:pPr>
      <w:r w:rsidRPr="00650FF1">
        <w:rPr>
          <w:rFonts w:asciiTheme="minorHAnsi" w:hAnsiTheme="minorHAnsi"/>
          <w:b/>
          <w:i/>
          <w:sz w:val="42"/>
          <w:szCs w:val="42"/>
        </w:rPr>
        <w:t>National Railway Safety Agency</w:t>
      </w:r>
    </w:p>
    <w:p w:rsidR="005C6E47" w:rsidRPr="00650FF1" w:rsidP="005C6E47">
      <w:pPr>
        <w:jc w:val="center"/>
        <w:rPr>
          <w:rFonts w:asciiTheme="minorHAnsi" w:hAnsiTheme="minorHAnsi" w:cstheme="minorHAnsi"/>
          <w:b/>
          <w:i/>
          <w:sz w:val="42"/>
          <w:szCs w:val="42"/>
          <w:lang w:val="es-ES_tradnl"/>
        </w:rPr>
      </w:pPr>
    </w:p>
    <w:p w:rsidR="005C6E47" w:rsidRPr="00650FF1" w:rsidP="005C6E47">
      <w:pPr>
        <w:jc w:val="center"/>
        <w:rPr>
          <w:rFonts w:asciiTheme="minorHAnsi" w:hAnsiTheme="minorHAnsi" w:cstheme="minorHAnsi"/>
          <w:b/>
          <w:i/>
          <w:sz w:val="42"/>
          <w:szCs w:val="42"/>
          <w:lang w:val="es-ES_tradnl"/>
        </w:rPr>
      </w:pPr>
    </w:p>
    <w:p w:rsidR="005C6E47" w:rsidRPr="00650FF1" w:rsidP="005C6E47">
      <w:pPr>
        <w:jc w:val="center"/>
        <w:rPr>
          <w:rFonts w:asciiTheme="minorHAnsi" w:hAnsiTheme="minorHAnsi" w:cstheme="minorHAnsi"/>
          <w:b/>
          <w:i/>
          <w:sz w:val="42"/>
          <w:szCs w:val="42"/>
          <w:lang w:val="es-ES_tradnl"/>
        </w:rPr>
      </w:pPr>
    </w:p>
    <w:p w:rsidR="005C6E47" w:rsidRPr="00650FF1" w:rsidP="005C6E47">
      <w:pPr>
        <w:jc w:val="center"/>
        <w:rPr>
          <w:rFonts w:asciiTheme="minorHAnsi" w:hAnsiTheme="minorHAnsi" w:cstheme="minorHAnsi"/>
          <w:b/>
          <w:i/>
          <w:sz w:val="42"/>
          <w:szCs w:val="42"/>
          <w:lang w:val="es-ES_tradnl"/>
        </w:rPr>
      </w:pPr>
    </w:p>
    <w:p w:rsidR="005C6E47" w:rsidRPr="00650FF1" w:rsidP="005C6E47">
      <w:pPr>
        <w:jc w:val="center"/>
        <w:rPr>
          <w:rFonts w:asciiTheme="minorHAnsi" w:hAnsiTheme="minorHAnsi" w:cstheme="minorHAnsi"/>
          <w:b/>
          <w:i/>
          <w:sz w:val="42"/>
          <w:szCs w:val="42"/>
          <w:lang w:val="es-ES_tradnl"/>
        </w:rPr>
      </w:pPr>
    </w:p>
    <w:p w:rsidR="005C6E47" w:rsidRPr="00650FF1" w:rsidP="005C6E47">
      <w:pPr>
        <w:jc w:val="center"/>
        <w:rPr>
          <w:rFonts w:asciiTheme="minorHAnsi" w:hAnsiTheme="minorHAnsi" w:cstheme="minorHAnsi"/>
          <w:b/>
          <w:i/>
          <w:sz w:val="42"/>
          <w:szCs w:val="42"/>
          <w:lang w:val="es-ES_tradnl"/>
        </w:rPr>
      </w:pPr>
    </w:p>
    <w:p w:rsidR="005C6E47" w:rsidRPr="00650FF1" w:rsidP="005C6E47">
      <w:pPr>
        <w:jc w:val="center"/>
        <w:rPr>
          <w:rFonts w:asciiTheme="minorHAnsi" w:hAnsiTheme="minorHAnsi" w:cstheme="minorHAnsi"/>
          <w:b/>
          <w:i/>
          <w:sz w:val="42"/>
          <w:szCs w:val="42"/>
          <w:lang w:val="es-ES_tradnl"/>
        </w:rPr>
      </w:pPr>
    </w:p>
    <w:p w:rsidR="005C6E47" w:rsidRPr="006576F2" w:rsidP="005C6E47">
      <w:pPr>
        <w:jc w:val="center"/>
        <w:rPr>
          <w:rFonts w:asciiTheme="minorHAnsi" w:hAnsiTheme="minorHAnsi" w:cstheme="minorHAnsi"/>
          <w:b/>
          <w:color w:val="000080"/>
          <w:sz w:val="96"/>
          <w:szCs w:val="96"/>
        </w:rPr>
      </w:pPr>
      <w:r w:rsidRPr="006576F2">
        <w:rPr>
          <w:rFonts w:asciiTheme="minorHAnsi" w:hAnsiTheme="minorHAnsi"/>
          <w:b/>
          <w:color w:val="000080"/>
          <w:sz w:val="96"/>
          <w:szCs w:val="96"/>
        </w:rPr>
        <w:t>Annual Report</w:t>
      </w:r>
    </w:p>
    <w:p w:rsidR="005C6E47" w:rsidRPr="00650FF1" w:rsidP="005C6E47">
      <w:pPr>
        <w:jc w:val="center"/>
        <w:rPr>
          <w:rFonts w:asciiTheme="minorHAnsi" w:hAnsiTheme="minorHAnsi" w:cstheme="minorHAnsi"/>
          <w:color w:val="000080"/>
          <w:sz w:val="52"/>
          <w:szCs w:val="52"/>
        </w:rPr>
      </w:pPr>
      <w:r w:rsidRPr="00650FF1">
        <w:rPr>
          <w:rFonts w:asciiTheme="minorHAnsi" w:hAnsiTheme="minorHAnsi"/>
          <w:color w:val="000080"/>
          <w:sz w:val="52"/>
          <w:szCs w:val="52"/>
        </w:rPr>
        <w:t>(Article 18, Directive 2004/49)</w:t>
      </w:r>
    </w:p>
    <w:p w:rsidR="005C6E47" w:rsidRPr="00650FF1" w:rsidP="005C6E47">
      <w:pPr>
        <w:pStyle w:val="Ueber1"/>
        <w:tabs>
          <w:tab w:val="clear" w:pos="567"/>
        </w:tabs>
        <w:spacing w:before="0" w:after="0" w:line="240" w:lineRule="auto"/>
        <w:ind w:left="0" w:firstLine="0"/>
        <w:jc w:val="center"/>
        <w:rPr>
          <w:rFonts w:ascii="Franklin Gothic Demi" w:hAnsi="Franklin Gothic Demi" w:cs="Times New Roman"/>
          <w:b w:val="0"/>
          <w:bCs w:val="0"/>
          <w:color w:val="808080"/>
          <w:kern w:val="0"/>
          <w:sz w:val="52"/>
          <w:szCs w:val="144"/>
          <w:lang w:val="es-ES_tradnl"/>
        </w:rPr>
      </w:pPr>
    </w:p>
    <w:p w:rsidR="005C6E47" w:rsidRPr="00650FF1" w:rsidP="005C6E47">
      <w:pPr>
        <w:pStyle w:val="Style1"/>
        <w:jc w:val="center"/>
        <w:rPr>
          <w:kern w:val="0"/>
        </w:rPr>
        <w:sectPr w:rsidSect="00F9465A">
          <w:headerReference w:type="default" r:id="rId8"/>
          <w:footerReference w:type="default" r:id="rId9"/>
          <w:pgSz w:w="11906" w:h="16838" w:code="9"/>
          <w:pgMar w:top="568" w:right="424" w:bottom="568" w:left="426" w:header="709" w:footer="200" w:gutter="0"/>
          <w:cols w:space="708"/>
          <w:titlePg/>
          <w:docGrid w:linePitch="360"/>
        </w:sectPr>
      </w:pPr>
      <w:r w:rsidRPr="00650FF1">
        <w:t>2018</w:t>
      </w:r>
    </w:p>
    <w:p w:rsidR="005C6E47" w:rsidRPr="00650FF1" w:rsidP="005C6E47">
      <w:pPr>
        <w:pStyle w:val="Style1"/>
        <w:jc w:val="center"/>
        <w:rPr>
          <w:kern w:val="0"/>
          <w:sz w:val="52"/>
          <w:szCs w:val="52"/>
        </w:rPr>
      </w:pPr>
    </w:p>
    <w:p w:rsidR="005C6E47" w:rsidRPr="00650FF1" w:rsidP="005C6E47">
      <w:pPr>
        <w:pStyle w:val="Style1"/>
        <w:jc w:val="center"/>
        <w:rPr>
          <w:kern w:val="0"/>
          <w:sz w:val="52"/>
          <w:szCs w:val="52"/>
        </w:rPr>
      </w:pPr>
    </w:p>
    <w:p w:rsidR="005C6E47" w:rsidRPr="00650FF1" w:rsidP="005C6E47">
      <w:pPr>
        <w:pStyle w:val="Style1"/>
        <w:jc w:val="center"/>
        <w:rPr>
          <w:kern w:val="0"/>
          <w:sz w:val="52"/>
          <w:szCs w:val="52"/>
        </w:rPr>
      </w:pPr>
      <w:r w:rsidRPr="00650FF1">
        <w:rPr>
          <w:sz w:val="52"/>
          <w:szCs w:val="52"/>
        </w:rPr>
        <w:t>(Actions to</w:t>
      </w:r>
      <w:r w:rsidR="00293B8D">
        <w:rPr>
          <w:sz w:val="52"/>
          <w:szCs w:val="52"/>
        </w:rPr>
        <w:t xml:space="preserve"> </w:t>
      </w:r>
      <w:r w:rsidRPr="00650FF1">
        <w:rPr>
          <w:sz w:val="52"/>
          <w:szCs w:val="52"/>
        </w:rPr>
        <w:t>31 December 2017)</w:t>
      </w:r>
    </w:p>
    <w:p w:rsidR="005C6E47" w:rsidRPr="00650FF1" w:rsidP="005C6E47"/>
    <w:p w:rsidR="005C6E47" w:rsidRPr="00650FF1" w:rsidP="005C6E47">
      <w:pPr>
        <w:pStyle w:val="NumPar1"/>
        <w:tabs>
          <w:tab w:val="clear" w:pos="480"/>
          <w:tab w:val="left" w:pos="3810"/>
        </w:tabs>
        <w:spacing w:before="240"/>
        <w:ind w:left="540" w:hanging="539"/>
        <w:jc w:val="center"/>
      </w:pPr>
      <w:r w:rsidRPr="00650FF1">
        <w:br w:type="page"/>
      </w:r>
    </w:p>
    <w:p w:rsidR="005C6E47" w:rsidRPr="00650FF1" w:rsidP="005C6E47">
      <w:pPr>
        <w:pStyle w:val="TOCHeading"/>
        <w:rPr>
          <w:rFonts w:ascii="Franklin Gothic Demi" w:hAnsi="Franklin Gothic Demi"/>
          <w:b w:val="0"/>
          <w:sz w:val="44"/>
          <w:lang w:val="es-ES_tradnl"/>
        </w:rPr>
      </w:pPr>
    </w:p>
    <w:p w:rsidR="005C6E47" w:rsidRPr="00650FF1" w:rsidP="005C6E47">
      <w:pPr>
        <w:pStyle w:val="TOCHeading"/>
        <w:rPr>
          <w:rFonts w:ascii="Franklin Gothic Demi" w:hAnsi="Franklin Gothic Demi"/>
          <w:b w:val="0"/>
          <w:sz w:val="44"/>
        </w:rPr>
      </w:pPr>
      <w:r w:rsidRPr="00650FF1">
        <w:rPr>
          <w:rFonts w:ascii="Franklin Gothic Demi" w:hAnsi="Franklin Gothic Demi"/>
          <w:b w:val="0"/>
          <w:sz w:val="44"/>
        </w:rPr>
        <w:t>Contents</w:t>
      </w:r>
    </w:p>
    <w:p w:rsidR="00911014">
      <w:pPr>
        <w:pStyle w:val="TOC1"/>
        <w:rPr>
          <w:rFonts w:asciiTheme="minorHAnsi" w:eastAsiaTheme="minorEastAsia" w:hAnsiTheme="minorHAnsi" w:cstheme="minorBidi"/>
          <w:b w:val="0"/>
          <w:snapToGrid/>
          <w:sz w:val="22"/>
          <w:szCs w:val="22"/>
          <w:lang w:val="fr-FR" w:eastAsia="fr-FR"/>
        </w:rPr>
      </w:pPr>
      <w:r w:rsidRPr="00650FF1">
        <w:fldChar w:fldCharType="begin"/>
      </w:r>
      <w:r w:rsidRPr="00650FF1">
        <w:instrText xml:space="preserve"> TOC \o "1-3" \h \z \u </w:instrText>
      </w:r>
      <w:r w:rsidRPr="00650FF1">
        <w:fldChar w:fldCharType="separate"/>
      </w:r>
      <w:hyperlink w:anchor="_Toc532285975" w:history="1">
        <w:r w:rsidRPr="00FF2C3E">
          <w:rPr>
            <w:rStyle w:val="Hyperlink"/>
          </w:rPr>
          <w:t>A.</w:t>
        </w:r>
        <w:r>
          <w:rPr>
            <w:rFonts w:asciiTheme="minorHAnsi" w:eastAsiaTheme="minorEastAsia" w:hAnsiTheme="minorHAnsi" w:cstheme="minorBidi"/>
            <w:b w:val="0"/>
            <w:snapToGrid/>
            <w:sz w:val="22"/>
            <w:szCs w:val="22"/>
            <w:lang w:val="fr-FR" w:eastAsia="fr-FR"/>
          </w:rPr>
          <w:tab/>
        </w:r>
        <w:r w:rsidRPr="00FF2C3E">
          <w:rPr>
            <w:rStyle w:val="Hyperlink"/>
          </w:rPr>
          <w:t>Introduction</w:t>
        </w:r>
        <w:r>
          <w:rPr>
            <w:webHidden/>
          </w:rPr>
          <w:tab/>
        </w:r>
        <w:r>
          <w:rPr>
            <w:webHidden/>
          </w:rPr>
          <w:fldChar w:fldCharType="begin"/>
        </w:r>
        <w:r>
          <w:rPr>
            <w:webHidden/>
          </w:rPr>
          <w:instrText xml:space="preserve"> PAGEREF _Toc532285975 \h </w:instrText>
        </w:r>
        <w:r>
          <w:rPr>
            <w:webHidden/>
          </w:rPr>
          <w:fldChar w:fldCharType="separate"/>
        </w:r>
        <w:r>
          <w:rPr>
            <w:webHidden/>
          </w:rPr>
          <w:t>5</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76" w:history="1">
        <w:r w:rsidRPr="00FF2C3E">
          <w:rPr>
            <w:rStyle w:val="Hyperlink"/>
          </w:rPr>
          <w:t>B.</w:t>
        </w:r>
        <w:r>
          <w:rPr>
            <w:rFonts w:asciiTheme="minorHAnsi" w:eastAsiaTheme="minorEastAsia" w:hAnsiTheme="minorHAnsi" w:cstheme="minorBidi"/>
            <w:b w:val="0"/>
            <w:snapToGrid/>
            <w:sz w:val="22"/>
            <w:szCs w:val="22"/>
            <w:lang w:val="fr-FR" w:eastAsia="fr-FR"/>
          </w:rPr>
          <w:tab/>
        </w:r>
        <w:r w:rsidRPr="00FF2C3E">
          <w:rPr>
            <w:rStyle w:val="Hyperlink"/>
          </w:rPr>
          <w:t>English summary</w:t>
        </w:r>
        <w:r>
          <w:rPr>
            <w:webHidden/>
          </w:rPr>
          <w:tab/>
        </w:r>
        <w:r>
          <w:rPr>
            <w:webHidden/>
          </w:rPr>
          <w:fldChar w:fldCharType="begin"/>
        </w:r>
        <w:r>
          <w:rPr>
            <w:webHidden/>
          </w:rPr>
          <w:instrText xml:space="preserve"> PAGEREF _Toc532285976 \h </w:instrText>
        </w:r>
        <w:r>
          <w:rPr>
            <w:webHidden/>
          </w:rPr>
          <w:fldChar w:fldCharType="separate"/>
        </w:r>
        <w:r>
          <w:rPr>
            <w:webHidden/>
          </w:rPr>
          <w:t>8</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77" w:history="1">
        <w:r w:rsidRPr="00FF2C3E">
          <w:rPr>
            <w:rStyle w:val="Hyperlink"/>
          </w:rPr>
          <w:t>C.</w:t>
        </w:r>
        <w:r>
          <w:rPr>
            <w:rFonts w:asciiTheme="minorHAnsi" w:eastAsiaTheme="minorEastAsia" w:hAnsiTheme="minorHAnsi" w:cstheme="minorBidi"/>
            <w:b w:val="0"/>
            <w:snapToGrid/>
            <w:sz w:val="22"/>
            <w:szCs w:val="22"/>
            <w:lang w:val="fr-FR" w:eastAsia="fr-FR"/>
          </w:rPr>
          <w:tab/>
        </w:r>
        <w:r w:rsidRPr="00FF2C3E">
          <w:rPr>
            <w:rStyle w:val="Hyperlink"/>
          </w:rPr>
          <w:t>The National Railway Safety Agency</w:t>
        </w:r>
        <w:r>
          <w:rPr>
            <w:webHidden/>
          </w:rPr>
          <w:tab/>
        </w:r>
        <w:r>
          <w:rPr>
            <w:webHidden/>
          </w:rPr>
          <w:fldChar w:fldCharType="begin"/>
        </w:r>
        <w:r>
          <w:rPr>
            <w:webHidden/>
          </w:rPr>
          <w:instrText xml:space="preserve"> PAGEREF _Toc532285977 \h </w:instrText>
        </w:r>
        <w:r>
          <w:rPr>
            <w:webHidden/>
          </w:rPr>
          <w:fldChar w:fldCharType="separate"/>
        </w:r>
        <w:r>
          <w:rPr>
            <w:webHidden/>
          </w:rPr>
          <w:t>10</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78" w:history="1">
        <w:r w:rsidRPr="00FF2C3E">
          <w:rPr>
            <w:rStyle w:val="Hyperlink"/>
          </w:rPr>
          <w:t>D.</w:t>
        </w:r>
        <w:r>
          <w:rPr>
            <w:rFonts w:asciiTheme="minorHAnsi" w:eastAsiaTheme="minorEastAsia" w:hAnsiTheme="minorHAnsi" w:cstheme="minorBidi"/>
            <w:b w:val="0"/>
            <w:snapToGrid/>
            <w:sz w:val="22"/>
            <w:szCs w:val="22"/>
            <w:lang w:val="fr-FR" w:eastAsia="fr-FR"/>
          </w:rPr>
          <w:tab/>
        </w:r>
        <w:r w:rsidRPr="00FF2C3E">
          <w:rPr>
            <w:rStyle w:val="Hyperlink"/>
          </w:rPr>
          <w:t>Safety strategies, programmes and initiatives</w:t>
        </w:r>
        <w:r>
          <w:rPr>
            <w:webHidden/>
          </w:rPr>
          <w:tab/>
        </w:r>
        <w:r>
          <w:rPr>
            <w:webHidden/>
          </w:rPr>
          <w:fldChar w:fldCharType="begin"/>
        </w:r>
        <w:r>
          <w:rPr>
            <w:webHidden/>
          </w:rPr>
          <w:instrText xml:space="preserve"> PAGEREF _Toc532285978 \h </w:instrText>
        </w:r>
        <w:r>
          <w:rPr>
            <w:webHidden/>
          </w:rPr>
          <w:fldChar w:fldCharType="separate"/>
        </w:r>
        <w:r>
          <w:rPr>
            <w:webHidden/>
          </w:rPr>
          <w:t>14</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79" w:history="1">
        <w:r w:rsidRPr="00FF2C3E">
          <w:rPr>
            <w:rStyle w:val="Hyperlink"/>
          </w:rPr>
          <w:t>E.</w:t>
        </w:r>
        <w:r>
          <w:rPr>
            <w:rFonts w:asciiTheme="minorHAnsi" w:eastAsiaTheme="minorEastAsia" w:hAnsiTheme="minorHAnsi" w:cstheme="minorBidi"/>
            <w:b w:val="0"/>
            <w:snapToGrid/>
            <w:sz w:val="22"/>
            <w:szCs w:val="22"/>
            <w:lang w:val="fr-FR" w:eastAsia="fr-FR"/>
          </w:rPr>
          <w:tab/>
        </w:r>
        <w:r w:rsidRPr="00FF2C3E">
          <w:rPr>
            <w:rStyle w:val="Hyperlink"/>
          </w:rPr>
          <w:t>Safety</w:t>
        </w:r>
        <w:r>
          <w:rPr>
            <w:webHidden/>
          </w:rPr>
          <w:tab/>
        </w:r>
        <w:r>
          <w:rPr>
            <w:webHidden/>
          </w:rPr>
          <w:fldChar w:fldCharType="begin"/>
        </w:r>
        <w:r>
          <w:rPr>
            <w:webHidden/>
          </w:rPr>
          <w:instrText xml:space="preserve"> PAGEREF _Toc532285979 \h </w:instrText>
        </w:r>
        <w:r>
          <w:rPr>
            <w:webHidden/>
          </w:rPr>
          <w:fldChar w:fldCharType="separate"/>
        </w:r>
        <w:r>
          <w:rPr>
            <w:webHidden/>
          </w:rPr>
          <w:t>21</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80" w:history="1">
        <w:r w:rsidRPr="00FF2C3E">
          <w:rPr>
            <w:rStyle w:val="Hyperlink"/>
          </w:rPr>
          <w:t>F.</w:t>
        </w:r>
        <w:r>
          <w:rPr>
            <w:rFonts w:asciiTheme="minorHAnsi" w:eastAsiaTheme="minorEastAsia" w:hAnsiTheme="minorHAnsi" w:cstheme="minorBidi"/>
            <w:b w:val="0"/>
            <w:snapToGrid/>
            <w:sz w:val="22"/>
            <w:szCs w:val="22"/>
            <w:lang w:val="fr-FR" w:eastAsia="fr-FR"/>
          </w:rPr>
          <w:tab/>
        </w:r>
        <w:r w:rsidRPr="00FF2C3E">
          <w:rPr>
            <w:rStyle w:val="Hyperlink"/>
          </w:rPr>
          <w:t>Safety certificates and authorisations</w:t>
        </w:r>
        <w:r>
          <w:rPr>
            <w:webHidden/>
          </w:rPr>
          <w:tab/>
        </w:r>
        <w:r>
          <w:rPr>
            <w:webHidden/>
          </w:rPr>
          <w:fldChar w:fldCharType="begin"/>
        </w:r>
        <w:r>
          <w:rPr>
            <w:webHidden/>
          </w:rPr>
          <w:instrText xml:space="preserve"> PAGEREF _Toc532285980 \h </w:instrText>
        </w:r>
        <w:r>
          <w:rPr>
            <w:webHidden/>
          </w:rPr>
          <w:fldChar w:fldCharType="separate"/>
        </w:r>
        <w:r>
          <w:rPr>
            <w:webHidden/>
          </w:rPr>
          <w:t>34</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81" w:history="1">
        <w:r w:rsidRPr="00FF2C3E">
          <w:rPr>
            <w:rStyle w:val="Hyperlink"/>
          </w:rPr>
          <w:t>G.</w:t>
        </w:r>
        <w:r>
          <w:rPr>
            <w:rFonts w:asciiTheme="minorHAnsi" w:eastAsiaTheme="minorEastAsia" w:hAnsiTheme="minorHAnsi" w:cstheme="minorBidi"/>
            <w:b w:val="0"/>
            <w:snapToGrid/>
            <w:sz w:val="22"/>
            <w:szCs w:val="22"/>
            <w:lang w:val="fr-FR" w:eastAsia="fr-FR"/>
          </w:rPr>
          <w:tab/>
        </w:r>
        <w:r w:rsidRPr="00FF2C3E">
          <w:rPr>
            <w:rStyle w:val="Hyperlink"/>
          </w:rPr>
          <w:t>Supervision of the railway system</w:t>
        </w:r>
        <w:r>
          <w:rPr>
            <w:webHidden/>
          </w:rPr>
          <w:tab/>
        </w:r>
        <w:r>
          <w:rPr>
            <w:webHidden/>
          </w:rPr>
          <w:fldChar w:fldCharType="begin"/>
        </w:r>
        <w:r>
          <w:rPr>
            <w:webHidden/>
          </w:rPr>
          <w:instrText xml:space="preserve"> PAGEREF _Toc532285981 \h </w:instrText>
        </w:r>
        <w:r>
          <w:rPr>
            <w:webHidden/>
          </w:rPr>
          <w:fldChar w:fldCharType="separate"/>
        </w:r>
        <w:r>
          <w:rPr>
            <w:webHidden/>
          </w:rPr>
          <w:t>39</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82" w:history="1">
        <w:r w:rsidRPr="00FF2C3E">
          <w:rPr>
            <w:rStyle w:val="Hyperlink"/>
          </w:rPr>
          <w:t>H.</w:t>
        </w:r>
        <w:r>
          <w:rPr>
            <w:rFonts w:asciiTheme="minorHAnsi" w:eastAsiaTheme="minorEastAsia" w:hAnsiTheme="minorHAnsi" w:cstheme="minorBidi"/>
            <w:b w:val="0"/>
            <w:snapToGrid/>
            <w:sz w:val="22"/>
            <w:szCs w:val="22"/>
            <w:lang w:val="fr-FR" w:eastAsia="fr-FR"/>
          </w:rPr>
          <w:tab/>
        </w:r>
        <w:r w:rsidRPr="00FF2C3E">
          <w:rPr>
            <w:rStyle w:val="Hyperlink"/>
          </w:rPr>
          <w:t>Implementation of safety legislation</w:t>
        </w:r>
        <w:r>
          <w:rPr>
            <w:webHidden/>
          </w:rPr>
          <w:tab/>
        </w:r>
        <w:r>
          <w:rPr>
            <w:webHidden/>
          </w:rPr>
          <w:fldChar w:fldCharType="begin"/>
        </w:r>
        <w:r>
          <w:rPr>
            <w:webHidden/>
          </w:rPr>
          <w:instrText xml:space="preserve"> PAGEREF _Toc532285982 \h </w:instrText>
        </w:r>
        <w:r>
          <w:rPr>
            <w:webHidden/>
          </w:rPr>
          <w:fldChar w:fldCharType="separate"/>
        </w:r>
        <w:r>
          <w:rPr>
            <w:webHidden/>
          </w:rPr>
          <w:t>51</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83" w:history="1">
        <w:r w:rsidRPr="00FF2C3E">
          <w:rPr>
            <w:rStyle w:val="Hyperlink"/>
          </w:rPr>
          <w:t>I.</w:t>
        </w:r>
        <w:r>
          <w:rPr>
            <w:rFonts w:asciiTheme="minorHAnsi" w:eastAsiaTheme="minorEastAsia" w:hAnsiTheme="minorHAnsi" w:cstheme="minorBidi"/>
            <w:b w:val="0"/>
            <w:snapToGrid/>
            <w:sz w:val="22"/>
            <w:szCs w:val="22"/>
            <w:lang w:val="fr-FR" w:eastAsia="fr-FR"/>
          </w:rPr>
          <w:tab/>
        </w:r>
        <w:r w:rsidRPr="00FF2C3E">
          <w:rPr>
            <w:rStyle w:val="Hyperlink"/>
          </w:rPr>
          <w:t>Safety Culture</w:t>
        </w:r>
        <w:r>
          <w:rPr>
            <w:webHidden/>
          </w:rPr>
          <w:tab/>
        </w:r>
        <w:r>
          <w:rPr>
            <w:webHidden/>
          </w:rPr>
          <w:fldChar w:fldCharType="begin"/>
        </w:r>
        <w:r>
          <w:rPr>
            <w:webHidden/>
          </w:rPr>
          <w:instrText xml:space="preserve"> PAGEREF _Toc532285983 \h </w:instrText>
        </w:r>
        <w:r>
          <w:rPr>
            <w:webHidden/>
          </w:rPr>
          <w:fldChar w:fldCharType="separate"/>
        </w:r>
        <w:r>
          <w:rPr>
            <w:webHidden/>
          </w:rPr>
          <w:t>58</w:t>
        </w:r>
        <w:r>
          <w:rPr>
            <w:webHidden/>
          </w:rPr>
          <w:fldChar w:fldCharType="end"/>
        </w:r>
      </w:hyperlink>
    </w:p>
    <w:p w:rsidR="00911014">
      <w:pPr>
        <w:pStyle w:val="TOC1"/>
        <w:rPr>
          <w:rFonts w:asciiTheme="minorHAnsi" w:eastAsiaTheme="minorEastAsia" w:hAnsiTheme="minorHAnsi" w:cstheme="minorBidi"/>
          <w:b w:val="0"/>
          <w:snapToGrid/>
          <w:sz w:val="22"/>
          <w:szCs w:val="22"/>
          <w:lang w:val="fr-FR" w:eastAsia="fr-FR"/>
        </w:rPr>
      </w:pPr>
      <w:hyperlink w:anchor="_Toc532285984" w:history="1">
        <w:r w:rsidRPr="00FF2C3E">
          <w:rPr>
            <w:rStyle w:val="Hyperlink"/>
          </w:rPr>
          <w:t>ANNEX: Common Safety Indicators</w:t>
        </w:r>
        <w:r>
          <w:rPr>
            <w:webHidden/>
          </w:rPr>
          <w:tab/>
        </w:r>
        <w:r>
          <w:rPr>
            <w:webHidden/>
          </w:rPr>
          <w:fldChar w:fldCharType="begin"/>
        </w:r>
        <w:r>
          <w:rPr>
            <w:webHidden/>
          </w:rPr>
          <w:instrText xml:space="preserve"> PAGEREF _Toc532285984 \h </w:instrText>
        </w:r>
        <w:r>
          <w:rPr>
            <w:webHidden/>
          </w:rPr>
          <w:fldChar w:fldCharType="separate"/>
        </w:r>
        <w:r>
          <w:rPr>
            <w:webHidden/>
          </w:rPr>
          <w:t>61</w:t>
        </w:r>
        <w:r>
          <w:rPr>
            <w:webHidden/>
          </w:rPr>
          <w:fldChar w:fldCharType="end"/>
        </w:r>
      </w:hyperlink>
    </w:p>
    <w:p w:rsidR="005C6E47" w:rsidRPr="00650FF1" w:rsidP="005C6E47">
      <w:r w:rsidRPr="00650FF1">
        <w:rPr>
          <w:b/>
          <w:bCs/>
        </w:rPr>
        <w:fldChar w:fldCharType="end"/>
      </w:r>
    </w:p>
    <w:p w:rsidR="005C6E47" w:rsidRPr="00650FF1" w:rsidP="005C6E47">
      <w:pPr>
        <w:rPr>
          <w:rFonts w:ascii="Arial Rounded MT Bold" w:hAnsi="Arial Rounded MT Bold"/>
          <w:b/>
          <w:smallCaps/>
          <w:color w:val="000080"/>
          <w:sz w:val="56"/>
          <w:szCs w:val="28"/>
          <w:lang w:val="es-ES_tradnl" w:eastAsia="x-none"/>
        </w:rPr>
      </w:pPr>
    </w:p>
    <w:p w:rsidR="005C6E47" w:rsidRPr="00650FF1" w:rsidP="005C6E47">
      <w:r w:rsidRPr="00650FF1">
        <w:br w:type="page"/>
      </w:r>
    </w:p>
    <w:p w:rsidR="005C6E47" w:rsidRPr="00650FF1" w:rsidP="005C6E47">
      <w:pPr>
        <w:pStyle w:val="TOCHeading"/>
        <w:rPr>
          <w:rFonts w:ascii="Franklin Gothic Demi" w:hAnsi="Franklin Gothic Demi"/>
          <w:b w:val="0"/>
          <w:sz w:val="44"/>
          <w:lang w:val="es-ES_tradnl"/>
        </w:rPr>
      </w:pPr>
    </w:p>
    <w:p w:rsidR="005C6E47" w:rsidRPr="00650FF1" w:rsidP="005C6E47">
      <w:pPr>
        <w:pStyle w:val="TOCHeading"/>
        <w:rPr>
          <w:rFonts w:ascii="Franklin Gothic Demi" w:hAnsi="Franklin Gothic Demi"/>
          <w:b w:val="0"/>
          <w:sz w:val="44"/>
        </w:rPr>
      </w:pPr>
      <w:r w:rsidRPr="00650FF1">
        <w:rPr>
          <w:rFonts w:ascii="Franklin Gothic Demi" w:hAnsi="Franklin Gothic Demi"/>
          <w:b w:val="0"/>
          <w:sz w:val="44"/>
        </w:rPr>
        <w:t>Abbreviations</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AES</w:t>
      </w:r>
      <w:r w:rsidRPr="00650FF1">
        <w:rPr>
          <w:rFonts w:asciiTheme="minorHAnsi" w:hAnsiTheme="minorHAnsi"/>
        </w:rPr>
        <w:tab/>
        <w:t>Authorisation of placing in service</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AESF</w:t>
      </w:r>
      <w:r w:rsidRPr="00650FF1">
        <w:rPr>
          <w:rFonts w:asciiTheme="minorHAnsi" w:hAnsiTheme="minorHAnsi"/>
        </w:rPr>
        <w:t xml:space="preserve"> </w:t>
      </w:r>
      <w:r w:rsidRPr="00650FF1">
        <w:rPr>
          <w:rFonts w:asciiTheme="minorHAnsi" w:hAnsiTheme="minorHAnsi"/>
        </w:rPr>
        <w:tab/>
        <w:t>National Railway Safety Agency</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 xml:space="preserve">AI </w:t>
      </w:r>
      <w:r w:rsidRPr="00650FF1">
        <w:rPr>
          <w:rFonts w:asciiTheme="minorHAnsi" w:hAnsiTheme="minorHAnsi"/>
        </w:rPr>
        <w:tab/>
        <w:t>Infrastructure manager</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AsBo</w:t>
      </w:r>
      <w:r w:rsidRPr="00650FF1">
        <w:rPr>
          <w:rFonts w:asciiTheme="minorHAnsi" w:hAnsiTheme="minorHAnsi"/>
        </w:rPr>
        <w:tab/>
        <w:t>Safety assessment body</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CIAF</w:t>
      </w:r>
      <w:r w:rsidRPr="00650FF1">
        <w:rPr>
          <w:rFonts w:asciiTheme="minorHAnsi" w:hAnsiTheme="minorHAnsi"/>
        </w:rPr>
        <w:tab/>
        <w:t>Railway Accident Investigation Commission</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 xml:space="preserve">RSD </w:t>
      </w:r>
      <w:r w:rsidRPr="00650FF1">
        <w:rPr>
          <w:rFonts w:asciiTheme="minorHAnsi" w:hAnsiTheme="minorHAnsi"/>
        </w:rPr>
        <w:tab/>
        <w:t>Railway Safety Directive</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ECM</w:t>
      </w:r>
      <w:r w:rsidRPr="00650FF1">
        <w:rPr>
          <w:rFonts w:asciiTheme="minorHAnsi" w:hAnsiTheme="minorHAnsi"/>
        </w:rPr>
        <w:tab/>
        <w:t>Entity in charge of maintenance</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 xml:space="preserve">EF </w:t>
      </w:r>
      <w:r w:rsidRPr="00650FF1">
        <w:rPr>
          <w:rFonts w:asciiTheme="minorHAnsi" w:hAnsiTheme="minorHAnsi"/>
        </w:rPr>
        <w:tab/>
        <w:t>Railway undertaking</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TSI</w:t>
      </w:r>
      <w:r w:rsidRPr="00650FF1">
        <w:rPr>
          <w:rFonts w:asciiTheme="minorHAnsi" w:hAnsiTheme="minorHAnsi"/>
        </w:rPr>
        <w:tab/>
        <w:t>Technical specification for interoperability</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OPE TSI</w:t>
      </w:r>
      <w:r w:rsidRPr="00650FF1">
        <w:rPr>
          <w:rFonts w:asciiTheme="minorHAnsi" w:hAnsiTheme="minorHAnsi"/>
        </w:rPr>
        <w:tab/>
        <w:t>Operation and traffic management technical specification for interoperability</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EUAR</w:t>
      </w:r>
      <w:r w:rsidRPr="00650FF1">
        <w:rPr>
          <w:rFonts w:asciiTheme="minorHAnsi" w:hAnsiTheme="minorHAnsi"/>
        </w:rPr>
        <w:tab/>
        <w:t>European Union Agency for Railways</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CSI</w:t>
      </w:r>
      <w:r w:rsidRPr="00650FF1">
        <w:rPr>
          <w:rFonts w:asciiTheme="minorHAnsi" w:hAnsiTheme="minorHAnsi"/>
        </w:rPr>
        <w:tab/>
        <w:t>Common safety indicator</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IF</w:t>
      </w:r>
      <w:r w:rsidRPr="00650FF1">
        <w:rPr>
          <w:rFonts w:asciiTheme="minorHAnsi" w:hAnsiTheme="minorHAnsi"/>
        </w:rPr>
        <w:tab/>
        <w:t>Railway instruction</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LFP</w:t>
      </w:r>
      <w:r w:rsidRPr="00650FF1">
        <w:rPr>
          <w:rFonts w:asciiTheme="minorHAnsi" w:hAnsiTheme="minorHAnsi"/>
        </w:rPr>
        <w:tab/>
      </w:r>
      <w:r w:rsidRPr="00650FF1">
        <w:rPr>
          <w:rFonts w:asciiTheme="minorHAnsi" w:hAnsiTheme="minorHAnsi"/>
        </w:rPr>
        <w:t>Figueres</w:t>
      </w:r>
      <w:r w:rsidRPr="00650FF1">
        <w:rPr>
          <w:rFonts w:asciiTheme="minorHAnsi" w:hAnsiTheme="minorHAnsi"/>
        </w:rPr>
        <w:t>-Perpignan line</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LSF</w:t>
      </w:r>
      <w:r w:rsidRPr="00650FF1">
        <w:rPr>
          <w:rFonts w:asciiTheme="minorHAnsi" w:hAnsiTheme="minorHAnsi"/>
        </w:rPr>
        <w:tab/>
        <w:t>Railway Sector Act</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MHGP</w:t>
      </w:r>
      <w:r w:rsidRPr="00650FF1">
        <w:rPr>
          <w:rFonts w:asciiTheme="minorHAnsi" w:hAnsiTheme="minorHAnsi"/>
        </w:rPr>
        <w:tab/>
        <w:t>Weighted fatalities and serious injuries (No of fatalities + 0.1 x No of serious injuries)</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OTIF</w:t>
      </w:r>
      <w:r w:rsidRPr="00650FF1">
        <w:rPr>
          <w:rFonts w:asciiTheme="minorHAnsi" w:hAnsiTheme="minorHAnsi"/>
        </w:rPr>
        <w:t xml:space="preserve"> </w:t>
      </w:r>
      <w:r w:rsidRPr="00650FF1">
        <w:rPr>
          <w:rFonts w:asciiTheme="minorHAnsi" w:hAnsiTheme="minorHAnsi"/>
        </w:rPr>
        <w:tab/>
        <w:t>Intergovernmental Organisation for International Carriage by Rail</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RAM</w:t>
      </w:r>
      <w:r w:rsidRPr="00650FF1">
        <w:rPr>
          <w:rFonts w:asciiTheme="minorHAnsi" w:hAnsiTheme="minorHAnsi"/>
        </w:rPr>
        <w:tab/>
        <w:t>Metre-gauge network</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 xml:space="preserve">RFIG </w:t>
      </w:r>
      <w:r w:rsidRPr="00650FF1">
        <w:rPr>
          <w:rFonts w:asciiTheme="minorHAnsi" w:hAnsiTheme="minorHAnsi"/>
        </w:rPr>
        <w:tab/>
        <w:t>Public Railway Network</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 xml:space="preserve">RCF </w:t>
      </w:r>
      <w:r w:rsidRPr="00650FF1">
        <w:rPr>
          <w:rFonts w:asciiTheme="minorHAnsi" w:hAnsiTheme="minorHAnsi"/>
        </w:rPr>
        <w:tab/>
        <w:t>Rail Traffic Regulations</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RIV</w:t>
      </w:r>
      <w:r w:rsidRPr="00650FF1">
        <w:rPr>
          <w:rFonts w:asciiTheme="minorHAnsi" w:hAnsiTheme="minorHAnsi"/>
        </w:rPr>
        <w:tab/>
      </w:r>
      <w:r w:rsidRPr="00650FF1">
        <w:rPr>
          <w:rFonts w:asciiTheme="minorHAnsi" w:hAnsiTheme="minorHAnsi"/>
        </w:rPr>
        <w:t>Regolamento</w:t>
      </w:r>
      <w:r w:rsidRPr="00650FF1">
        <w:rPr>
          <w:rFonts w:asciiTheme="minorHAnsi" w:hAnsiTheme="minorHAnsi"/>
        </w:rPr>
        <w:t xml:space="preserve"> </w:t>
      </w:r>
      <w:r w:rsidRPr="00650FF1">
        <w:rPr>
          <w:rFonts w:asciiTheme="minorHAnsi" w:hAnsiTheme="minorHAnsi"/>
        </w:rPr>
        <w:t>Internazionale</w:t>
      </w:r>
      <w:r w:rsidRPr="00650FF1">
        <w:rPr>
          <w:rFonts w:asciiTheme="minorHAnsi" w:hAnsiTheme="minorHAnsi"/>
        </w:rPr>
        <w:t xml:space="preserve"> </w:t>
      </w:r>
      <w:r w:rsidRPr="00650FF1">
        <w:rPr>
          <w:rFonts w:asciiTheme="minorHAnsi" w:hAnsiTheme="minorHAnsi"/>
        </w:rPr>
        <w:t>Veicoli</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 xml:space="preserve">SMS </w:t>
      </w:r>
      <w:r w:rsidRPr="00650FF1">
        <w:rPr>
          <w:rFonts w:asciiTheme="minorHAnsi" w:hAnsiTheme="minorHAnsi"/>
        </w:rPr>
        <w:tab/>
        <w:t>Safety management system</w:t>
      </w:r>
    </w:p>
    <w:p w:rsidR="005C6E47" w:rsidRPr="00650FF1" w:rsidP="005C6E47">
      <w:pPr>
        <w:tabs>
          <w:tab w:val="left" w:pos="1701"/>
        </w:tabs>
        <w:spacing w:before="120" w:after="120"/>
        <w:ind w:left="1701" w:hanging="1275"/>
        <w:rPr>
          <w:rFonts w:asciiTheme="minorHAnsi" w:hAnsiTheme="minorHAnsi" w:cstheme="minorHAnsi"/>
        </w:rPr>
      </w:pPr>
      <w:r w:rsidRPr="002B0E2D">
        <w:rPr>
          <w:rFonts w:asciiTheme="minorHAnsi" w:hAnsiTheme="minorHAnsi"/>
          <w:b/>
        </w:rPr>
        <w:t>EU</w:t>
      </w:r>
      <w:r w:rsidRPr="00650FF1">
        <w:rPr>
          <w:rFonts w:asciiTheme="minorHAnsi" w:hAnsiTheme="minorHAnsi"/>
        </w:rPr>
        <w:tab/>
        <w:t>European Union</w:t>
      </w:r>
    </w:p>
    <w:p w:rsidR="005C6E47" w:rsidRPr="00650FF1" w:rsidP="005C6E47">
      <w:pPr>
        <w:spacing w:before="120" w:after="120"/>
        <w:ind w:left="567"/>
        <w:rPr>
          <w:rFonts w:asciiTheme="minorHAnsi" w:hAnsiTheme="minorHAnsi" w:cstheme="minorHAnsi"/>
          <w:lang w:val="es-ES_tradnl"/>
        </w:rPr>
      </w:pPr>
    </w:p>
    <w:p w:rsidR="005C6E47" w:rsidRPr="00650FF1" w:rsidP="005C6E47">
      <w:pPr>
        <w:spacing w:before="120" w:after="120"/>
        <w:ind w:left="567"/>
        <w:rPr>
          <w:rFonts w:asciiTheme="minorHAnsi" w:hAnsiTheme="minorHAnsi" w:cstheme="minorHAnsi"/>
          <w:lang w:val="es-ES_tradnl"/>
        </w:rPr>
      </w:pPr>
    </w:p>
    <w:p w:rsidR="005C6E47" w:rsidRPr="00650FF1" w:rsidP="005C6E47">
      <w:pPr>
        <w:pStyle w:val="Title"/>
        <w:spacing w:before="120" w:after="120"/>
        <w:sectPr w:rsidSect="004C6AD1">
          <w:headerReference w:type="even" r:id="rId10"/>
          <w:headerReference w:type="default" r:id="rId11"/>
          <w:footerReference w:type="even" r:id="rId12"/>
          <w:footerReference w:type="default" r:id="rId13"/>
          <w:type w:val="continuous"/>
          <w:pgSz w:w="11906" w:h="16838"/>
          <w:pgMar w:top="680" w:right="1983" w:bottom="1418" w:left="1134" w:header="709" w:footer="0" w:gutter="0"/>
          <w:cols w:space="708"/>
          <w:docGrid w:linePitch="360"/>
        </w:sectPr>
      </w:pPr>
    </w:p>
    <w:p w:rsidR="005C6E47" w:rsidRPr="00650FF1" w:rsidP="005C6E47">
      <w:pPr>
        <w:pStyle w:val="StandardText"/>
        <w:spacing w:before="240" w:after="120" w:line="240" w:lineRule="auto"/>
        <w:ind w:left="185"/>
        <w:rPr>
          <w:rFonts w:ascii="Calibri" w:hAnsi="Calibri"/>
          <w:lang w:val="es-ES_tradnl"/>
        </w:rPr>
      </w:pPr>
    </w:p>
    <w:tbl>
      <w:tblPr>
        <w:tblW w:w="10065" w:type="dxa"/>
        <w:tblInd w:w="-34" w:type="dxa"/>
        <w:tblLook w:val="04A0"/>
      </w:tblPr>
      <w:tblGrid>
        <w:gridCol w:w="4868"/>
        <w:gridCol w:w="5197"/>
      </w:tblGrid>
      <w:tr w:rsidTr="002F2972">
        <w:tblPrEx>
          <w:tblW w:w="10065" w:type="dxa"/>
          <w:tblInd w:w="-34" w:type="dxa"/>
          <w:tblLook w:val="04A0"/>
        </w:tblPrEx>
        <w:trPr>
          <w:trHeight w:val="1703"/>
        </w:trPr>
        <w:tc>
          <w:tcPr>
            <w:tcW w:w="10065" w:type="dxa"/>
            <w:gridSpan w:val="2"/>
            <w:shd w:val="clear" w:color="auto" w:fill="auto"/>
          </w:tcPr>
          <w:p w:rsidR="005C6E47" w:rsidRPr="00650FF1" w:rsidP="002F2972">
            <w:pPr>
              <w:pStyle w:val="StandardText"/>
              <w:spacing w:before="240" w:after="120" w:line="240" w:lineRule="auto"/>
              <w:jc w:val="right"/>
              <w:rPr>
                <w:rFonts w:ascii="Calibri" w:hAnsi="Calibri"/>
                <w:noProof/>
                <w:snapToGrid/>
              </w:rPr>
            </w:pPr>
            <w:r w:rsidRPr="00650FF1">
              <w:rPr>
                <w:rFonts w:ascii="Calibri" w:hAnsi="Calibri"/>
                <w:noProof/>
                <w:snapToGrid/>
                <w:lang w:val="fr-FR" w:eastAsia="fr-FR"/>
              </w:rPr>
              <w:drawing>
                <wp:anchor distT="0" distB="0" distL="114300" distR="114300" simplePos="0" relativeHeight="251659264" behindDoc="1" locked="0" layoutInCell="1" allowOverlap="1">
                  <wp:simplePos x="0" y="0"/>
                  <wp:positionH relativeFrom="column">
                    <wp:posOffset>365523</wp:posOffset>
                  </wp:positionH>
                  <wp:positionV relativeFrom="paragraph">
                    <wp:posOffset>935355</wp:posOffset>
                  </wp:positionV>
                  <wp:extent cx="6054090" cy="2590800"/>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54031"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tc>
      </w:tr>
      <w:tr w:rsidTr="002F2972">
        <w:tblPrEx>
          <w:tblW w:w="10065" w:type="dxa"/>
          <w:tblInd w:w="-34" w:type="dxa"/>
          <w:tblLook w:val="04A0"/>
        </w:tblPrEx>
        <w:trPr>
          <w:trHeight w:val="3966"/>
        </w:trPr>
        <w:tc>
          <w:tcPr>
            <w:tcW w:w="4868" w:type="dxa"/>
            <w:shd w:val="clear" w:color="auto" w:fill="auto"/>
          </w:tcPr>
          <w:p w:rsidR="005C6E47" w:rsidRPr="00650FF1" w:rsidP="002F2972">
            <w:pPr>
              <w:pStyle w:val="StandardText"/>
              <w:spacing w:before="240" w:after="120" w:line="240" w:lineRule="auto"/>
              <w:rPr>
                <w:rFonts w:ascii="Calibri" w:hAnsi="Calibri"/>
                <w:lang w:val="es-ES_tradnl"/>
              </w:rPr>
            </w:pPr>
          </w:p>
          <w:p w:rsidR="005C6E47" w:rsidRPr="00650FF1" w:rsidP="002F2972">
            <w:pPr>
              <w:pStyle w:val="Title"/>
              <w:numPr>
                <w:ilvl w:val="0"/>
                <w:numId w:val="0"/>
              </w:numPr>
              <w:ind w:left="360"/>
            </w:pPr>
          </w:p>
        </w:tc>
        <w:tc>
          <w:tcPr>
            <w:tcW w:w="5197" w:type="dxa"/>
            <w:shd w:val="clear" w:color="auto" w:fill="auto"/>
            <w:vAlign w:val="center"/>
          </w:tcPr>
          <w:p w:rsidR="005C6E47" w:rsidRPr="00650FF1" w:rsidP="002F2972">
            <w:pPr>
              <w:pStyle w:val="Title"/>
            </w:pPr>
            <w:bookmarkStart w:id="0" w:name="_Toc532285975"/>
            <w:r w:rsidRPr="00650FF1">
              <w:t>Introduction</w:t>
            </w:r>
            <w:bookmarkEnd w:id="0"/>
          </w:p>
        </w:tc>
      </w:tr>
    </w:tbl>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StandardText"/>
        <w:spacing w:before="240" w:after="120" w:line="240" w:lineRule="auto"/>
        <w:ind w:left="185"/>
        <w:rPr>
          <w:rFonts w:ascii="Calibri" w:hAnsi="Calibri"/>
        </w:rPr>
      </w:pPr>
      <w:r w:rsidRPr="00650FF1">
        <w:rPr>
          <w:rFonts w:ascii="Calibri" w:hAnsi="Calibri"/>
        </w:rPr>
        <w:t>Article 18 of Directive 2004/49/EC on railway safety</w:t>
      </w:r>
      <w:r>
        <w:rPr>
          <w:rFonts w:ascii="Calibri" w:hAnsi="Calibri"/>
          <w:vertAlign w:val="superscript"/>
          <w:lang w:val="es-ES_tradnl"/>
        </w:rPr>
        <w:footnoteReference w:id="3"/>
      </w:r>
      <w:r w:rsidRPr="00650FF1">
        <w:rPr>
          <w:rFonts w:ascii="Calibri" w:hAnsi="Calibri"/>
        </w:rPr>
        <w:t>, states:</w:t>
      </w:r>
    </w:p>
    <w:p w:rsidR="005C6E47" w:rsidRPr="00650FF1" w:rsidP="005C6E47">
      <w:pPr>
        <w:pStyle w:val="StandardText"/>
        <w:spacing w:before="240" w:after="120" w:line="240" w:lineRule="auto"/>
        <w:ind w:left="752" w:right="664"/>
        <w:rPr>
          <w:rFonts w:ascii="Calibri" w:hAnsi="Calibri"/>
          <w:i/>
        </w:rPr>
      </w:pPr>
      <w:r w:rsidRPr="00650FF1">
        <w:rPr>
          <w:rFonts w:ascii="Calibri" w:hAnsi="Calibri"/>
          <w:i/>
        </w:rPr>
        <w:t>‘Each year the safety authority shall publish an annual report concerning its activities in the preceding year and send it to the Agency by 30 September at the latest. The report shall contain information on:</w:t>
      </w:r>
    </w:p>
    <w:p w:rsidR="005C6E47" w:rsidRPr="00650FF1" w:rsidP="005C6E47">
      <w:pPr>
        <w:pStyle w:val="StandardText"/>
        <w:spacing w:before="240" w:after="120" w:line="240" w:lineRule="auto"/>
        <w:ind w:left="752" w:right="664"/>
        <w:rPr>
          <w:rFonts w:ascii="Calibri" w:hAnsi="Calibri"/>
          <w:i/>
        </w:rPr>
      </w:pPr>
      <w:r w:rsidRPr="00650FF1">
        <w:rPr>
          <w:rFonts w:ascii="Calibri" w:hAnsi="Calibri"/>
          <w:i/>
          <w:lang w:val="es-ES_tradnl"/>
        </w:rPr>
        <w:t xml:space="preserve">a) </w:t>
      </w:r>
      <w:r w:rsidRPr="00650FF1">
        <w:rPr>
          <w:rFonts w:ascii="Calibri" w:hAnsi="Calibri"/>
          <w:i/>
        </w:rPr>
        <w:t>the development of railway safety, including, for each Member State, an inventory of the common safety indicators (CSIs) laid down in Annex I;</w:t>
      </w:r>
    </w:p>
    <w:p w:rsidR="005C6E47" w:rsidRPr="00650FF1" w:rsidP="005C6E47">
      <w:pPr>
        <w:pStyle w:val="StandardText"/>
        <w:spacing w:before="240" w:after="120" w:line="240" w:lineRule="auto"/>
        <w:ind w:left="752" w:right="664"/>
        <w:rPr>
          <w:rFonts w:ascii="Calibri" w:hAnsi="Calibri"/>
          <w:i/>
        </w:rPr>
      </w:pPr>
      <w:r w:rsidRPr="00650FF1">
        <w:rPr>
          <w:rFonts w:ascii="Calibri" w:hAnsi="Calibri"/>
          <w:i/>
          <w:lang w:val="es-ES_tradnl"/>
        </w:rPr>
        <w:t xml:space="preserve">b) </w:t>
      </w:r>
      <w:r w:rsidRPr="00650FF1">
        <w:rPr>
          <w:rFonts w:ascii="Calibri" w:hAnsi="Calibri"/>
          <w:i/>
        </w:rPr>
        <w:t>important changes in legislation and regulation concerning railway safety;</w:t>
      </w:r>
    </w:p>
    <w:p w:rsidR="005C6E47" w:rsidRPr="00650FF1" w:rsidP="005C6E47">
      <w:pPr>
        <w:pStyle w:val="StandardText"/>
        <w:spacing w:before="240" w:after="120" w:line="240" w:lineRule="auto"/>
        <w:ind w:left="752" w:right="664"/>
        <w:rPr>
          <w:rFonts w:ascii="Calibri" w:hAnsi="Calibri"/>
          <w:i/>
        </w:rPr>
      </w:pPr>
      <w:r w:rsidRPr="00650FF1">
        <w:rPr>
          <w:rFonts w:ascii="Calibri" w:hAnsi="Calibri"/>
          <w:i/>
          <w:lang w:val="es-ES_tradnl"/>
        </w:rPr>
        <w:t xml:space="preserve">c) </w:t>
      </w:r>
      <w:r w:rsidRPr="00650FF1">
        <w:rPr>
          <w:rFonts w:ascii="Calibri" w:hAnsi="Calibri"/>
          <w:i/>
        </w:rPr>
        <w:t>the development of safety certification and safety authorisation;</w:t>
      </w:r>
    </w:p>
    <w:p w:rsidR="005C6E47" w:rsidRPr="00650FF1" w:rsidP="005C6E47">
      <w:pPr>
        <w:pStyle w:val="StandardText"/>
        <w:spacing w:before="240" w:after="120" w:line="240" w:lineRule="auto"/>
        <w:ind w:left="752" w:right="664"/>
        <w:rPr>
          <w:rFonts w:ascii="Calibri" w:hAnsi="Calibri"/>
          <w:i/>
        </w:rPr>
      </w:pPr>
      <w:r w:rsidRPr="00650FF1">
        <w:rPr>
          <w:rFonts w:ascii="Calibri" w:hAnsi="Calibri"/>
          <w:i/>
          <w:lang w:val="es-ES_tradnl"/>
        </w:rPr>
        <w:t xml:space="preserve">d) </w:t>
      </w:r>
      <w:r w:rsidRPr="00650FF1">
        <w:rPr>
          <w:rFonts w:ascii="Calibri" w:hAnsi="Calibri"/>
          <w:i/>
        </w:rPr>
        <w:t>results of and experience relating to the supervision of infrastructure managers and railway undertakings.’</w:t>
      </w:r>
    </w:p>
    <w:p w:rsidR="005C6E47" w:rsidRPr="00650FF1" w:rsidP="005C6E47">
      <w:pPr>
        <w:pStyle w:val="StandardText"/>
        <w:spacing w:before="240" w:after="120" w:line="240" w:lineRule="auto"/>
        <w:ind w:left="185"/>
        <w:rPr>
          <w:rFonts w:ascii="Calibri" w:hAnsi="Calibri"/>
        </w:rPr>
      </w:pPr>
      <w:r w:rsidRPr="00650FF1">
        <w:rPr>
          <w:rFonts w:ascii="Calibri" w:hAnsi="Calibri"/>
        </w:rPr>
        <w:t>This report complies with that requirement. The information contained in the report reflects the situation as at the end of the 2017 financial year, that is, up to 31 December 2017.</w:t>
      </w:r>
    </w:p>
    <w:p w:rsidR="005C6E47" w:rsidRPr="00650FF1" w:rsidP="005C6E47">
      <w:pPr>
        <w:pStyle w:val="StandardText"/>
        <w:spacing w:before="240" w:after="120" w:line="240" w:lineRule="auto"/>
        <w:ind w:left="185"/>
        <w:rPr>
          <w:rFonts w:ascii="Calibri" w:hAnsi="Calibri"/>
        </w:rPr>
      </w:pPr>
      <w:r w:rsidRPr="00650FF1">
        <w:rPr>
          <w:rFonts w:ascii="Calibri" w:hAnsi="Calibri"/>
        </w:rPr>
        <w:t>This report has been prepared by the National Railway Safety Agency (</w:t>
      </w:r>
      <w:r w:rsidRPr="00650FF1">
        <w:rPr>
          <w:rFonts w:ascii="Calibri" w:hAnsi="Calibri"/>
        </w:rPr>
        <w:t>Agencia</w:t>
      </w:r>
      <w:r w:rsidRPr="00650FF1">
        <w:rPr>
          <w:rFonts w:ascii="Calibri" w:hAnsi="Calibri"/>
        </w:rPr>
        <w:t xml:space="preserve"> </w:t>
      </w:r>
      <w:r w:rsidRPr="00650FF1">
        <w:rPr>
          <w:rFonts w:ascii="Calibri" w:hAnsi="Calibri"/>
        </w:rPr>
        <w:t>Estatal</w:t>
      </w:r>
      <w:r w:rsidRPr="00650FF1">
        <w:rPr>
          <w:rFonts w:ascii="Calibri" w:hAnsi="Calibri"/>
        </w:rPr>
        <w:t xml:space="preserve"> de </w:t>
      </w:r>
      <w:r w:rsidRPr="00650FF1">
        <w:rPr>
          <w:rFonts w:ascii="Calibri" w:hAnsi="Calibri"/>
        </w:rPr>
        <w:t>Seguridad</w:t>
      </w:r>
      <w:r w:rsidRPr="00650FF1">
        <w:rPr>
          <w:rFonts w:ascii="Calibri" w:hAnsi="Calibri"/>
        </w:rPr>
        <w:t xml:space="preserve"> </w:t>
      </w:r>
      <w:r w:rsidRPr="00650FF1">
        <w:rPr>
          <w:rFonts w:ascii="Calibri" w:hAnsi="Calibri"/>
        </w:rPr>
        <w:t>Ferroviaria</w:t>
      </w:r>
      <w:r w:rsidRPr="00650FF1">
        <w:rPr>
          <w:rFonts w:ascii="Calibri" w:hAnsi="Calibri"/>
        </w:rPr>
        <w:t>: AESF) to be sent to the European Union Agency for Railways (EUAR), in accordance with the guidelines of that body, for the purposes of:</w:t>
      </w:r>
    </w:p>
    <w:p w:rsidR="005C6E47" w:rsidRPr="00650FF1" w:rsidP="005C6E47">
      <w:pPr>
        <w:pStyle w:val="StandardText"/>
        <w:numPr>
          <w:ilvl w:val="0"/>
          <w:numId w:val="12"/>
        </w:numPr>
        <w:spacing w:before="240" w:after="120" w:line="240" w:lineRule="auto"/>
        <w:ind w:left="741" w:hanging="283"/>
        <w:rPr>
          <w:rFonts w:ascii="Calibri" w:hAnsi="Calibri"/>
        </w:rPr>
      </w:pPr>
      <w:r w:rsidRPr="00650FF1">
        <w:rPr>
          <w:rFonts w:ascii="Calibri" w:hAnsi="Calibri"/>
        </w:rPr>
        <w:t>providing</w:t>
      </w:r>
      <w:r w:rsidRPr="00650FF1">
        <w:rPr>
          <w:rFonts w:ascii="Calibri" w:hAnsi="Calibri"/>
        </w:rPr>
        <w:t xml:space="preserve"> the EUAR with basic information for drafting the biannual safety report.</w:t>
      </w:r>
    </w:p>
    <w:p w:rsidR="005C6E47" w:rsidRPr="00650FF1" w:rsidP="005C6E47">
      <w:pPr>
        <w:pStyle w:val="StandardText"/>
        <w:numPr>
          <w:ilvl w:val="0"/>
          <w:numId w:val="12"/>
        </w:numPr>
        <w:spacing w:before="240" w:after="120" w:line="240" w:lineRule="auto"/>
        <w:ind w:left="741" w:hanging="283"/>
        <w:rPr>
          <w:rFonts w:ascii="Calibri" w:hAnsi="Calibri"/>
        </w:rPr>
      </w:pPr>
      <w:r w:rsidRPr="00650FF1">
        <w:rPr>
          <w:rFonts w:ascii="Calibri" w:hAnsi="Calibri"/>
        </w:rPr>
        <w:t>publication</w:t>
      </w:r>
      <w:r w:rsidRPr="00650FF1">
        <w:rPr>
          <w:rFonts w:ascii="Calibri" w:hAnsi="Calibri"/>
        </w:rPr>
        <w:t xml:space="preserve"> by the EUAR on its website.</w:t>
      </w:r>
    </w:p>
    <w:p w:rsidR="005C6E47" w:rsidRPr="00650FF1" w:rsidP="005C6E47">
      <w:pPr>
        <w:pStyle w:val="StandardText"/>
        <w:spacing w:before="240" w:after="120" w:line="240" w:lineRule="auto"/>
        <w:ind w:left="185"/>
        <w:rPr>
          <w:rFonts w:ascii="Calibri" w:hAnsi="Calibri"/>
        </w:rPr>
      </w:pPr>
      <w:r w:rsidRPr="00650FF1">
        <w:rPr>
          <w:rFonts w:ascii="Calibri" w:hAnsi="Calibri"/>
        </w:rPr>
        <w:t xml:space="preserve">The report is, therefore, directed at the different actors in the railway sector and at the </w:t>
      </w:r>
      <w:r w:rsidRPr="00650FF1">
        <w:rPr>
          <w:rFonts w:ascii="Calibri" w:hAnsi="Calibri"/>
        </w:rPr>
        <w:t>general public</w:t>
      </w:r>
      <w:r w:rsidRPr="00650FF1">
        <w:rPr>
          <w:rFonts w:ascii="Calibri" w:hAnsi="Calibri"/>
        </w:rPr>
        <w:t>, both through dissemination by the EUAR and distribution by the AESF to national actors (railway undertakings and managers, entities in charge of maintenance, certification entities and the accident investigation body).</w:t>
      </w:r>
    </w:p>
    <w:p w:rsidR="005C6E47" w:rsidRPr="00650FF1" w:rsidP="005C6E47">
      <w:pPr>
        <w:pStyle w:val="StandardText"/>
        <w:spacing w:before="240" w:after="120" w:line="240" w:lineRule="auto"/>
        <w:ind w:left="185"/>
        <w:rPr>
          <w:rFonts w:ascii="Calibri" w:hAnsi="Calibri"/>
          <w:color w:val="FF0000"/>
          <w:lang w:val="es-ES_tradnl"/>
        </w:rPr>
      </w:pPr>
    </w:p>
    <w:p w:rsidR="005C6E47" w:rsidRPr="00650FF1" w:rsidP="005C6E47">
      <w:pPr>
        <w:pStyle w:val="StandardText"/>
        <w:spacing w:before="120" w:after="120" w:line="240" w:lineRule="auto"/>
        <w:ind w:left="185"/>
        <w:rPr>
          <w:rFonts w:ascii="Calibri" w:hAnsi="Calibri"/>
        </w:rPr>
      </w:pPr>
      <w:r w:rsidRPr="00650FF1">
        <w:rPr>
          <w:rFonts w:ascii="Calibri" w:hAnsi="Calibri"/>
        </w:rPr>
        <w:t>For the preparation of this report, the Directive states that:</w:t>
      </w:r>
    </w:p>
    <w:p w:rsidR="005C6E47" w:rsidRPr="00650FF1" w:rsidP="005C6E47">
      <w:pPr>
        <w:pStyle w:val="StandardText"/>
        <w:spacing w:before="120" w:after="120" w:line="240" w:lineRule="auto"/>
        <w:ind w:left="752" w:right="589"/>
        <w:rPr>
          <w:rFonts w:ascii="Calibri" w:hAnsi="Calibri"/>
          <w:i/>
        </w:rPr>
      </w:pPr>
      <w:r w:rsidRPr="00650FF1">
        <w:rPr>
          <w:rFonts w:ascii="Calibri" w:hAnsi="Calibri"/>
          <w:i/>
        </w:rPr>
        <w:t>‘Each year all infrastructure managers and railway undertakings shall submit to the safety authority before 30 June an annual safety report concerning the preceding calendar year.’</w:t>
      </w:r>
    </w:p>
    <w:p w:rsidR="005C6E47" w:rsidRPr="00650FF1" w:rsidP="005C6E47">
      <w:pPr>
        <w:pStyle w:val="StandardText"/>
        <w:spacing w:after="120" w:line="240" w:lineRule="auto"/>
        <w:ind w:left="185"/>
        <w:rPr>
          <w:rFonts w:ascii="Calibri" w:hAnsi="Calibri"/>
        </w:rPr>
      </w:pPr>
      <w:r w:rsidRPr="00650FF1">
        <w:rPr>
          <w:rFonts w:ascii="Calibri" w:hAnsi="Calibri"/>
        </w:rPr>
        <w:t xml:space="preserve">Therefore, the agents of the national railway system must submit the information requested in Directive 2004/49/EC through these reports. As in previous years, to facilitate the compilation of data for the preparation of this report, a template of the annual report </w:t>
      </w:r>
      <w:r w:rsidRPr="00650FF1">
        <w:rPr>
          <w:rFonts w:ascii="Calibri" w:hAnsi="Calibri"/>
        </w:rPr>
        <w:t>has been provided</w:t>
      </w:r>
      <w:r w:rsidRPr="00650FF1">
        <w:rPr>
          <w:rFonts w:ascii="Calibri" w:hAnsi="Calibri"/>
        </w:rPr>
        <w:t xml:space="preserve"> to undertakings, and the annual safety reports received from railway undertakings and infrastructure managers have been assessed to identify possible improvements for the preparation of subsequent reports.</w:t>
      </w:r>
    </w:p>
    <w:p w:rsidR="005C6E47" w:rsidRPr="00650FF1" w:rsidP="005C6E47">
      <w:pPr>
        <w:pStyle w:val="StandardText"/>
        <w:spacing w:after="120" w:line="240" w:lineRule="auto"/>
        <w:ind w:left="185"/>
        <w:rPr>
          <w:rFonts w:ascii="Calibri" w:hAnsi="Calibri"/>
          <w:lang w:val="es-ES_tradnl"/>
        </w:rPr>
      </w:pPr>
    </w:p>
    <w:p w:rsidR="005C6E47" w:rsidRPr="00650FF1" w:rsidP="005C6E47">
      <w:pPr>
        <w:pStyle w:val="StandardText"/>
        <w:tabs>
          <w:tab w:val="num" w:pos="900"/>
        </w:tabs>
        <w:spacing w:before="240" w:after="120" w:line="240" w:lineRule="auto"/>
        <w:ind w:left="185"/>
        <w:rPr>
          <w:rFonts w:ascii="Calibri" w:hAnsi="Calibri"/>
        </w:rPr>
      </w:pPr>
      <w:r w:rsidRPr="00650FF1">
        <w:rPr>
          <w:rFonts w:ascii="Calibri" w:hAnsi="Calibri"/>
        </w:rPr>
        <w:t xml:space="preserve">This report includes information on the Public Railway Network (Red </w:t>
      </w:r>
      <w:r w:rsidRPr="00650FF1">
        <w:rPr>
          <w:rFonts w:ascii="Calibri" w:hAnsi="Calibri"/>
        </w:rPr>
        <w:t>Ferroviaria</w:t>
      </w:r>
      <w:r w:rsidRPr="00650FF1">
        <w:rPr>
          <w:rFonts w:ascii="Calibri" w:hAnsi="Calibri"/>
        </w:rPr>
        <w:t xml:space="preserve"> de </w:t>
      </w:r>
      <w:r w:rsidRPr="00650FF1">
        <w:rPr>
          <w:rFonts w:ascii="Calibri" w:hAnsi="Calibri"/>
        </w:rPr>
        <w:t>Interés</w:t>
      </w:r>
      <w:r w:rsidRPr="00650FF1">
        <w:rPr>
          <w:rFonts w:ascii="Calibri" w:hAnsi="Calibri"/>
        </w:rPr>
        <w:t xml:space="preserve"> General: RFIG) administered in 2017 by the railway infrastructure manager </w:t>
      </w:r>
      <w:r w:rsidRPr="00650FF1">
        <w:rPr>
          <w:rFonts w:ascii="Calibri" w:hAnsi="Calibri"/>
        </w:rPr>
        <w:t>Administrador</w:t>
      </w:r>
      <w:r w:rsidRPr="00650FF1">
        <w:rPr>
          <w:rFonts w:ascii="Calibri" w:hAnsi="Calibri"/>
        </w:rPr>
        <w:t xml:space="preserve"> de </w:t>
      </w:r>
      <w:r w:rsidRPr="00650FF1">
        <w:rPr>
          <w:rFonts w:ascii="Calibri" w:hAnsi="Calibri"/>
        </w:rPr>
        <w:t>Infraestructuras</w:t>
      </w:r>
      <w:r w:rsidRPr="00650FF1">
        <w:rPr>
          <w:rFonts w:ascii="Calibri" w:hAnsi="Calibri"/>
        </w:rPr>
        <w:t xml:space="preserve"> </w:t>
      </w:r>
      <w:r w:rsidRPr="00650FF1">
        <w:rPr>
          <w:rFonts w:ascii="Calibri" w:hAnsi="Calibri"/>
        </w:rPr>
        <w:t>Ferroviarias</w:t>
      </w:r>
      <w:r w:rsidRPr="00650FF1">
        <w:rPr>
          <w:rFonts w:ascii="Calibri" w:hAnsi="Calibri"/>
        </w:rPr>
        <w:t xml:space="preserve"> (</w:t>
      </w:r>
      <w:r w:rsidRPr="00650FF1">
        <w:rPr>
          <w:rFonts w:ascii="Calibri" w:hAnsi="Calibri"/>
        </w:rPr>
        <w:t>Adif</w:t>
      </w:r>
      <w:r w:rsidRPr="00650FF1">
        <w:rPr>
          <w:rFonts w:ascii="Calibri" w:hAnsi="Calibri"/>
        </w:rPr>
        <w:t xml:space="preserve">), by </w:t>
      </w:r>
      <w:r w:rsidRPr="00650FF1">
        <w:rPr>
          <w:rFonts w:ascii="Calibri" w:hAnsi="Calibri"/>
        </w:rPr>
        <w:t>Adif</w:t>
      </w:r>
      <w:r w:rsidRPr="00650FF1">
        <w:rPr>
          <w:rFonts w:ascii="Calibri" w:hAnsi="Calibri"/>
        </w:rPr>
        <w:t xml:space="preserve">-Alta </w:t>
      </w:r>
      <w:r w:rsidRPr="00650FF1">
        <w:rPr>
          <w:rFonts w:ascii="Calibri" w:hAnsi="Calibri"/>
        </w:rPr>
        <w:t>Velocidad</w:t>
      </w:r>
      <w:r w:rsidRPr="00650FF1">
        <w:rPr>
          <w:rFonts w:ascii="Calibri" w:hAnsi="Calibri"/>
        </w:rPr>
        <w:t xml:space="preserve"> and by the company </w:t>
      </w:r>
      <w:r w:rsidRPr="00650FF1">
        <w:rPr>
          <w:rFonts w:ascii="Calibri" w:hAnsi="Calibri"/>
        </w:rPr>
        <w:t>Línea</w:t>
      </w:r>
      <w:r w:rsidRPr="00650FF1">
        <w:rPr>
          <w:rFonts w:ascii="Calibri" w:hAnsi="Calibri"/>
        </w:rPr>
        <w:t xml:space="preserve"> </w:t>
      </w:r>
      <w:r w:rsidRPr="00650FF1">
        <w:rPr>
          <w:rFonts w:ascii="Calibri" w:hAnsi="Calibri"/>
        </w:rPr>
        <w:t>Figueras</w:t>
      </w:r>
      <w:r w:rsidRPr="00650FF1">
        <w:rPr>
          <w:rFonts w:ascii="Calibri" w:hAnsi="Calibri"/>
        </w:rPr>
        <w:t xml:space="preserve"> Perpignan (LFP </w:t>
      </w:r>
      <w:r w:rsidRPr="00650FF1">
        <w:rPr>
          <w:rFonts w:ascii="Calibri" w:hAnsi="Calibri"/>
        </w:rPr>
        <w:t>Perthus</w:t>
      </w:r>
      <w:r w:rsidRPr="00650FF1">
        <w:rPr>
          <w:rFonts w:ascii="Calibri" w:hAnsi="Calibri"/>
        </w:rPr>
        <w:t xml:space="preserve">), as well as information on the services and activities that are provided on it. The following </w:t>
      </w:r>
      <w:r w:rsidRPr="00650FF1">
        <w:rPr>
          <w:rFonts w:ascii="Calibri" w:hAnsi="Calibri"/>
        </w:rPr>
        <w:t>are excluded</w:t>
      </w:r>
      <w:r w:rsidRPr="00650FF1">
        <w:rPr>
          <w:rFonts w:ascii="Calibri" w:hAnsi="Calibri"/>
        </w:rPr>
        <w:t xml:space="preserve"> from the scope of application of this report, as permitted by Directive 2004/49:</w:t>
      </w:r>
    </w:p>
    <w:p w:rsidR="005C6E47" w:rsidRPr="00650FF1" w:rsidP="005C6E47">
      <w:pPr>
        <w:pStyle w:val="StandardText"/>
        <w:numPr>
          <w:ilvl w:val="0"/>
          <w:numId w:val="3"/>
        </w:numPr>
        <w:tabs>
          <w:tab w:val="num" w:pos="1068"/>
          <w:tab w:val="clear" w:pos="1811"/>
          <w:tab w:val="left" w:pos="11199"/>
        </w:tabs>
        <w:spacing w:before="240" w:after="120" w:line="240" w:lineRule="auto"/>
        <w:ind w:left="883"/>
        <w:rPr>
          <w:rFonts w:ascii="Calibri" w:hAnsi="Calibri"/>
        </w:rPr>
      </w:pPr>
      <w:r w:rsidRPr="00650FF1">
        <w:rPr>
          <w:rFonts w:ascii="Calibri" w:hAnsi="Calibri"/>
        </w:rPr>
        <w:t>metros, trams and other light rail systems,</w:t>
      </w:r>
    </w:p>
    <w:p w:rsidR="005C6E47" w:rsidRPr="00650FF1" w:rsidP="005C6E47">
      <w:pPr>
        <w:pStyle w:val="StandardText"/>
        <w:numPr>
          <w:ilvl w:val="0"/>
          <w:numId w:val="3"/>
        </w:numPr>
        <w:tabs>
          <w:tab w:val="num" w:pos="883"/>
          <w:tab w:val="num" w:pos="1069"/>
          <w:tab w:val="clear" w:pos="1811"/>
          <w:tab w:val="left" w:pos="11199"/>
        </w:tabs>
        <w:spacing w:before="240" w:after="120" w:line="240" w:lineRule="auto"/>
        <w:ind w:left="883"/>
        <w:rPr>
          <w:rFonts w:ascii="Calibri" w:hAnsi="Calibri"/>
        </w:rPr>
      </w:pPr>
      <w:r w:rsidRPr="00650FF1">
        <w:rPr>
          <w:rFonts w:ascii="Calibri" w:hAnsi="Calibri"/>
        </w:rPr>
        <w:t>networks that are functionally separate from the rest of the railway system and intended only for the operation of local, urban or suburban passenger services, as well as railway undertakings operating solely on these networks,</w:t>
      </w:r>
    </w:p>
    <w:p w:rsidR="005C6E47" w:rsidRPr="00650FF1" w:rsidP="005C6E47">
      <w:pPr>
        <w:pStyle w:val="StandardText"/>
        <w:numPr>
          <w:ilvl w:val="0"/>
          <w:numId w:val="3"/>
        </w:numPr>
        <w:tabs>
          <w:tab w:val="num" w:pos="883"/>
          <w:tab w:val="num" w:pos="1069"/>
          <w:tab w:val="clear" w:pos="1811"/>
          <w:tab w:val="left" w:pos="11199"/>
        </w:tabs>
        <w:spacing w:before="240" w:after="120" w:line="240" w:lineRule="auto"/>
        <w:ind w:left="883"/>
        <w:rPr>
          <w:rFonts w:ascii="Calibri" w:hAnsi="Calibri"/>
        </w:rPr>
      </w:pPr>
      <w:r w:rsidRPr="00650FF1">
        <w:rPr>
          <w:rFonts w:ascii="Calibri" w:hAnsi="Calibri"/>
        </w:rPr>
        <w:t>privately owned railway infrastructure that exists solely for use by the infrastructure owner for their own freight operations,</w:t>
      </w:r>
    </w:p>
    <w:p w:rsidR="005C6E47" w:rsidRPr="00650FF1" w:rsidP="005C6E47">
      <w:pPr>
        <w:pStyle w:val="StandardText"/>
        <w:numPr>
          <w:ilvl w:val="0"/>
          <w:numId w:val="3"/>
        </w:numPr>
        <w:tabs>
          <w:tab w:val="num" w:pos="883"/>
          <w:tab w:val="num" w:pos="1069"/>
          <w:tab w:val="clear" w:pos="1811"/>
          <w:tab w:val="left" w:pos="11199"/>
        </w:tabs>
        <w:spacing w:before="240" w:after="120" w:line="240" w:lineRule="auto"/>
        <w:ind w:left="883"/>
        <w:rPr>
          <w:rFonts w:ascii="Calibri" w:hAnsi="Calibri"/>
        </w:rPr>
      </w:pPr>
      <w:r w:rsidRPr="00650FF1">
        <w:rPr>
          <w:rFonts w:ascii="Calibri" w:hAnsi="Calibri"/>
        </w:rPr>
        <w:t>historical vehicles that travel on the RFIG, as long as they comply with specific safety rules to guarantee the safety of such vehicles,</w:t>
      </w:r>
    </w:p>
    <w:p w:rsidR="005C6E47" w:rsidRPr="00650FF1" w:rsidP="005C6E47">
      <w:pPr>
        <w:pStyle w:val="StandardText"/>
        <w:numPr>
          <w:ilvl w:val="0"/>
          <w:numId w:val="3"/>
        </w:numPr>
        <w:tabs>
          <w:tab w:val="num" w:pos="883"/>
          <w:tab w:val="num" w:pos="1069"/>
          <w:tab w:val="clear" w:pos="1811"/>
          <w:tab w:val="left" w:pos="11199"/>
        </w:tabs>
        <w:spacing w:before="240" w:after="120" w:line="240" w:lineRule="auto"/>
        <w:ind w:left="883"/>
        <w:rPr>
          <w:rFonts w:ascii="Calibri" w:hAnsi="Calibri"/>
        </w:rPr>
      </w:pPr>
      <w:r w:rsidRPr="00650FF1">
        <w:rPr>
          <w:rFonts w:ascii="Calibri" w:hAnsi="Calibri"/>
        </w:rPr>
        <w:t>historical</w:t>
      </w:r>
      <w:r w:rsidRPr="00650FF1">
        <w:rPr>
          <w:rFonts w:ascii="Calibri" w:hAnsi="Calibri"/>
        </w:rPr>
        <w:t>, museum and tourist railways that operate on their own networks, including workshops, vehicles and personnel.</w:t>
      </w:r>
    </w:p>
    <w:p w:rsidR="005C6E47" w:rsidRPr="00650FF1" w:rsidP="005C6E47">
      <w:pPr>
        <w:pStyle w:val="StandardText"/>
        <w:spacing w:before="240" w:after="120" w:line="240" w:lineRule="auto"/>
        <w:ind w:left="187"/>
        <w:rPr>
          <w:rFonts w:ascii="Calibri" w:hAnsi="Calibri"/>
        </w:rPr>
      </w:pPr>
      <w:r w:rsidRPr="00650FF1">
        <w:rPr>
          <w:rFonts w:ascii="Calibri" w:hAnsi="Calibri"/>
        </w:rPr>
        <w:t>This report covers the services and activities provided on the RFIG by railway undertakings that, on that date, were providing commercial passenger services (</w:t>
      </w:r>
      <w:r w:rsidRPr="00650FF1">
        <w:rPr>
          <w:rFonts w:ascii="Calibri" w:hAnsi="Calibri"/>
        </w:rPr>
        <w:t>Renfe</w:t>
      </w:r>
      <w:r w:rsidRPr="00650FF1">
        <w:rPr>
          <w:rFonts w:ascii="Calibri" w:hAnsi="Calibri"/>
        </w:rPr>
        <w:t xml:space="preserve"> </w:t>
      </w:r>
      <w:r w:rsidRPr="00650FF1">
        <w:rPr>
          <w:rFonts w:ascii="Calibri" w:hAnsi="Calibri"/>
        </w:rPr>
        <w:t>Viajeros</w:t>
      </w:r>
      <w:r w:rsidRPr="00650FF1">
        <w:rPr>
          <w:rFonts w:ascii="Calibri" w:hAnsi="Calibri"/>
        </w:rPr>
        <w:t xml:space="preserve">, SNCF, FGC Rail and </w:t>
      </w:r>
      <w:r w:rsidRPr="00650FF1">
        <w:rPr>
          <w:rFonts w:ascii="Calibri" w:hAnsi="Calibri"/>
        </w:rPr>
        <w:t>Alsa</w:t>
      </w:r>
      <w:r w:rsidRPr="00650FF1">
        <w:rPr>
          <w:rFonts w:ascii="Calibri" w:hAnsi="Calibri"/>
        </w:rPr>
        <w:t xml:space="preserve"> </w:t>
      </w:r>
      <w:r w:rsidRPr="00650FF1">
        <w:rPr>
          <w:rFonts w:ascii="Calibri" w:hAnsi="Calibri"/>
        </w:rPr>
        <w:t>Ferrocarriles</w:t>
      </w:r>
      <w:r w:rsidRPr="00650FF1">
        <w:rPr>
          <w:rFonts w:ascii="Calibri" w:hAnsi="Calibri"/>
        </w:rPr>
        <w:t>) and freight services (</w:t>
      </w:r>
      <w:r w:rsidRPr="00650FF1">
        <w:rPr>
          <w:rFonts w:ascii="Calibri" w:hAnsi="Calibri"/>
        </w:rPr>
        <w:t>Acciona</w:t>
      </w:r>
      <w:r w:rsidRPr="00650FF1">
        <w:rPr>
          <w:rFonts w:ascii="Calibri" w:hAnsi="Calibri"/>
        </w:rPr>
        <w:t xml:space="preserve"> Rail Services, </w:t>
      </w:r>
      <w:r w:rsidRPr="00650FF1">
        <w:rPr>
          <w:rFonts w:ascii="Calibri" w:hAnsi="Calibri"/>
        </w:rPr>
        <w:t>Comsa</w:t>
      </w:r>
      <w:r w:rsidRPr="00650FF1">
        <w:rPr>
          <w:rFonts w:ascii="Calibri" w:hAnsi="Calibri"/>
        </w:rPr>
        <w:t xml:space="preserve"> Rail Transport, Continental Rail, </w:t>
      </w:r>
      <w:r w:rsidRPr="00650FF1">
        <w:rPr>
          <w:rFonts w:ascii="Calibri" w:hAnsi="Calibri"/>
        </w:rPr>
        <w:t>Ferrovial</w:t>
      </w:r>
      <w:r w:rsidRPr="00650FF1">
        <w:rPr>
          <w:rFonts w:ascii="Calibri" w:hAnsi="Calibri"/>
        </w:rPr>
        <w:t xml:space="preserve"> Railway, </w:t>
      </w:r>
      <w:r w:rsidRPr="00650FF1">
        <w:rPr>
          <w:rFonts w:ascii="Calibri" w:hAnsi="Calibri"/>
        </w:rPr>
        <w:t>Logitren</w:t>
      </w:r>
      <w:r w:rsidRPr="00650FF1">
        <w:rPr>
          <w:rFonts w:ascii="Calibri" w:hAnsi="Calibri"/>
        </w:rPr>
        <w:t xml:space="preserve"> </w:t>
      </w:r>
      <w:r w:rsidRPr="00650FF1">
        <w:rPr>
          <w:rFonts w:ascii="Calibri" w:hAnsi="Calibri"/>
        </w:rPr>
        <w:t>Ferroviaria</w:t>
      </w:r>
      <w:r w:rsidRPr="00650FF1">
        <w:rPr>
          <w:rFonts w:ascii="Calibri" w:hAnsi="Calibri"/>
        </w:rPr>
        <w:t xml:space="preserve">, Low Cost Rail, </w:t>
      </w:r>
      <w:r w:rsidRPr="00650FF1">
        <w:rPr>
          <w:rFonts w:ascii="Calibri" w:hAnsi="Calibri"/>
        </w:rPr>
        <w:t>Renfe</w:t>
      </w:r>
      <w:r w:rsidRPr="00650FF1">
        <w:rPr>
          <w:rFonts w:ascii="Calibri" w:hAnsi="Calibri"/>
        </w:rPr>
        <w:t xml:space="preserve"> </w:t>
      </w:r>
      <w:r w:rsidRPr="00650FF1">
        <w:rPr>
          <w:rFonts w:ascii="Calibri" w:hAnsi="Calibri"/>
        </w:rPr>
        <w:t>Mercancías</w:t>
      </w:r>
      <w:r w:rsidRPr="00650FF1">
        <w:rPr>
          <w:rFonts w:ascii="Calibri" w:hAnsi="Calibri"/>
        </w:rPr>
        <w:t xml:space="preserve">, </w:t>
      </w:r>
      <w:r w:rsidRPr="00650FF1">
        <w:rPr>
          <w:rFonts w:ascii="Calibri" w:hAnsi="Calibri"/>
        </w:rPr>
        <w:t>Tracción</w:t>
      </w:r>
      <w:r w:rsidRPr="00650FF1">
        <w:rPr>
          <w:rFonts w:ascii="Calibri" w:hAnsi="Calibri"/>
        </w:rPr>
        <w:t xml:space="preserve"> Rail, </w:t>
      </w:r>
      <w:r w:rsidRPr="00650FF1">
        <w:rPr>
          <w:rFonts w:ascii="Calibri" w:hAnsi="Calibri"/>
        </w:rPr>
        <w:t>Transfesa</w:t>
      </w:r>
      <w:r w:rsidRPr="00650FF1">
        <w:rPr>
          <w:rFonts w:ascii="Calibri" w:hAnsi="Calibri"/>
        </w:rPr>
        <w:t xml:space="preserve"> Rail and </w:t>
      </w:r>
      <w:r w:rsidRPr="00650FF1">
        <w:rPr>
          <w:rFonts w:ascii="Calibri" w:hAnsi="Calibri"/>
        </w:rPr>
        <w:t>Transitia</w:t>
      </w:r>
      <w:r w:rsidRPr="00650FF1">
        <w:rPr>
          <w:rFonts w:ascii="Calibri" w:hAnsi="Calibri"/>
        </w:rPr>
        <w:t xml:space="preserve"> Rail).</w:t>
      </w:r>
    </w:p>
    <w:p w:rsidR="005C6E47" w:rsidRPr="00650FF1" w:rsidP="005C6E47">
      <w:pPr>
        <w:pStyle w:val="StandardText"/>
        <w:spacing w:before="240" w:after="120" w:line="240" w:lineRule="auto"/>
        <w:ind w:left="187"/>
        <w:rPr>
          <w:rFonts w:ascii="Calibri" w:hAnsi="Calibri"/>
        </w:rPr>
      </w:pPr>
      <w:r w:rsidRPr="00650FF1">
        <w:rPr>
          <w:rFonts w:ascii="Calibri" w:hAnsi="Calibri"/>
        </w:rPr>
        <w:t xml:space="preserve">2017 was a year of the beginning the transition towards the </w:t>
      </w:r>
      <w:r w:rsidRPr="00650FF1">
        <w:rPr>
          <w:rFonts w:ascii="Calibri" w:hAnsi="Calibri"/>
        </w:rPr>
        <w:t>4th</w:t>
      </w:r>
      <w:r w:rsidRPr="00650FF1">
        <w:rPr>
          <w:rFonts w:ascii="Calibri" w:hAnsi="Calibri"/>
        </w:rPr>
        <w:t xml:space="preserve"> Railway Package, which will be implemented from June 2019, when its technical pillar enters into force, and which will culminate from 2020 with the opening of the internal passenger market. Therefore, in 2017, the AESF continued with its objective of consolidating itself as benchmark in the sector, improving its procedures and working methods, to enable it to be adequately prepared for that moment of change.</w:t>
      </w:r>
    </w:p>
    <w:p w:rsidR="005C6E47" w:rsidRPr="00650FF1" w:rsidP="005C6E47">
      <w:pPr>
        <w:rPr>
          <w:lang w:val="es-ES_tradnl" w:eastAsia="x-none"/>
        </w:rPr>
      </w:pPr>
    </w:p>
    <w:p w:rsidR="005C6E47" w:rsidRPr="00650FF1" w:rsidP="005C6E47">
      <w:pPr>
        <w:rPr>
          <w:lang w:val="es-ES_tradnl" w:eastAsia="x-none"/>
        </w:rPr>
        <w:sectPr w:rsidSect="00F93C52">
          <w:footerReference w:type="first" r:id="rId15"/>
          <w:pgSz w:w="11906" w:h="16838" w:code="9"/>
          <w:pgMar w:top="1560" w:right="992" w:bottom="1418" w:left="1134" w:header="709" w:footer="136" w:gutter="0"/>
          <w:cols w:space="708"/>
          <w:titlePg/>
          <w:docGrid w:linePitch="360"/>
        </w:sectPr>
      </w:pPr>
    </w:p>
    <w:tbl>
      <w:tblPr>
        <w:tblW w:w="10281" w:type="dxa"/>
        <w:tblInd w:w="-34" w:type="dxa"/>
        <w:tblLook w:val="04A0"/>
      </w:tblPr>
      <w:tblGrid>
        <w:gridCol w:w="10281"/>
      </w:tblGrid>
      <w:tr w:rsidTr="002F2972">
        <w:tblPrEx>
          <w:tblW w:w="10281" w:type="dxa"/>
          <w:tblInd w:w="-34" w:type="dxa"/>
          <w:tblLook w:val="04A0"/>
        </w:tblPrEx>
        <w:trPr>
          <w:trHeight w:val="6529"/>
        </w:trPr>
        <w:tc>
          <w:tcPr>
            <w:tcW w:w="10281" w:type="dxa"/>
            <w:shd w:val="clear" w:color="auto" w:fill="auto"/>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8"/>
              <w:gridCol w:w="5197"/>
            </w:tblGrid>
            <w:tr w:rsidTr="002F2972">
              <w:tblPrEx>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703"/>
              </w:trPr>
              <w:tc>
                <w:tcPr>
                  <w:tcW w:w="10065" w:type="dxa"/>
                  <w:gridSpan w:val="2"/>
                  <w:tcBorders>
                    <w:top w:val="nil"/>
                    <w:left w:val="nil"/>
                    <w:bottom w:val="nil"/>
                    <w:right w:val="nil"/>
                  </w:tcBorders>
                  <w:shd w:val="clear" w:color="auto" w:fill="auto"/>
                </w:tcPr>
                <w:p w:rsidR="005C6E47" w:rsidRPr="00650FF1" w:rsidP="002F2972">
                  <w:pPr>
                    <w:pStyle w:val="StandardText"/>
                    <w:spacing w:before="240" w:after="120" w:line="240" w:lineRule="auto"/>
                    <w:rPr>
                      <w:rFonts w:ascii="Calibri" w:hAnsi="Calibri"/>
                      <w:noProof/>
                      <w:snapToGrid/>
                      <w:lang w:val="es-ES_tradnl" w:eastAsia="en-US"/>
                    </w:rPr>
                  </w:pPr>
                </w:p>
              </w:tc>
            </w:tr>
            <w:tr w:rsidTr="002F2972">
              <w:tblPrEx>
                <w:tblW w:w="10065" w:type="dxa"/>
                <w:tblLook w:val="04A0"/>
              </w:tblPrEx>
              <w:trPr>
                <w:trHeight w:val="3966"/>
              </w:trPr>
              <w:tc>
                <w:tcPr>
                  <w:tcW w:w="4868" w:type="dxa"/>
                  <w:tcBorders>
                    <w:top w:val="nil"/>
                    <w:left w:val="nil"/>
                    <w:bottom w:val="nil"/>
                    <w:right w:val="nil"/>
                  </w:tcBorders>
                  <w:shd w:val="clear" w:color="auto" w:fill="auto"/>
                </w:tcPr>
                <w:p w:rsidR="005C6E47" w:rsidRPr="00650FF1" w:rsidP="002F2972">
                  <w:pPr>
                    <w:pStyle w:val="StandardText"/>
                    <w:spacing w:before="240" w:after="120" w:line="240" w:lineRule="auto"/>
                    <w:rPr>
                      <w:rFonts w:ascii="Calibri" w:hAnsi="Calibri"/>
                    </w:rPr>
                  </w:pPr>
                  <w:r w:rsidRPr="00650FF1">
                    <w:rPr>
                      <w:rFonts w:ascii="Calibri" w:hAnsi="Calibri"/>
                      <w:noProof/>
                      <w:lang w:val="fr-FR" w:eastAsia="fr-FR"/>
                    </w:rPr>
                    <w:drawing>
                      <wp:anchor distT="0" distB="0" distL="114300" distR="114300" simplePos="0" relativeHeight="251660288" behindDoc="1" locked="0" layoutInCell="1" allowOverlap="1">
                        <wp:simplePos x="0" y="0"/>
                        <wp:positionH relativeFrom="column">
                          <wp:posOffset>448945</wp:posOffset>
                        </wp:positionH>
                        <wp:positionV relativeFrom="paragraph">
                          <wp:posOffset>30802</wp:posOffset>
                        </wp:positionV>
                        <wp:extent cx="6054090" cy="2590800"/>
                        <wp:effectExtent l="0" t="0" r="381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70343"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p w:rsidR="005C6E47" w:rsidRPr="00650FF1" w:rsidP="002F2972">
                  <w:pPr>
                    <w:pStyle w:val="Title"/>
                    <w:numPr>
                      <w:ilvl w:val="0"/>
                      <w:numId w:val="0"/>
                    </w:numPr>
                    <w:ind w:left="360"/>
                  </w:pPr>
                </w:p>
              </w:tc>
              <w:tc>
                <w:tcPr>
                  <w:tcW w:w="5197" w:type="dxa"/>
                  <w:tcBorders>
                    <w:top w:val="nil"/>
                    <w:left w:val="nil"/>
                    <w:bottom w:val="nil"/>
                    <w:right w:val="nil"/>
                  </w:tcBorders>
                  <w:shd w:val="clear" w:color="auto" w:fill="auto"/>
                  <w:vAlign w:val="center"/>
                </w:tcPr>
                <w:p w:rsidR="005C6E47" w:rsidRPr="00650FF1" w:rsidP="002F2972">
                  <w:pPr>
                    <w:pStyle w:val="Title"/>
                  </w:pPr>
                  <w:bookmarkStart w:id="1" w:name="_Toc532285976"/>
                  <w:r w:rsidRPr="00650FF1">
                    <w:t>English summary</w:t>
                  </w:r>
                  <w:bookmarkEnd w:id="1"/>
                </w:p>
              </w:tc>
            </w:tr>
          </w:tbl>
          <w:p w:rsidR="005C6E47" w:rsidRPr="00650FF1" w:rsidP="002F2972">
            <w:pPr>
              <w:pStyle w:val="StandardText"/>
              <w:spacing w:before="240" w:after="120" w:line="240" w:lineRule="auto"/>
              <w:rPr>
                <w:rFonts w:ascii="Calibri" w:hAnsi="Calibri"/>
                <w:noProof/>
                <w:snapToGrid/>
                <w:lang w:val="es-ES_tradnl" w:eastAsia="en-US"/>
              </w:rPr>
            </w:pPr>
          </w:p>
        </w:tc>
      </w:tr>
    </w:tbl>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StandardText"/>
        <w:spacing w:before="240" w:after="120" w:line="240" w:lineRule="auto"/>
        <w:rPr>
          <w:rFonts w:ascii="Calibri" w:hAnsi="Calibri"/>
          <w:noProof/>
        </w:rPr>
      </w:pPr>
      <w:r w:rsidRPr="00650FF1">
        <w:rPr>
          <w:rFonts w:ascii="Calibri" w:hAnsi="Calibri"/>
          <w:lang w:val="en-US" w:eastAsia="en-US"/>
        </w:rPr>
        <w:t xml:space="preserve">The present report </w:t>
      </w:r>
      <w:r w:rsidRPr="00650FF1">
        <w:rPr>
          <w:rFonts w:ascii="Calibri" w:hAnsi="Calibri"/>
          <w:lang w:val="en-US" w:eastAsia="en-US"/>
        </w:rPr>
        <w:t>has been drafted</w:t>
      </w:r>
      <w:r w:rsidRPr="00650FF1">
        <w:rPr>
          <w:rFonts w:ascii="Calibri" w:hAnsi="Calibri"/>
          <w:lang w:val="en-US" w:eastAsia="en-US"/>
        </w:rPr>
        <w:t xml:space="preserve"> by the </w:t>
      </w:r>
      <w:r w:rsidRPr="00650FF1">
        <w:rPr>
          <w:rFonts w:ascii="Calibri" w:hAnsi="Calibri"/>
          <w:lang w:val="en-US" w:eastAsia="en-US"/>
        </w:rPr>
        <w:t>Agencia</w:t>
      </w:r>
      <w:r w:rsidRPr="00650FF1">
        <w:rPr>
          <w:rFonts w:ascii="Calibri" w:hAnsi="Calibri"/>
          <w:lang w:val="en-US" w:eastAsia="en-US"/>
        </w:rPr>
        <w:t xml:space="preserve"> </w:t>
      </w:r>
      <w:r w:rsidRPr="00650FF1">
        <w:rPr>
          <w:rFonts w:ascii="Calibri" w:hAnsi="Calibri"/>
          <w:lang w:val="en-US" w:eastAsia="en-US"/>
        </w:rPr>
        <w:t>Estatal</w:t>
      </w:r>
      <w:r w:rsidRPr="00650FF1">
        <w:rPr>
          <w:rFonts w:ascii="Calibri" w:hAnsi="Calibri"/>
          <w:lang w:val="en-US" w:eastAsia="en-US"/>
        </w:rPr>
        <w:t xml:space="preserve"> de </w:t>
      </w:r>
      <w:r w:rsidRPr="00650FF1">
        <w:rPr>
          <w:rFonts w:ascii="Calibri" w:hAnsi="Calibri"/>
          <w:lang w:val="en-US" w:eastAsia="en-US"/>
        </w:rPr>
        <w:t>Seguridad</w:t>
      </w:r>
      <w:r w:rsidRPr="00650FF1">
        <w:rPr>
          <w:rFonts w:ascii="Calibri" w:hAnsi="Calibri"/>
          <w:lang w:val="en-US" w:eastAsia="en-US"/>
        </w:rPr>
        <w:t xml:space="preserve"> </w:t>
      </w:r>
      <w:r w:rsidRPr="00650FF1">
        <w:rPr>
          <w:rFonts w:ascii="Calibri" w:hAnsi="Calibri"/>
          <w:lang w:val="en-US" w:eastAsia="en-US"/>
        </w:rPr>
        <w:t>Ferroviaria</w:t>
      </w:r>
      <w:r w:rsidRPr="00650FF1">
        <w:rPr>
          <w:rFonts w:ascii="Calibri" w:hAnsi="Calibri"/>
          <w:lang w:val="en-US" w:eastAsia="en-US"/>
        </w:rPr>
        <w:t xml:space="preserve">, in its role as Safety </w:t>
      </w:r>
      <w:r w:rsidRPr="00650FF1">
        <w:rPr>
          <w:rFonts w:ascii="Calibri" w:hAnsi="Calibri"/>
          <w:lang w:val="en-US" w:eastAsia="en-US"/>
        </w:rPr>
        <w:t>Autority</w:t>
      </w:r>
      <w:r w:rsidRPr="00650FF1">
        <w:rPr>
          <w:rFonts w:ascii="Calibri" w:hAnsi="Calibri"/>
          <w:lang w:val="en-US" w:eastAsia="en-US"/>
        </w:rPr>
        <w:t xml:space="preserve"> of the Spanish network, in order to comply with Article 18 of the Railway Safety Directive 2004/49/EC.</w:t>
      </w:r>
    </w:p>
    <w:p w:rsidR="005C6E47" w:rsidRPr="00650FF1" w:rsidP="005C6E47">
      <w:pPr>
        <w:pStyle w:val="StandardText"/>
        <w:spacing w:before="240" w:after="120" w:line="240" w:lineRule="auto"/>
        <w:rPr>
          <w:rFonts w:ascii="Calibri" w:hAnsi="Calibri"/>
          <w:noProof/>
        </w:rPr>
      </w:pPr>
      <w:r w:rsidRPr="00650FF1">
        <w:rPr>
          <w:rFonts w:ascii="Calibri" w:hAnsi="Calibri"/>
          <w:lang w:val="en-US" w:eastAsia="en-US"/>
        </w:rPr>
        <w:t xml:space="preserve">The information contained in it reflects the situation at the end of the year 2017, that is to say, until </w:t>
      </w:r>
      <w:r w:rsidRPr="00650FF1">
        <w:rPr>
          <w:rFonts w:ascii="Calibri" w:hAnsi="Calibri"/>
          <w:lang w:val="en-US" w:eastAsia="en-US"/>
        </w:rPr>
        <w:t>the 31st of December</w:t>
      </w:r>
      <w:r w:rsidRPr="00650FF1">
        <w:rPr>
          <w:rFonts w:ascii="Calibri" w:hAnsi="Calibri"/>
          <w:lang w:val="en-US" w:eastAsia="en-US"/>
        </w:rPr>
        <w:t xml:space="preserve"> 2017. It includes information related to Railway Network of General Interest (Red </w:t>
      </w:r>
      <w:r w:rsidRPr="00650FF1">
        <w:rPr>
          <w:rFonts w:ascii="Calibri" w:hAnsi="Calibri"/>
          <w:lang w:val="en-US" w:eastAsia="en-US"/>
        </w:rPr>
        <w:t>Ferroviaria</w:t>
      </w:r>
      <w:r w:rsidRPr="00650FF1">
        <w:rPr>
          <w:rFonts w:ascii="Calibri" w:hAnsi="Calibri"/>
          <w:lang w:val="en-US" w:eastAsia="en-US"/>
        </w:rPr>
        <w:t xml:space="preserve"> de </w:t>
      </w:r>
      <w:r w:rsidRPr="00650FF1">
        <w:rPr>
          <w:rFonts w:ascii="Calibri" w:hAnsi="Calibri"/>
          <w:lang w:val="en-US" w:eastAsia="en-US"/>
        </w:rPr>
        <w:t>Interés</w:t>
      </w:r>
      <w:r w:rsidRPr="00650FF1">
        <w:rPr>
          <w:rFonts w:ascii="Calibri" w:hAnsi="Calibri"/>
          <w:lang w:val="en-US" w:eastAsia="en-US"/>
        </w:rPr>
        <w:t xml:space="preserve"> General - RFIG) managed by the infrastructure managers ADIF, ADIF-Alta </w:t>
      </w:r>
      <w:r w:rsidRPr="00650FF1">
        <w:rPr>
          <w:rFonts w:ascii="Calibri" w:hAnsi="Calibri"/>
          <w:lang w:val="en-US" w:eastAsia="en-US"/>
        </w:rPr>
        <w:t>Velocidad</w:t>
      </w:r>
      <w:r w:rsidRPr="00650FF1">
        <w:rPr>
          <w:rFonts w:ascii="Calibri" w:hAnsi="Calibri"/>
          <w:lang w:val="en-US" w:eastAsia="en-US"/>
        </w:rPr>
        <w:t xml:space="preserve"> and the company ‘LFP </w:t>
      </w:r>
      <w:r w:rsidRPr="00650FF1">
        <w:rPr>
          <w:rFonts w:ascii="Calibri" w:hAnsi="Calibri"/>
          <w:lang w:val="en-US" w:eastAsia="en-US"/>
        </w:rPr>
        <w:t>Perthus</w:t>
      </w:r>
      <w:r w:rsidRPr="00650FF1">
        <w:rPr>
          <w:rFonts w:ascii="Calibri" w:hAnsi="Calibri"/>
          <w:lang w:val="en-US" w:eastAsia="en-US"/>
        </w:rPr>
        <w:t>’, as well as all services and activities provided over this network.</w:t>
      </w:r>
    </w:p>
    <w:p w:rsidR="005C6E47" w:rsidRPr="00650FF1" w:rsidP="005C6E47">
      <w:pPr>
        <w:pStyle w:val="StandardText"/>
        <w:spacing w:before="240" w:after="120" w:line="240" w:lineRule="auto"/>
        <w:rPr>
          <w:rFonts w:ascii="Calibri" w:hAnsi="Calibri"/>
          <w:noProof/>
        </w:rPr>
      </w:pPr>
      <w:r w:rsidRPr="00650FF1">
        <w:rPr>
          <w:rFonts w:ascii="Calibri" w:hAnsi="Calibri"/>
          <w:lang w:val="en-US" w:eastAsia="en-US"/>
        </w:rPr>
        <w:t xml:space="preserve">This report </w:t>
      </w:r>
      <w:r w:rsidRPr="00650FF1">
        <w:rPr>
          <w:rFonts w:ascii="Calibri" w:hAnsi="Calibri"/>
          <w:lang w:val="en-US" w:eastAsia="en-US"/>
        </w:rPr>
        <w:t>will be sent</w:t>
      </w:r>
      <w:r w:rsidRPr="00650FF1">
        <w:rPr>
          <w:rFonts w:ascii="Calibri" w:hAnsi="Calibri"/>
          <w:lang w:val="en-US" w:eastAsia="en-US"/>
        </w:rPr>
        <w:t xml:space="preserve"> to the European Union Agency for Railways (EUAR), in accordance with Agency’s guidelines, with the aim to be disseminated among the different stakeholders from railway sector.</w:t>
      </w:r>
    </w:p>
    <w:p w:rsidR="005C6E47" w:rsidRPr="00650FF1" w:rsidP="005C6E47">
      <w:pPr>
        <w:pStyle w:val="StandardText"/>
        <w:spacing w:before="240" w:after="120" w:line="240" w:lineRule="auto"/>
        <w:rPr>
          <w:rFonts w:ascii="Calibri" w:hAnsi="Calibri"/>
          <w:noProof/>
        </w:rPr>
      </w:pPr>
      <w:r w:rsidRPr="00650FF1">
        <w:rPr>
          <w:rFonts w:ascii="Calibri" w:hAnsi="Calibri"/>
          <w:lang w:val="en-US" w:eastAsia="en-US"/>
        </w:rPr>
        <w:t xml:space="preserve">From the AESF’s point of view, 2017 is a year for the beginning of the transition towards the Fourth Railway Package, which will be </w:t>
      </w:r>
      <w:r w:rsidRPr="00650FF1">
        <w:rPr>
          <w:rFonts w:ascii="Calibri" w:hAnsi="Calibri"/>
          <w:lang w:val="en-US" w:eastAsia="en-US"/>
        </w:rPr>
        <w:t>materialised</w:t>
      </w:r>
      <w:r w:rsidRPr="00650FF1">
        <w:rPr>
          <w:rFonts w:ascii="Calibri" w:hAnsi="Calibri"/>
          <w:lang w:val="en-US" w:eastAsia="en-US"/>
        </w:rPr>
        <w:t xml:space="preserve"> from June 2019 with the entry into force of its Technical Pillar and it </w:t>
      </w:r>
      <w:r w:rsidRPr="00650FF1">
        <w:rPr>
          <w:rFonts w:ascii="Calibri" w:hAnsi="Calibri"/>
          <w:lang w:val="en-US" w:eastAsia="en-US"/>
        </w:rPr>
        <w:t>will be completed</w:t>
      </w:r>
      <w:r w:rsidRPr="00650FF1">
        <w:rPr>
          <w:rFonts w:ascii="Calibri" w:hAnsi="Calibri"/>
          <w:lang w:val="en-US" w:eastAsia="en-US"/>
        </w:rPr>
        <w:t xml:space="preserve"> from 2020 on with the opening of domestic market of passengers. Therefore, during 2017 AESF has continued with the objective of consolidating as a reference within the sector, improving its procedures and working methods, in order to be properly prepared at this time of change.</w:t>
      </w:r>
    </w:p>
    <w:p w:rsidR="005C6E47" w:rsidRPr="00650FF1" w:rsidP="005C6E47">
      <w:pPr>
        <w:pStyle w:val="StandardText"/>
        <w:spacing w:before="240" w:after="120" w:line="240" w:lineRule="auto"/>
        <w:rPr>
          <w:rFonts w:ascii="Calibri" w:hAnsi="Calibri"/>
          <w:noProof/>
        </w:rPr>
      </w:pPr>
      <w:r w:rsidRPr="00650FF1">
        <w:rPr>
          <w:rFonts w:ascii="Calibri" w:hAnsi="Calibri"/>
          <w:lang w:val="en-US" w:eastAsia="en-US"/>
        </w:rPr>
        <w:t xml:space="preserve">In </w:t>
      </w:r>
      <w:r w:rsidRPr="00650FF1">
        <w:rPr>
          <w:rFonts w:ascii="Calibri" w:hAnsi="Calibri"/>
          <w:lang w:val="en-US" w:eastAsia="en-US"/>
        </w:rPr>
        <w:t>2017</w:t>
      </w:r>
      <w:r w:rsidRPr="00650FF1">
        <w:rPr>
          <w:rFonts w:ascii="Calibri" w:hAnsi="Calibri"/>
          <w:lang w:val="en-US" w:eastAsia="en-US"/>
        </w:rPr>
        <w:t xml:space="preserve"> improvement strategies have been initiated involving the whole national sector that shall continue in successive years. Some of the established actions are the follow up of the modification of </w:t>
      </w:r>
      <w:r w:rsidRPr="00650FF1">
        <w:rPr>
          <w:rFonts w:ascii="Calibri" w:hAnsi="Calibri"/>
          <w:lang w:val="en-US" w:eastAsia="en-US"/>
        </w:rPr>
        <w:t>the Regulation of Railway Operation (</w:t>
      </w:r>
      <w:r w:rsidRPr="00650FF1">
        <w:rPr>
          <w:rFonts w:ascii="Calibri" w:hAnsi="Calibri"/>
          <w:lang w:val="en-US" w:eastAsia="en-US"/>
        </w:rPr>
        <w:t>Reglamento</w:t>
      </w:r>
      <w:r w:rsidRPr="00650FF1">
        <w:rPr>
          <w:rFonts w:ascii="Calibri" w:hAnsi="Calibri"/>
          <w:lang w:val="en-US" w:eastAsia="en-US"/>
        </w:rPr>
        <w:t xml:space="preserve"> de </w:t>
      </w:r>
      <w:r w:rsidRPr="00650FF1">
        <w:rPr>
          <w:rFonts w:ascii="Calibri" w:hAnsi="Calibri"/>
          <w:lang w:val="en-US" w:eastAsia="en-US"/>
        </w:rPr>
        <w:t>Circulación</w:t>
      </w:r>
      <w:r w:rsidRPr="00650FF1">
        <w:rPr>
          <w:rFonts w:ascii="Calibri" w:hAnsi="Calibri"/>
          <w:lang w:val="en-US" w:eastAsia="en-US"/>
        </w:rPr>
        <w:t xml:space="preserve"> </w:t>
      </w:r>
      <w:r w:rsidRPr="00650FF1">
        <w:rPr>
          <w:rFonts w:ascii="Calibri" w:hAnsi="Calibri"/>
          <w:lang w:val="en-US" w:eastAsia="en-US"/>
        </w:rPr>
        <w:t>Ferroviaria</w:t>
      </w:r>
      <w:r w:rsidRPr="00650FF1">
        <w:rPr>
          <w:rFonts w:ascii="Calibri" w:hAnsi="Calibri"/>
          <w:lang w:val="en-US" w:eastAsia="en-US"/>
        </w:rPr>
        <w:t xml:space="preserve"> – RCF), the improvement of safety </w:t>
      </w:r>
      <w:r w:rsidRPr="00650FF1">
        <w:rPr>
          <w:rFonts w:ascii="Calibri" w:hAnsi="Calibri"/>
          <w:lang w:val="en-US" w:eastAsia="en-US"/>
        </w:rPr>
        <w:t>equipments</w:t>
      </w:r>
      <w:r w:rsidRPr="00650FF1">
        <w:rPr>
          <w:rFonts w:ascii="Calibri" w:hAnsi="Calibri"/>
          <w:lang w:val="en-US" w:eastAsia="en-US"/>
        </w:rPr>
        <w:t xml:space="preserve"> and network communications and improvement of protection in level crossings and crossing boards.</w:t>
      </w:r>
    </w:p>
    <w:p w:rsidR="005C6E47" w:rsidRPr="00650FF1" w:rsidP="005C6E47">
      <w:pPr>
        <w:pStyle w:val="StandardText"/>
        <w:spacing w:before="240" w:after="120" w:line="240" w:lineRule="auto"/>
        <w:rPr>
          <w:rFonts w:ascii="Calibri" w:hAnsi="Calibri"/>
          <w:noProof/>
        </w:rPr>
      </w:pPr>
      <w:r w:rsidRPr="00650FF1">
        <w:rPr>
          <w:rFonts w:ascii="Calibri" w:hAnsi="Calibri"/>
          <w:lang w:val="en-US" w:eastAsia="en-US"/>
        </w:rPr>
        <w:t>In relation to safety performance, 2017 has been a year without singular accidents, in which level-crossing accidents have had more weight due to their consequences. However, some trends show an increase in precursors (SPADs or broken rails) or an increase in the total number of significant accidents, issues that shall be under surveillance in the coming years, to confirm that 2017 results do not entail trend changes and they are only on-time data within a series of a certain stability.</w:t>
      </w:r>
    </w:p>
    <w:p w:rsidR="005C6E47" w:rsidRPr="00650FF1" w:rsidP="005C6E47">
      <w:pPr>
        <w:jc w:val="both"/>
        <w:rPr>
          <w:rFonts w:ascii="Calibri" w:hAnsi="Calibri"/>
          <w:noProof/>
        </w:rPr>
      </w:pPr>
      <w:r w:rsidRPr="00650FF1">
        <w:rPr>
          <w:rFonts w:ascii="Calibri" w:hAnsi="Calibri"/>
          <w:lang w:val="en-US" w:eastAsia="en-US"/>
        </w:rPr>
        <w:t>Regarding the European regulation implementation (safety management systems, risk approach, internal monitoring…), AESF notes a progressive improvement of the understanding and application by the entities from national sector, though there is still room for improvement in certain aspects which are subject to particular attention to be paid by AESF during its assessment and supervision activities.</w:t>
      </w:r>
      <w:r w:rsidRPr="00650FF1">
        <w:br w:type="page"/>
      </w:r>
    </w:p>
    <w:p w:rsidR="005C6E47" w:rsidRPr="00650FF1" w:rsidP="005C6E47">
      <w:pPr>
        <w:rPr>
          <w:lang w:val="en-US"/>
        </w:rPr>
      </w:pPr>
    </w:p>
    <w:tbl>
      <w:tblPr>
        <w:tblW w:w="10281" w:type="dxa"/>
        <w:tblInd w:w="-34" w:type="dxa"/>
        <w:tblLook w:val="04A0"/>
      </w:tblPr>
      <w:tblGrid>
        <w:gridCol w:w="4972"/>
        <w:gridCol w:w="5309"/>
      </w:tblGrid>
      <w:tr w:rsidTr="002F2972">
        <w:tblPrEx>
          <w:tblW w:w="10281" w:type="dxa"/>
          <w:tblInd w:w="-34" w:type="dxa"/>
          <w:tblLook w:val="04A0"/>
        </w:tblPrEx>
        <w:trPr>
          <w:trHeight w:val="3966"/>
        </w:trPr>
        <w:tc>
          <w:tcPr>
            <w:tcW w:w="4972" w:type="dxa"/>
            <w:shd w:val="clear" w:color="auto" w:fill="auto"/>
          </w:tcPr>
          <w:p w:rsidR="005C6E47" w:rsidRPr="00650FF1" w:rsidP="002F2972">
            <w:pPr>
              <w:pStyle w:val="StandardText"/>
              <w:spacing w:before="240" w:after="120" w:line="240" w:lineRule="auto"/>
              <w:rPr>
                <w:rFonts w:ascii="Calibri" w:hAnsi="Calibri"/>
              </w:rPr>
            </w:pPr>
            <w:r w:rsidRPr="00650FF1">
              <w:rPr>
                <w:rFonts w:ascii="Calibri" w:hAnsi="Calibri"/>
                <w:noProof/>
                <w:lang w:val="fr-FR" w:eastAsia="fr-FR"/>
              </w:rPr>
              <w:drawing>
                <wp:anchor distT="0" distB="0" distL="114300" distR="114300" simplePos="0" relativeHeight="251668480" behindDoc="1" locked="0" layoutInCell="1" allowOverlap="1">
                  <wp:simplePos x="0" y="0"/>
                  <wp:positionH relativeFrom="column">
                    <wp:posOffset>272415</wp:posOffset>
                  </wp:positionH>
                  <wp:positionV relativeFrom="paragraph">
                    <wp:posOffset>55245</wp:posOffset>
                  </wp:positionV>
                  <wp:extent cx="6054090" cy="2590800"/>
                  <wp:effectExtent l="0" t="0" r="381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04347"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p w:rsidR="005C6E47" w:rsidRPr="00650FF1" w:rsidP="002F2972">
            <w:pPr>
              <w:pStyle w:val="Title"/>
              <w:numPr>
                <w:ilvl w:val="0"/>
                <w:numId w:val="0"/>
              </w:numPr>
              <w:ind w:left="360"/>
              <w:rPr>
                <w:lang w:val="en-US"/>
              </w:rPr>
            </w:pPr>
          </w:p>
        </w:tc>
        <w:tc>
          <w:tcPr>
            <w:tcW w:w="5309" w:type="dxa"/>
            <w:shd w:val="clear" w:color="auto" w:fill="auto"/>
            <w:vAlign w:val="center"/>
          </w:tcPr>
          <w:p w:rsidR="005C6E47" w:rsidRPr="00650FF1" w:rsidP="002B0E2D">
            <w:pPr>
              <w:pStyle w:val="Title"/>
              <w:tabs>
                <w:tab w:val="clear" w:pos="175"/>
                <w:tab w:val="left" w:pos="449"/>
                <w:tab w:val="left" w:pos="1158"/>
                <w:tab w:val="clear" w:pos="1310"/>
              </w:tabs>
              <w:ind w:left="449" w:right="533"/>
              <w:jc w:val="left"/>
            </w:pPr>
            <w:bookmarkStart w:id="2" w:name="_Toc532285977"/>
            <w:r w:rsidRPr="00650FF1">
              <w:t>The National Railway Safety Agency</w:t>
            </w:r>
            <w:bookmarkEnd w:id="2"/>
          </w:p>
        </w:tc>
      </w:tr>
    </w:tbl>
    <w:p w:rsidR="005C6E47" w:rsidRPr="00650FF1" w:rsidP="005C6E47">
      <w:pPr>
        <w:pStyle w:val="StandardText"/>
        <w:spacing w:before="240" w:after="120" w:line="240" w:lineRule="auto"/>
        <w:ind w:left="185"/>
        <w:rPr>
          <w:rFonts w:ascii="Calibri" w:hAnsi="Calibri"/>
          <w:lang w:val="es-ES_tradnl"/>
        </w:rPr>
      </w:pPr>
    </w:p>
    <w:p w:rsidR="005C6E47" w:rsidRPr="00140FC2" w:rsidP="00140FC2">
      <w:pPr>
        <w:pStyle w:val="Subtitulo1"/>
        <w:numPr>
          <w:ilvl w:val="0"/>
          <w:numId w:val="2"/>
        </w:numPr>
        <w:tabs>
          <w:tab w:val="num" w:pos="894"/>
        </w:tabs>
        <w:ind w:left="600"/>
        <w:rPr>
          <w:lang w:val="es-ES_tradnl"/>
        </w:rPr>
      </w:pPr>
      <w:r w:rsidRPr="00140FC2">
        <w:rPr>
          <w:lang w:val="es-ES_tradnl"/>
        </w:rPr>
        <w:t>Powers of the Agency</w:t>
      </w:r>
    </w:p>
    <w:p w:rsidR="005C6E47" w:rsidRPr="00650FF1" w:rsidP="005C6E47">
      <w:pPr>
        <w:pStyle w:val="StandardText"/>
        <w:spacing w:before="240" w:after="120" w:line="240" w:lineRule="auto"/>
        <w:ind w:left="185"/>
        <w:rPr>
          <w:rFonts w:ascii="Calibri" w:hAnsi="Calibri"/>
        </w:rPr>
      </w:pPr>
      <w:r w:rsidRPr="00650FF1">
        <w:rPr>
          <w:rFonts w:ascii="Calibri" w:hAnsi="Calibri"/>
        </w:rPr>
        <w:t xml:space="preserve">The AESF is a public body regulated by Law 28/2006, of 18 July, on state agencies for the improvement of public services, and </w:t>
      </w:r>
      <w:r w:rsidRPr="00650FF1">
        <w:rPr>
          <w:rFonts w:ascii="Calibri" w:hAnsi="Calibri"/>
        </w:rPr>
        <w:t>is attached</w:t>
      </w:r>
      <w:r w:rsidRPr="00650FF1">
        <w:rPr>
          <w:rFonts w:ascii="Calibri" w:hAnsi="Calibri"/>
        </w:rPr>
        <w:t xml:space="preserve"> to the Ministry of Public Works through the Secretariat-General for Infrastructure.</w:t>
      </w:r>
    </w:p>
    <w:p w:rsidR="005C6E47" w:rsidRPr="00650FF1" w:rsidP="005C6E47">
      <w:pPr>
        <w:pStyle w:val="StandardText"/>
        <w:keepNext/>
        <w:spacing w:before="240" w:after="120" w:line="240" w:lineRule="auto"/>
        <w:ind w:left="185"/>
        <w:jc w:val="center"/>
      </w:pPr>
      <w:r w:rsidRPr="00650FF1">
        <w:rPr>
          <w:noProof/>
          <w:lang w:val="fr-FR" w:eastAsia="fr-FR"/>
        </w:rPr>
        <w:drawing>
          <wp:inline distT="0" distB="0" distL="0" distR="0">
            <wp:extent cx="4381540" cy="3179929"/>
            <wp:effectExtent l="0" t="0" r="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87568" name="AdscripcionAesfMfom--180926.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381716" cy="3180056"/>
                    </a:xfrm>
                    <a:prstGeom prst="rect">
                      <a:avLst/>
                    </a:prstGeom>
                  </pic:spPr>
                </pic:pic>
              </a:graphicData>
            </a:graphic>
          </wp:inline>
        </w:drawing>
      </w:r>
    </w:p>
    <w:p w:rsidR="005C6E47" w:rsidRPr="00650FF1" w:rsidP="005C6E47">
      <w:pPr>
        <w:pStyle w:val="Caption"/>
      </w:pPr>
      <w:r w:rsidRPr="00650FF1">
        <w:t xml:space="preserve">Figure </w:t>
      </w:r>
      <w:r>
        <w:fldChar w:fldCharType="begin"/>
      </w:r>
      <w:r>
        <w:instrText xml:space="preserve"> SEQ Gráfico \* ARABIC </w:instrText>
      </w:r>
      <w:r>
        <w:fldChar w:fldCharType="separate"/>
      </w:r>
      <w:r w:rsidRPr="00650FF1">
        <w:t>1</w:t>
      </w:r>
      <w:r w:rsidRPr="00650FF1">
        <w:fldChar w:fldCharType="end"/>
      </w:r>
      <w:r w:rsidRPr="00650FF1">
        <w:t>. Organisational position of the AESF</w:t>
      </w:r>
    </w:p>
    <w:tbl>
      <w:tblPr>
        <w:tblStyle w:val="TableGrid"/>
        <w:tblW w:w="9811" w:type="dxa"/>
        <w:tblInd w:w="185" w:type="dxa"/>
        <w:tblLook w:val="04A0"/>
      </w:tblPr>
      <w:tblGrid>
        <w:gridCol w:w="4924"/>
        <w:gridCol w:w="4887"/>
      </w:tblGrid>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MINISTERIO DE FOMENTO</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MINISTRY OF PUBLIC WORKS</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ADIF</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ADIF</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ADIF – AV</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ADIF – AV</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RENFE</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RENFE</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 xml:space="preserve">Secretaría de Estado de Infraestructuras, </w:t>
            </w:r>
            <w:r w:rsidRPr="00650FF1">
              <w:rPr>
                <w:rFonts w:ascii="Calibri" w:hAnsi="Calibri"/>
                <w:lang w:val="es-ES_tradnl"/>
              </w:rPr>
              <w:t>Transport</w:t>
            </w:r>
            <w:r w:rsidRPr="00650FF1">
              <w:rPr>
                <w:rFonts w:ascii="Calibri" w:hAnsi="Calibri"/>
                <w:lang w:val="es-ES_tradnl"/>
              </w:rPr>
              <w:t xml:space="preserve"> y Vivienda</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State Secretariat for Infrastructure, Transport and Housing</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Secretaría General de Infraestructuras</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Secretariat-General for Infrastructure</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Secretaría General de Transporte</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Secretariat-General for Transport</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Subsecretaría</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Undersecretariat</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Subd</w:t>
            </w:r>
            <w:r w:rsidRPr="00650FF1">
              <w:rPr>
                <w:rFonts w:ascii="Calibri" w:hAnsi="Calibri"/>
                <w:lang w:val="es-ES_tradnl"/>
              </w:rPr>
              <w:t>. Gral. De Planificación Ferroviaria</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Subdirectorate</w:t>
            </w:r>
            <w:r w:rsidRPr="00650FF1">
              <w:rPr>
                <w:rFonts w:ascii="Calibri" w:hAnsi="Calibri"/>
              </w:rPr>
              <w:t>- General for Railway Planning</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Dirección General de Transporte Terrestre</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Directorate-General of Land Transport</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Comisión de Investigación de Accidentes Ferroviarios</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Railway Accident Investigation Commission</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AGENCIA ESTATAL DE SEGURIDAD FERROVIARIA</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NATIONAL RAILWAY SAFETY AGENCY</w:t>
            </w:r>
          </w:p>
        </w:tc>
      </w:tr>
    </w:tbl>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StandardText"/>
        <w:spacing w:before="240" w:after="120" w:line="240" w:lineRule="auto"/>
        <w:ind w:left="185"/>
        <w:rPr>
          <w:rFonts w:ascii="Calibri" w:hAnsi="Calibri"/>
        </w:rPr>
      </w:pPr>
      <w:r w:rsidRPr="00650FF1">
        <w:rPr>
          <w:rFonts w:ascii="Calibri" w:hAnsi="Calibri"/>
        </w:rPr>
        <w:t xml:space="preserve">Its articles of association were approved by </w:t>
      </w:r>
      <w:hyperlink r:id="rId17" w:tgtFrame="_blank" w:tooltip="Link to file with the extension .pdf. This link opens in a new window" w:history="1">
        <w:r w:rsidRPr="00650FF1">
          <w:rPr>
            <w:rFonts w:ascii="Calibri" w:hAnsi="Calibri"/>
          </w:rPr>
          <w:t>Royal Decree 1072/2014, of 19 December</w:t>
        </w:r>
      </w:hyperlink>
      <w:r w:rsidRPr="00650FF1">
        <w:rPr>
          <w:rFonts w:ascii="Calibri" w:hAnsi="Calibri"/>
        </w:rPr>
        <w:t>, which established 1 April 2015 as the date on which it commenced its activity</w:t>
      </w:r>
      <w:r w:rsidRPr="00650FF1">
        <w:rPr>
          <w:rFonts w:ascii="Calibri" w:hAnsi="Calibri"/>
        </w:rPr>
        <w:t>.</w:t>
      </w:r>
    </w:p>
    <w:p w:rsidR="005C6E47" w:rsidRPr="00650FF1" w:rsidP="005C6E47">
      <w:pPr>
        <w:pStyle w:val="StandardText"/>
        <w:spacing w:before="240" w:after="120" w:line="240" w:lineRule="auto"/>
        <w:ind w:left="185"/>
        <w:rPr>
          <w:rFonts w:ascii="Calibri" w:hAnsi="Calibri"/>
        </w:rPr>
      </w:pPr>
      <w:r w:rsidRPr="00650FF1">
        <w:rPr>
          <w:rFonts w:ascii="Calibri" w:hAnsi="Calibri"/>
        </w:rPr>
        <w:t>Within the scope of the Agency's competences (the RFIG), it is the authority responsible for railway safety, as set out in Law 38/2015, of 29 September, on the Railway Sector, regulating and supervising the safety of all parts of the railway system: infrastructure, rolling stock, railway personnel and railway operations.</w:t>
      </w:r>
    </w:p>
    <w:p w:rsidR="005C6E47" w:rsidRPr="00650FF1" w:rsidP="005C6E47">
      <w:pPr>
        <w:pStyle w:val="StandardText"/>
        <w:spacing w:before="240" w:after="120" w:line="240" w:lineRule="auto"/>
        <w:ind w:left="185"/>
        <w:rPr>
          <w:rFonts w:ascii="Calibri" w:hAnsi="Calibri"/>
        </w:rPr>
      </w:pPr>
      <w:r w:rsidRPr="00650FF1">
        <w:rPr>
          <w:rFonts w:ascii="Calibri" w:hAnsi="Calibri"/>
        </w:rPr>
        <w:t>It also carries out those functions related to the interoperability of the railway system for which the state is responsible, and is likewise responsible for granting, suspending and revoking the licences of railway undertakings.</w:t>
      </w:r>
    </w:p>
    <w:p w:rsidR="005C6E47" w:rsidRPr="00650FF1" w:rsidP="005C6E47">
      <w:pPr>
        <w:pStyle w:val="StandardText"/>
        <w:spacing w:before="240" w:after="120" w:line="240" w:lineRule="auto"/>
        <w:ind w:left="185"/>
        <w:rPr>
          <w:rFonts w:ascii="Calibri" w:hAnsi="Calibri"/>
        </w:rPr>
      </w:pPr>
      <w:r w:rsidRPr="00650FF1">
        <w:rPr>
          <w:rFonts w:ascii="Calibri" w:hAnsi="Calibri"/>
        </w:rPr>
        <w:t xml:space="preserve">For more information about the Agency, visit its website: </w:t>
      </w:r>
      <w:hyperlink r:id="rId18" w:history="1">
        <w:r w:rsidRPr="00650FF1">
          <w:rPr>
            <w:rStyle w:val="Hyperlink"/>
            <w:rFonts w:ascii="Calibri" w:hAnsi="Calibri"/>
          </w:rPr>
          <w:t>www.seguridadferroviaria.es</w:t>
        </w:r>
      </w:hyperlink>
    </w:p>
    <w:p w:rsidR="005C6E47" w:rsidRPr="00650FF1" w:rsidP="005C6E47">
      <w:pPr>
        <w:pStyle w:val="StandardText"/>
        <w:spacing w:before="240" w:after="120" w:line="240" w:lineRule="auto"/>
        <w:ind w:left="185"/>
        <w:rPr>
          <w:rFonts w:ascii="Calibri" w:hAnsi="Calibri"/>
          <w:lang w:val="es-ES_tradnl"/>
        </w:rPr>
      </w:pPr>
    </w:p>
    <w:p w:rsidR="005C6E47" w:rsidRPr="00637CB5" w:rsidP="00637CB5">
      <w:pPr>
        <w:pStyle w:val="Subtitulo1"/>
        <w:numPr>
          <w:ilvl w:val="0"/>
          <w:numId w:val="2"/>
        </w:numPr>
        <w:tabs>
          <w:tab w:val="num" w:pos="894"/>
        </w:tabs>
        <w:ind w:left="600"/>
        <w:rPr>
          <w:lang w:val="es-ES_tradnl"/>
        </w:rPr>
      </w:pPr>
      <w:r w:rsidRPr="00637CB5">
        <w:rPr>
          <w:lang w:val="es-ES_tradnl"/>
        </w:rPr>
        <w:t>The Agency's action principles</w:t>
      </w:r>
    </w:p>
    <w:p w:rsidR="005C6E47" w:rsidRPr="00650FF1" w:rsidP="005C6E47">
      <w:pPr>
        <w:pStyle w:val="StandardText"/>
        <w:spacing w:before="240" w:after="120" w:line="240" w:lineRule="auto"/>
        <w:ind w:left="187"/>
        <w:rPr>
          <w:rFonts w:ascii="Calibri" w:hAnsi="Calibri"/>
        </w:rPr>
      </w:pPr>
      <w:r w:rsidRPr="00650FF1">
        <w:rPr>
          <w:rFonts w:ascii="Calibri" w:hAnsi="Calibri"/>
        </w:rPr>
        <w:t xml:space="preserve">The Agency </w:t>
      </w:r>
      <w:r w:rsidRPr="00650FF1">
        <w:rPr>
          <w:rFonts w:ascii="Calibri" w:hAnsi="Calibri"/>
        </w:rPr>
        <w:t>is guided</w:t>
      </w:r>
      <w:r w:rsidRPr="00650FF1">
        <w:rPr>
          <w:rFonts w:ascii="Calibri" w:hAnsi="Calibri"/>
        </w:rPr>
        <w:t xml:space="preserve"> by the following action principles:</w:t>
      </w:r>
    </w:p>
    <w:p w:rsidR="005C6E47" w:rsidRPr="00650FF1" w:rsidP="005C6E47">
      <w:pPr>
        <w:pStyle w:val="StandardText"/>
        <w:numPr>
          <w:ilvl w:val="0"/>
          <w:numId w:val="17"/>
        </w:numPr>
        <w:spacing w:before="240" w:after="120" w:line="240" w:lineRule="auto"/>
        <w:rPr>
          <w:rFonts w:ascii="Calibri" w:hAnsi="Calibri"/>
        </w:rPr>
      </w:pPr>
      <w:r w:rsidRPr="00650FF1">
        <w:rPr>
          <w:rFonts w:ascii="Calibri" w:hAnsi="Calibri"/>
        </w:rPr>
        <w:t xml:space="preserve">Independence in its actions with respect to the functions that it </w:t>
      </w:r>
      <w:r w:rsidRPr="00650FF1">
        <w:rPr>
          <w:rFonts w:ascii="Calibri" w:hAnsi="Calibri"/>
        </w:rPr>
        <w:t>has been assigned</w:t>
      </w:r>
      <w:r w:rsidRPr="00650FF1">
        <w:rPr>
          <w:rFonts w:ascii="Calibri" w:hAnsi="Calibri"/>
        </w:rPr>
        <w:t xml:space="preserve"> regarding the safety of railway transport.</w:t>
      </w:r>
    </w:p>
    <w:p w:rsidR="005C6E47" w:rsidRPr="00650FF1" w:rsidP="005C6E47">
      <w:pPr>
        <w:pStyle w:val="StandardText"/>
        <w:numPr>
          <w:ilvl w:val="0"/>
          <w:numId w:val="17"/>
        </w:numPr>
        <w:spacing w:before="240" w:after="120" w:line="240" w:lineRule="auto"/>
        <w:rPr>
          <w:rFonts w:ascii="Calibri" w:hAnsi="Calibri"/>
        </w:rPr>
      </w:pPr>
      <w:r w:rsidRPr="00650FF1">
        <w:rPr>
          <w:rFonts w:ascii="Calibri" w:hAnsi="Calibri"/>
        </w:rPr>
        <w:t>Authority and responsibility for the development and application of national and international railway standards, and the control of procedures.</w:t>
      </w:r>
    </w:p>
    <w:p w:rsidR="005C6E47" w:rsidRPr="00650FF1" w:rsidP="005C6E47">
      <w:pPr>
        <w:pStyle w:val="StandardText"/>
        <w:numPr>
          <w:ilvl w:val="0"/>
          <w:numId w:val="17"/>
        </w:numPr>
        <w:spacing w:before="240" w:after="120" w:line="240" w:lineRule="auto"/>
        <w:rPr>
          <w:rFonts w:ascii="Calibri" w:hAnsi="Calibri"/>
        </w:rPr>
      </w:pPr>
      <w:r w:rsidRPr="00650FF1">
        <w:rPr>
          <w:rFonts w:ascii="Calibri" w:hAnsi="Calibri"/>
        </w:rPr>
        <w:t>Promotion and dissemination of a culture of railway safety in all areas of action.</w:t>
      </w:r>
    </w:p>
    <w:p w:rsidR="005C6E47" w:rsidRPr="00650FF1" w:rsidP="005C6E47">
      <w:pPr>
        <w:pStyle w:val="StandardText"/>
        <w:numPr>
          <w:ilvl w:val="0"/>
          <w:numId w:val="17"/>
        </w:numPr>
        <w:spacing w:before="240" w:after="120" w:line="240" w:lineRule="auto"/>
        <w:rPr>
          <w:rFonts w:ascii="Calibri" w:hAnsi="Calibri"/>
        </w:rPr>
      </w:pPr>
      <w:r w:rsidRPr="00650FF1">
        <w:rPr>
          <w:rFonts w:ascii="Calibri" w:hAnsi="Calibri"/>
        </w:rPr>
        <w:t>Quality, efficacy, efficiency and transparency in the exercise of its functions.</w:t>
      </w:r>
    </w:p>
    <w:p w:rsidR="005C6E47" w:rsidRPr="00650FF1" w:rsidP="005C6E47">
      <w:pPr>
        <w:pStyle w:val="StandardText"/>
        <w:spacing w:before="240" w:after="120" w:line="240" w:lineRule="auto"/>
        <w:ind w:left="185"/>
        <w:rPr>
          <w:rFonts w:ascii="Calibri" w:hAnsi="Calibri"/>
          <w:lang w:val="es-ES_tradnl"/>
        </w:rPr>
      </w:pPr>
    </w:p>
    <w:p w:rsidR="005C6E47" w:rsidRPr="00637CB5" w:rsidP="00911014">
      <w:pPr>
        <w:pStyle w:val="Subtitulo1"/>
        <w:keepNext/>
        <w:numPr>
          <w:ilvl w:val="0"/>
          <w:numId w:val="2"/>
        </w:numPr>
        <w:tabs>
          <w:tab w:val="num" w:pos="894"/>
        </w:tabs>
        <w:ind w:left="600"/>
        <w:rPr>
          <w:lang w:val="es-ES_tradnl"/>
        </w:rPr>
      </w:pPr>
      <w:r w:rsidRPr="00637CB5">
        <w:rPr>
          <w:lang w:val="es-ES_tradnl"/>
        </w:rPr>
        <w:t>Governing bodies, executive bodies and structure of the Agency</w:t>
      </w:r>
    </w:p>
    <w:p w:rsidR="005C6E47" w:rsidRPr="00650FF1" w:rsidP="00911014">
      <w:pPr>
        <w:pStyle w:val="StandardText"/>
        <w:keepNext/>
        <w:spacing w:before="240" w:after="120" w:line="240" w:lineRule="auto"/>
        <w:ind w:left="185"/>
        <w:rPr>
          <w:rFonts w:ascii="Calibri" w:hAnsi="Calibri"/>
        </w:rPr>
      </w:pPr>
      <w:r w:rsidRPr="00650FF1">
        <w:rPr>
          <w:rFonts w:ascii="Calibri" w:hAnsi="Calibri"/>
        </w:rPr>
        <w:t>The Chairman’s Office and the Governing Board are the governing bodies of the AESF.</w:t>
      </w:r>
    </w:p>
    <w:p w:rsidR="005C6E47" w:rsidRPr="00650FF1" w:rsidP="005C6E47">
      <w:pPr>
        <w:pStyle w:val="StandardText"/>
        <w:spacing w:before="240" w:after="120" w:line="240" w:lineRule="auto"/>
        <w:ind w:left="185"/>
        <w:rPr>
          <w:rFonts w:ascii="Calibri" w:hAnsi="Calibri"/>
        </w:rPr>
      </w:pPr>
      <w:r w:rsidRPr="00650FF1">
        <w:rPr>
          <w:rFonts w:ascii="Calibri" w:hAnsi="Calibri"/>
        </w:rPr>
        <w:t xml:space="preserve">The Director of the Agency is the chief executive and is responsible for its direction and ordinary management. The </w:t>
      </w:r>
      <w:r w:rsidRPr="00650FF1">
        <w:rPr>
          <w:rFonts w:ascii="Calibri" w:hAnsi="Calibri"/>
        </w:rPr>
        <w:t>Director is appointed by the Governing Board at the proposal of the President</w:t>
      </w:r>
      <w:r w:rsidRPr="00650FF1">
        <w:rPr>
          <w:rFonts w:ascii="Calibri" w:hAnsi="Calibri"/>
        </w:rPr>
        <w:t>.</w:t>
      </w:r>
    </w:p>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StandardText"/>
        <w:keepNext/>
        <w:spacing w:before="240" w:after="120" w:line="240" w:lineRule="auto"/>
        <w:ind w:left="185"/>
        <w:jc w:val="center"/>
      </w:pPr>
      <w:r w:rsidRPr="00650FF1">
        <w:rPr>
          <w:noProof/>
          <w:lang w:val="fr-FR" w:eastAsia="fr-FR"/>
        </w:rPr>
        <w:drawing>
          <wp:inline distT="0" distB="0" distL="0" distR="0">
            <wp:extent cx="5167630" cy="2190115"/>
            <wp:effectExtent l="0" t="0" r="0" b="63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81646" name="Picture 2"/>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7630" cy="2190115"/>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 \* ARABIC </w:instrText>
      </w:r>
      <w:r>
        <w:fldChar w:fldCharType="separate"/>
      </w:r>
      <w:r w:rsidRPr="00650FF1">
        <w:t>2</w:t>
      </w:r>
      <w:r w:rsidRPr="00650FF1">
        <w:fldChar w:fldCharType="end"/>
      </w:r>
      <w:r w:rsidRPr="00650FF1">
        <w:t>. AESF organigram</w:t>
      </w:r>
    </w:p>
    <w:p w:rsidR="005C6E47" w:rsidRPr="00650FF1" w:rsidP="005C6E47">
      <w:pPr>
        <w:pStyle w:val="StandardText"/>
        <w:spacing w:before="240" w:after="120" w:line="240" w:lineRule="auto"/>
        <w:ind w:left="185"/>
        <w:rPr>
          <w:rFonts w:ascii="Calibri" w:hAnsi="Calibri"/>
          <w:lang w:val="es-ES_tradnl"/>
        </w:rPr>
      </w:pPr>
    </w:p>
    <w:tbl>
      <w:tblPr>
        <w:tblStyle w:val="TableGrid"/>
        <w:tblW w:w="9811" w:type="dxa"/>
        <w:tblInd w:w="185" w:type="dxa"/>
        <w:tblLook w:val="04A0"/>
      </w:tblPr>
      <w:tblGrid>
        <w:gridCol w:w="4924"/>
        <w:gridCol w:w="4887"/>
      </w:tblGrid>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Órganos de Gobierno</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Governing Bodies</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Presidencia</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Presidency</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Consejo Rector</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Governing Board</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Director de la Agencia</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Director of the Agency</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Subdirección de Coordinación de la Seguridad Ferroviaria</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Sub-directorate of Coordination of Railway Safety</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Subdirección de Infraestructuras</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Sub-directorate of Infrastructure</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División de Administración</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Administrative Division</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Comisión de Control</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Control Commission</w:t>
            </w:r>
          </w:p>
        </w:tc>
      </w:tr>
      <w:tr w:rsidTr="002F2972">
        <w:tblPrEx>
          <w:tblW w:w="9811" w:type="dxa"/>
          <w:tblInd w:w="185" w:type="dxa"/>
          <w:tblLook w:val="04A0"/>
        </w:tblPrEx>
        <w:tc>
          <w:tcPr>
            <w:tcW w:w="4924" w:type="dxa"/>
          </w:tcPr>
          <w:p w:rsidR="005C6E47" w:rsidRPr="00650FF1" w:rsidP="002F2972">
            <w:pPr>
              <w:pStyle w:val="StandardText"/>
              <w:spacing w:after="0" w:line="240" w:lineRule="auto"/>
              <w:rPr>
                <w:rFonts w:ascii="Calibri" w:hAnsi="Calibri"/>
              </w:rPr>
            </w:pPr>
            <w:r w:rsidRPr="00650FF1">
              <w:rPr>
                <w:rFonts w:ascii="Calibri" w:hAnsi="Calibri"/>
                <w:lang w:val="es-ES_tradnl"/>
              </w:rPr>
              <w:t>Órganos de Control</w:t>
            </w:r>
          </w:p>
        </w:tc>
        <w:tc>
          <w:tcPr>
            <w:tcW w:w="4887" w:type="dxa"/>
          </w:tcPr>
          <w:p w:rsidR="005C6E47" w:rsidRPr="00650FF1" w:rsidP="002F2972">
            <w:pPr>
              <w:pStyle w:val="StandardText"/>
              <w:spacing w:after="0" w:line="240" w:lineRule="auto"/>
              <w:rPr>
                <w:rFonts w:ascii="Calibri" w:hAnsi="Calibri"/>
              </w:rPr>
            </w:pPr>
            <w:r w:rsidRPr="00650FF1">
              <w:rPr>
                <w:rFonts w:ascii="Calibri" w:hAnsi="Calibri"/>
              </w:rPr>
              <w:t>Control Bodies</w:t>
            </w:r>
          </w:p>
        </w:tc>
      </w:tr>
    </w:tbl>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StandardText"/>
        <w:spacing w:before="240" w:after="120" w:line="240" w:lineRule="auto"/>
        <w:ind w:left="185"/>
        <w:rPr>
          <w:rFonts w:ascii="Calibri" w:hAnsi="Calibri"/>
        </w:rPr>
      </w:pPr>
      <w:r w:rsidRPr="00650FF1">
        <w:rPr>
          <w:rFonts w:ascii="Calibri" w:hAnsi="Calibri"/>
        </w:rPr>
        <w:t>The Agency is composed of the following units:</w:t>
      </w:r>
    </w:p>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PUNTOS2"/>
        <w:rPr>
          <w:color w:val="auto"/>
        </w:rPr>
      </w:pPr>
      <w:r w:rsidRPr="00650FF1">
        <w:rPr>
          <w:color w:val="auto"/>
        </w:rPr>
        <w:t>Sub-directorate General of Infrastructure</w:t>
      </w:r>
    </w:p>
    <w:p w:rsidR="005C6E47" w:rsidRPr="00650FF1" w:rsidP="005C6E47">
      <w:pPr>
        <w:pStyle w:val="StandardText"/>
        <w:spacing w:before="240" w:after="120" w:line="240" w:lineRule="auto"/>
        <w:ind w:left="1069"/>
        <w:rPr>
          <w:rFonts w:ascii="Calibri" w:hAnsi="Calibri"/>
        </w:rPr>
      </w:pPr>
      <w:r w:rsidRPr="00650FF1">
        <w:rPr>
          <w:rFonts w:ascii="Calibri" w:hAnsi="Calibri"/>
        </w:rPr>
        <w:t>Responsible for exercising functions related to issuing safety authorisations for infrastructure managers and the subsequent supervision thereof, as well as all aspects related to infrastructure and fixed equipment.</w:t>
      </w:r>
    </w:p>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PUNTOS2"/>
        <w:keepNext/>
        <w:rPr>
          <w:color w:val="auto"/>
        </w:rPr>
      </w:pPr>
      <w:r w:rsidRPr="00650FF1">
        <w:rPr>
          <w:color w:val="auto"/>
        </w:rPr>
        <w:t>General Sub-directorate of Coordination of Railway Safety</w:t>
      </w:r>
    </w:p>
    <w:p w:rsidR="005C6E47" w:rsidRPr="00650FF1" w:rsidP="005C6E47">
      <w:pPr>
        <w:pStyle w:val="StandardText"/>
        <w:spacing w:before="240" w:after="120" w:line="240" w:lineRule="auto"/>
        <w:ind w:left="1069"/>
        <w:rPr>
          <w:rFonts w:ascii="Calibri" w:hAnsi="Calibri"/>
        </w:rPr>
      </w:pPr>
      <w:r w:rsidRPr="00650FF1">
        <w:rPr>
          <w:rFonts w:ascii="Calibri" w:hAnsi="Calibri"/>
        </w:rPr>
        <w:t>Responsible for exercising functions related to issuing licences and safety certificates for railway undertakings and the subsequent supervision thereof, including authorisations for candidates other than railway undertakings and everything related to rolling stock, the maintenance thereof, railway personnel and associated centres.</w:t>
      </w:r>
    </w:p>
    <w:p w:rsidR="005C6E47" w:rsidRPr="00650FF1" w:rsidP="005C6E47">
      <w:pPr>
        <w:pStyle w:val="StandardText"/>
        <w:spacing w:before="240" w:after="120" w:line="240" w:lineRule="auto"/>
        <w:ind w:left="1069"/>
        <w:rPr>
          <w:rFonts w:ascii="Calibri" w:hAnsi="Calibri"/>
        </w:rPr>
      </w:pPr>
      <w:r w:rsidRPr="00650FF1">
        <w:rPr>
          <w:rFonts w:ascii="Calibri" w:hAnsi="Calibri"/>
        </w:rPr>
        <w:t>Likewise, it is responsible for overall monitoring of the safety of the railway system, and coordinating the development of its technical operating procedures, as well as external representation of the Agency.</w:t>
      </w:r>
    </w:p>
    <w:p w:rsidR="005C6E47" w:rsidRPr="00650FF1" w:rsidP="005C6E47">
      <w:pPr>
        <w:pStyle w:val="StandardText"/>
        <w:spacing w:before="240" w:after="120" w:line="240" w:lineRule="auto"/>
        <w:ind w:left="185"/>
        <w:rPr>
          <w:rFonts w:ascii="Calibri" w:hAnsi="Calibri"/>
          <w:lang w:val="es-ES_tradnl"/>
        </w:rPr>
      </w:pPr>
    </w:p>
    <w:p w:rsidR="005C6E47" w:rsidRPr="00650FF1" w:rsidP="005C6E47">
      <w:pPr>
        <w:pStyle w:val="PUNTOS2"/>
        <w:rPr>
          <w:color w:val="auto"/>
        </w:rPr>
      </w:pPr>
      <w:r w:rsidRPr="00650FF1">
        <w:rPr>
          <w:color w:val="auto"/>
        </w:rPr>
        <w:t>Administrative Division</w:t>
      </w:r>
    </w:p>
    <w:p w:rsidR="005C6E47" w:rsidRPr="00650FF1" w:rsidP="005C6E47">
      <w:pPr>
        <w:pStyle w:val="StandardText"/>
        <w:spacing w:before="240" w:after="120" w:line="240" w:lineRule="auto"/>
        <w:ind w:left="1069"/>
        <w:rPr>
          <w:rFonts w:ascii="Calibri" w:hAnsi="Calibri"/>
        </w:rPr>
      </w:pPr>
      <w:r w:rsidRPr="00650FF1">
        <w:rPr>
          <w:rFonts w:ascii="Calibri" w:hAnsi="Calibri"/>
        </w:rPr>
        <w:t>Reporting directly to the Director of the Agency, it carries out support tasks for management and the Governing Board, as well as the management functions entrusted to it.</w:t>
      </w:r>
    </w:p>
    <w:p w:rsidR="005C6E47" w:rsidRPr="00650FF1" w:rsidP="005C6E47">
      <w:pPr>
        <w:pStyle w:val="StandardText"/>
        <w:spacing w:before="240" w:after="120" w:line="240" w:lineRule="auto"/>
        <w:ind w:left="1069"/>
        <w:rPr>
          <w:rFonts w:ascii="Calibri" w:hAnsi="Calibri"/>
          <w:lang w:val="es-ES_tradnl"/>
        </w:rPr>
      </w:pPr>
    </w:p>
    <w:p w:rsidR="005C6E47" w:rsidRPr="00650FF1" w:rsidP="005C6E47">
      <w:pPr>
        <w:rPr>
          <w:rFonts w:ascii="Calibri" w:hAnsi="Calibri"/>
        </w:rPr>
      </w:pPr>
      <w:r w:rsidRPr="00650FF1">
        <w:br w:type="page"/>
      </w:r>
    </w:p>
    <w:p w:rsidR="005C6E47" w:rsidRPr="00650FF1" w:rsidP="005C6E47">
      <w:pPr>
        <w:pStyle w:val="StandardText"/>
        <w:spacing w:before="240" w:after="120" w:line="240" w:lineRule="auto"/>
        <w:ind w:left="1069"/>
        <w:rPr>
          <w:rFonts w:ascii="Calibri" w:hAnsi="Calibri"/>
          <w:lang w:val="es-ES_tradnl"/>
        </w:rPr>
      </w:pPr>
    </w:p>
    <w:tbl>
      <w:tblPr>
        <w:tblW w:w="10281" w:type="dxa"/>
        <w:tblInd w:w="-34" w:type="dxa"/>
        <w:tblLook w:val="04A0"/>
      </w:tblPr>
      <w:tblGrid>
        <w:gridCol w:w="3550"/>
        <w:gridCol w:w="6731"/>
      </w:tblGrid>
      <w:tr w:rsidTr="002F2972">
        <w:tblPrEx>
          <w:tblW w:w="10281" w:type="dxa"/>
          <w:tblInd w:w="-34" w:type="dxa"/>
          <w:tblLook w:val="04A0"/>
        </w:tblPrEx>
        <w:trPr>
          <w:trHeight w:val="3966"/>
        </w:trPr>
        <w:tc>
          <w:tcPr>
            <w:tcW w:w="3550" w:type="dxa"/>
            <w:shd w:val="clear" w:color="auto" w:fill="auto"/>
          </w:tcPr>
          <w:p w:rsidR="005C6E47" w:rsidRPr="00650FF1" w:rsidP="002F2972">
            <w:pPr>
              <w:pStyle w:val="StandardText"/>
              <w:spacing w:before="240" w:after="120" w:line="240" w:lineRule="auto"/>
              <w:rPr>
                <w:rFonts w:ascii="Calibri" w:hAnsi="Calibri"/>
              </w:rPr>
            </w:pPr>
            <w:r w:rsidRPr="00650FF1">
              <w:rPr>
                <w:rFonts w:ascii="Calibri" w:hAnsi="Calibri"/>
                <w:noProof/>
                <w:lang w:val="fr-FR" w:eastAsia="fr-FR"/>
              </w:rPr>
              <w:drawing>
                <wp:anchor distT="0" distB="0" distL="114300" distR="114300" simplePos="0" relativeHeight="251661312" behindDoc="1" locked="0" layoutInCell="1" allowOverlap="1">
                  <wp:simplePos x="0" y="0"/>
                  <wp:positionH relativeFrom="column">
                    <wp:posOffset>377512</wp:posOffset>
                  </wp:positionH>
                  <wp:positionV relativeFrom="paragraph">
                    <wp:posOffset>173355</wp:posOffset>
                  </wp:positionV>
                  <wp:extent cx="6054090" cy="2590800"/>
                  <wp:effectExtent l="0" t="0" r="381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5404"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p w:rsidR="005C6E47" w:rsidRPr="00650FF1" w:rsidP="002F2972">
            <w:pPr>
              <w:pStyle w:val="Title"/>
              <w:numPr>
                <w:ilvl w:val="0"/>
                <w:numId w:val="0"/>
              </w:numPr>
              <w:ind w:left="360"/>
            </w:pPr>
          </w:p>
        </w:tc>
        <w:tc>
          <w:tcPr>
            <w:tcW w:w="6731" w:type="dxa"/>
            <w:shd w:val="clear" w:color="auto" w:fill="auto"/>
            <w:vAlign w:val="center"/>
          </w:tcPr>
          <w:p w:rsidR="005C6E47" w:rsidRPr="00650FF1" w:rsidP="00637CB5">
            <w:pPr>
              <w:pStyle w:val="Title"/>
              <w:ind w:left="3153" w:right="176"/>
              <w:jc w:val="left"/>
              <w:rPr>
                <w:sz w:val="44"/>
              </w:rPr>
            </w:pPr>
            <w:bookmarkStart w:id="3" w:name="_Toc532285978"/>
            <w:r w:rsidRPr="00650FF1">
              <w:rPr>
                <w:sz w:val="44"/>
              </w:rPr>
              <w:t>Safety strategies, programmes and initiatives</w:t>
            </w:r>
            <w:bookmarkEnd w:id="3"/>
          </w:p>
        </w:tc>
      </w:tr>
    </w:tbl>
    <w:p w:rsidR="005C6E47" w:rsidRPr="00650FF1" w:rsidP="005C6E47">
      <w:pPr>
        <w:ind w:left="185"/>
        <w:rPr>
          <w:lang w:val="es-ES_tradnl"/>
        </w:rPr>
      </w:pPr>
    </w:p>
    <w:p w:rsidR="005C6E47" w:rsidRPr="00650FF1" w:rsidP="005C6E47">
      <w:pPr>
        <w:pStyle w:val="StandardText"/>
        <w:spacing w:before="240" w:after="120" w:line="240" w:lineRule="auto"/>
        <w:ind w:left="185"/>
        <w:rPr>
          <w:rFonts w:ascii="Calibri" w:hAnsi="Calibri"/>
          <w:color w:val="FF0000"/>
          <w:lang w:val="es-ES_tradnl"/>
        </w:rPr>
      </w:pPr>
    </w:p>
    <w:p w:rsidR="005C6E47" w:rsidRPr="00650FF1" w:rsidP="005C6E47">
      <w:pPr>
        <w:pStyle w:val="PUNTOS"/>
        <w:numPr>
          <w:ilvl w:val="0"/>
          <w:numId w:val="0"/>
        </w:numPr>
        <w:ind w:left="426" w:hanging="360"/>
      </w:pPr>
    </w:p>
    <w:p w:rsidR="005C6E47" w:rsidRPr="00637CB5" w:rsidP="00637CB5">
      <w:pPr>
        <w:pStyle w:val="Subtitulo1"/>
        <w:numPr>
          <w:ilvl w:val="0"/>
          <w:numId w:val="18"/>
        </w:numPr>
        <w:rPr>
          <w:lang w:val="es-ES_tradnl"/>
        </w:rPr>
      </w:pPr>
      <w:r w:rsidRPr="00637CB5">
        <w:rPr>
          <w:lang w:val="es-ES_tradnl"/>
        </w:rPr>
        <w:t>Strategic action lines of the AESF</w:t>
      </w:r>
    </w:p>
    <w:p w:rsidR="005C6E47" w:rsidRPr="00650FF1" w:rsidP="005C6E47">
      <w:pPr>
        <w:pStyle w:val="StandardText"/>
        <w:spacing w:before="240" w:after="120" w:line="240" w:lineRule="auto"/>
        <w:ind w:left="187"/>
        <w:rPr>
          <w:rFonts w:ascii="Calibri" w:hAnsi="Calibri"/>
        </w:rPr>
      </w:pPr>
      <w:r w:rsidRPr="00650FF1">
        <w:rPr>
          <w:rFonts w:ascii="Calibri" w:hAnsi="Calibri"/>
        </w:rPr>
        <w:t>The AESF carries out many activities directly derived from its competences as a safety authority, especially regarding the issuance of licences, certificates, authorisations or approvals required by the system’s entities or elements in order to access the market, such as the following:</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Issuing railway undertakings’ licences.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Issuing safety certificates to railway undertakings (new certificates, extensions or renewals), after assessment of their safety management systems.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 xml:space="preserve">Issuing </w:t>
      </w:r>
      <w:r w:rsidRPr="00650FF1">
        <w:rPr>
          <w:rFonts w:ascii="Calibri" w:hAnsi="Calibri"/>
        </w:rPr>
        <w:t>infrastructure manager safety authorisations</w:t>
      </w:r>
      <w:r w:rsidRPr="00650FF1">
        <w:rPr>
          <w:rFonts w:ascii="Calibri" w:hAnsi="Calibri"/>
        </w:rPr>
        <w:t xml:space="preserve"> (new authorisations, extensions or renewals).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Certifying entities in charge of the maintenance of carriages.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Approving rolling stock maintenance centres.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Approving railway staff centres: training and psychophysical examination centres.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Authorising the placing in service of lines.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Authorising the placing in service of vehicles and managing modification files.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 xml:space="preserve">Authorising </w:t>
      </w:r>
      <w:r w:rsidRPr="00650FF1">
        <w:rPr>
          <w:rFonts w:ascii="Calibri" w:hAnsi="Calibri"/>
        </w:rPr>
        <w:t>train driver training courses</w:t>
      </w:r>
      <w:r w:rsidRPr="00650FF1">
        <w:rPr>
          <w:rFonts w:ascii="Calibri" w:hAnsi="Calibri"/>
        </w:rPr>
        <w:t xml:space="preserve"> and examinations.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Activities relating to the issuance of train drivers’ licences.</w:t>
      </w:r>
    </w:p>
    <w:p w:rsidR="005C6E47" w:rsidRPr="00650FF1" w:rsidP="005C6E47">
      <w:pPr>
        <w:pStyle w:val="StandardText"/>
        <w:numPr>
          <w:ilvl w:val="0"/>
          <w:numId w:val="20"/>
        </w:numPr>
        <w:spacing w:after="120" w:line="240" w:lineRule="auto"/>
        <w:rPr>
          <w:rFonts w:ascii="Calibri" w:hAnsi="Calibri"/>
        </w:rPr>
      </w:pPr>
      <w:r w:rsidRPr="00650FF1">
        <w:rPr>
          <w:rFonts w:ascii="Calibri" w:hAnsi="Calibri"/>
        </w:rPr>
        <w:t>Carrying out safety adviser examinations for the transport of dangerous goods by rail.</w:t>
      </w:r>
    </w:p>
    <w:p w:rsidR="005C6E47" w:rsidRPr="00650FF1" w:rsidP="005C6E47">
      <w:pPr>
        <w:pStyle w:val="StandardText"/>
        <w:spacing w:after="120" w:line="240" w:lineRule="auto"/>
        <w:ind w:left="185" w:firstLine="60"/>
        <w:rPr>
          <w:rFonts w:ascii="Calibri" w:hAnsi="Calibri"/>
          <w:lang w:val="es-ES_tradnl"/>
        </w:rPr>
      </w:pPr>
    </w:p>
    <w:p w:rsidR="005C6E47" w:rsidRPr="00650FF1" w:rsidP="005C6E47">
      <w:pPr>
        <w:pStyle w:val="StandardText"/>
        <w:spacing w:after="120" w:line="240" w:lineRule="auto"/>
        <w:ind w:left="185"/>
        <w:rPr>
          <w:rFonts w:ascii="Calibri" w:hAnsi="Calibri"/>
        </w:rPr>
      </w:pPr>
      <w:r w:rsidRPr="00650FF1">
        <w:rPr>
          <w:rFonts w:ascii="Calibri" w:hAnsi="Calibri"/>
        </w:rPr>
        <w:t xml:space="preserve">In addition to these ordinary activities as required by the sector, the actions of the AESF in the period covered by this report, for which significant emphasis </w:t>
      </w:r>
      <w:r w:rsidRPr="00650FF1">
        <w:rPr>
          <w:rFonts w:ascii="Calibri" w:hAnsi="Calibri"/>
        </w:rPr>
        <w:t>has been placed</w:t>
      </w:r>
      <w:r w:rsidRPr="00650FF1">
        <w:rPr>
          <w:rFonts w:ascii="Calibri" w:hAnsi="Calibri"/>
        </w:rPr>
        <w:t xml:space="preserve"> on continuity with the actions set in motion in the preceding years, appear in its Action Plan</w:t>
      </w:r>
      <w:r>
        <w:rPr>
          <w:rFonts w:ascii="Calibri" w:hAnsi="Calibri"/>
          <w:b/>
          <w:vertAlign w:val="superscript"/>
          <w:lang w:val="es-ES_tradnl"/>
        </w:rPr>
        <w:footnoteReference w:id="4"/>
      </w:r>
    </w:p>
    <w:p w:rsidR="005C6E47" w:rsidRPr="00650FF1" w:rsidP="005C6E47">
      <w:pPr>
        <w:pStyle w:val="StandardText"/>
        <w:spacing w:after="120" w:line="240" w:lineRule="auto"/>
        <w:ind w:left="185"/>
        <w:rPr>
          <w:rFonts w:ascii="Calibri" w:hAnsi="Calibri"/>
        </w:rPr>
      </w:pPr>
      <w:r w:rsidRPr="00650FF1">
        <w:rPr>
          <w:rFonts w:ascii="Calibri" w:hAnsi="Calibri"/>
        </w:rPr>
        <w:t>That plan is organised around the following strategic lines and objectives:</w:t>
      </w:r>
    </w:p>
    <w:p w:rsidR="005C6E47" w:rsidRPr="00650FF1" w:rsidP="005C6E47">
      <w:pPr>
        <w:pStyle w:val="StandardText"/>
        <w:spacing w:after="120" w:line="240" w:lineRule="auto"/>
        <w:ind w:left="185"/>
        <w:rPr>
          <w:rFonts w:ascii="Calibri" w:hAnsi="Calibri"/>
          <w:lang w:val="es-ES_tradnl"/>
        </w:rPr>
      </w:pPr>
    </w:p>
    <w:p w:rsidR="005C6E47" w:rsidRPr="00650FF1" w:rsidP="005C6E47">
      <w:pPr>
        <w:pStyle w:val="StandardText"/>
        <w:keepNext/>
        <w:spacing w:after="120" w:line="240" w:lineRule="auto"/>
        <w:ind w:left="185"/>
        <w:jc w:val="center"/>
      </w:pPr>
      <w:r w:rsidRPr="00650FF1">
        <w:rPr>
          <w:noProof/>
          <w:lang w:val="fr-FR" w:eastAsia="fr-FR"/>
        </w:rPr>
        <w:drawing>
          <wp:inline distT="0" distB="0" distL="0" distR="0">
            <wp:extent cx="3721395" cy="1998025"/>
            <wp:effectExtent l="0" t="0" r="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109" name="Picture 16"/>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4776" cy="1999840"/>
                    </a:xfrm>
                    <a:prstGeom prst="rect">
                      <a:avLst/>
                    </a:prstGeom>
                    <a:noFill/>
                  </pic:spPr>
                </pic:pic>
              </a:graphicData>
            </a:graphic>
          </wp:inline>
        </w:drawing>
      </w:r>
    </w:p>
    <w:p w:rsidR="005C6E47" w:rsidRPr="00650FF1" w:rsidP="005C6E47">
      <w:pPr>
        <w:pStyle w:val="Caption"/>
      </w:pPr>
      <w:r w:rsidRPr="00650FF1">
        <w:t>Figure 3: Strategic lines of the AESF’s 2017 Action Plan</w:t>
      </w:r>
    </w:p>
    <w:p w:rsidR="005C6E47" w:rsidRPr="00650FF1" w:rsidP="005C6E47">
      <w:pPr>
        <w:pStyle w:val="StandardText"/>
        <w:spacing w:after="120" w:line="240" w:lineRule="auto"/>
        <w:ind w:left="185"/>
        <w:jc w:val="center"/>
        <w:rPr>
          <w:rFonts w:ascii="Calibri" w:hAnsi="Calibri"/>
          <w:lang w:val="es-ES_tradnl"/>
        </w:rPr>
      </w:pPr>
    </w:p>
    <w:tbl>
      <w:tblPr>
        <w:tblStyle w:val="TableGrid"/>
        <w:tblW w:w="9811" w:type="dxa"/>
        <w:tblInd w:w="185" w:type="dxa"/>
        <w:tblLook w:val="04A0"/>
      </w:tblPr>
      <w:tblGrid>
        <w:gridCol w:w="4928"/>
        <w:gridCol w:w="4883"/>
      </w:tblGrid>
      <w:tr w:rsidTr="002F2972">
        <w:tblPrEx>
          <w:tblW w:w="9811" w:type="dxa"/>
          <w:tblInd w:w="185" w:type="dxa"/>
          <w:tblLook w:val="04A0"/>
        </w:tblPrEx>
        <w:tc>
          <w:tcPr>
            <w:tcW w:w="4928" w:type="dxa"/>
          </w:tcPr>
          <w:p w:rsidR="005C6E47" w:rsidRPr="00650FF1" w:rsidP="002F2972">
            <w:pPr>
              <w:pStyle w:val="StandardText"/>
              <w:spacing w:after="0" w:line="240" w:lineRule="auto"/>
              <w:jc w:val="left"/>
              <w:rPr>
                <w:rFonts w:ascii="Calibri" w:hAnsi="Calibri"/>
              </w:rPr>
            </w:pPr>
            <w:r w:rsidRPr="00650FF1">
              <w:rPr>
                <w:rFonts w:ascii="Calibri" w:hAnsi="Calibri"/>
                <w:lang w:val="es-ES_tradnl"/>
              </w:rPr>
              <w:t>REPRESENTACIÓN INTERNACIONAL</w:t>
            </w:r>
          </w:p>
        </w:tc>
        <w:tc>
          <w:tcPr>
            <w:tcW w:w="4883" w:type="dxa"/>
          </w:tcPr>
          <w:p w:rsidR="005C6E47" w:rsidRPr="00650FF1" w:rsidP="002F2972">
            <w:pPr>
              <w:pStyle w:val="StandardText"/>
              <w:spacing w:after="0" w:line="240" w:lineRule="auto"/>
              <w:jc w:val="left"/>
              <w:rPr>
                <w:rFonts w:ascii="Calibri" w:hAnsi="Calibri"/>
              </w:rPr>
            </w:pPr>
            <w:r w:rsidRPr="00650FF1">
              <w:rPr>
                <w:rFonts w:ascii="Calibri" w:hAnsi="Calibri"/>
              </w:rPr>
              <w:t>INTERNATIONAL REPRESENTATION</w:t>
            </w:r>
          </w:p>
        </w:tc>
      </w:tr>
      <w:tr w:rsidTr="002F2972">
        <w:tblPrEx>
          <w:tblW w:w="9811" w:type="dxa"/>
          <w:tblInd w:w="185" w:type="dxa"/>
          <w:tblLook w:val="04A0"/>
        </w:tblPrEx>
        <w:tc>
          <w:tcPr>
            <w:tcW w:w="4928" w:type="dxa"/>
          </w:tcPr>
          <w:p w:rsidR="005C6E47" w:rsidRPr="00650FF1" w:rsidP="002F2972">
            <w:pPr>
              <w:pStyle w:val="StandardText"/>
              <w:spacing w:after="0" w:line="240" w:lineRule="auto"/>
              <w:jc w:val="left"/>
              <w:rPr>
                <w:rFonts w:ascii="Calibri" w:hAnsi="Calibri"/>
              </w:rPr>
            </w:pPr>
            <w:r w:rsidRPr="00650FF1">
              <w:rPr>
                <w:rFonts w:ascii="Calibri" w:hAnsi="Calibri"/>
                <w:lang w:val="es-ES_tradnl"/>
              </w:rPr>
              <w:t>SEGUIMIENTO DE PLANES ESTRATÉGICOS</w:t>
            </w:r>
          </w:p>
        </w:tc>
        <w:tc>
          <w:tcPr>
            <w:tcW w:w="4883" w:type="dxa"/>
          </w:tcPr>
          <w:p w:rsidR="005C6E47" w:rsidRPr="00650FF1" w:rsidP="002F2972">
            <w:pPr>
              <w:pStyle w:val="StandardText"/>
              <w:spacing w:after="0" w:line="240" w:lineRule="auto"/>
              <w:jc w:val="left"/>
              <w:rPr>
                <w:rFonts w:ascii="Calibri" w:hAnsi="Calibri"/>
              </w:rPr>
            </w:pPr>
            <w:r w:rsidRPr="00650FF1">
              <w:rPr>
                <w:rFonts w:ascii="Calibri" w:hAnsi="Calibri"/>
              </w:rPr>
              <w:t>FOLLOW-UP OF STRATEGIC PLANS</w:t>
            </w:r>
          </w:p>
        </w:tc>
      </w:tr>
      <w:tr w:rsidTr="002F2972">
        <w:tblPrEx>
          <w:tblW w:w="9811" w:type="dxa"/>
          <w:tblInd w:w="185" w:type="dxa"/>
          <w:tblLook w:val="04A0"/>
        </w:tblPrEx>
        <w:tc>
          <w:tcPr>
            <w:tcW w:w="4928" w:type="dxa"/>
          </w:tcPr>
          <w:p w:rsidR="005C6E47" w:rsidRPr="00650FF1" w:rsidP="002F2972">
            <w:pPr>
              <w:pStyle w:val="StandardText"/>
              <w:spacing w:after="0" w:line="240" w:lineRule="auto"/>
              <w:jc w:val="left"/>
              <w:rPr>
                <w:rFonts w:ascii="Calibri" w:hAnsi="Calibri"/>
              </w:rPr>
            </w:pPr>
            <w:r w:rsidRPr="00650FF1">
              <w:rPr>
                <w:rFonts w:ascii="Calibri" w:hAnsi="Calibri"/>
                <w:lang w:val="es-ES_tradnl"/>
              </w:rPr>
              <w:t>DESARROLLO NORMATIVO</w:t>
            </w:r>
          </w:p>
        </w:tc>
        <w:tc>
          <w:tcPr>
            <w:tcW w:w="4883" w:type="dxa"/>
          </w:tcPr>
          <w:p w:rsidR="005C6E47" w:rsidRPr="00650FF1" w:rsidP="002F2972">
            <w:pPr>
              <w:pStyle w:val="StandardText"/>
              <w:spacing w:after="0" w:line="240" w:lineRule="auto"/>
              <w:jc w:val="left"/>
              <w:rPr>
                <w:rFonts w:ascii="Calibri" w:hAnsi="Calibri"/>
              </w:rPr>
            </w:pPr>
            <w:r w:rsidRPr="00650FF1">
              <w:rPr>
                <w:rFonts w:ascii="Calibri" w:hAnsi="Calibri"/>
              </w:rPr>
              <w:t>LEGISLATIVE DEVELOPMENT</w:t>
            </w:r>
          </w:p>
        </w:tc>
      </w:tr>
      <w:tr w:rsidTr="002F2972">
        <w:tblPrEx>
          <w:tblW w:w="9811" w:type="dxa"/>
          <w:tblInd w:w="185" w:type="dxa"/>
          <w:tblLook w:val="04A0"/>
        </w:tblPrEx>
        <w:tc>
          <w:tcPr>
            <w:tcW w:w="4928" w:type="dxa"/>
          </w:tcPr>
          <w:p w:rsidR="005C6E47" w:rsidRPr="00650FF1" w:rsidP="002F2972">
            <w:pPr>
              <w:pStyle w:val="StandardText"/>
              <w:spacing w:after="0" w:line="240" w:lineRule="auto"/>
              <w:jc w:val="left"/>
              <w:rPr>
                <w:rFonts w:ascii="Calibri" w:hAnsi="Calibri"/>
              </w:rPr>
            </w:pPr>
            <w:r w:rsidRPr="00650FF1">
              <w:rPr>
                <w:rFonts w:ascii="Calibri" w:hAnsi="Calibri"/>
                <w:lang w:val="es-ES_tradnl"/>
              </w:rPr>
              <w:t>AUTORIZACIÓN</w:t>
            </w:r>
          </w:p>
        </w:tc>
        <w:tc>
          <w:tcPr>
            <w:tcW w:w="4883" w:type="dxa"/>
          </w:tcPr>
          <w:p w:rsidR="005C6E47" w:rsidRPr="00650FF1" w:rsidP="002F2972">
            <w:pPr>
              <w:pStyle w:val="StandardText"/>
              <w:spacing w:after="0" w:line="240" w:lineRule="auto"/>
              <w:jc w:val="left"/>
              <w:rPr>
                <w:rFonts w:ascii="Calibri" w:hAnsi="Calibri"/>
              </w:rPr>
            </w:pPr>
            <w:r w:rsidRPr="00650FF1">
              <w:rPr>
                <w:rFonts w:ascii="Calibri" w:hAnsi="Calibri"/>
              </w:rPr>
              <w:t>AUTHORISATION</w:t>
            </w:r>
          </w:p>
        </w:tc>
      </w:tr>
      <w:tr w:rsidTr="002F2972">
        <w:tblPrEx>
          <w:tblW w:w="9811" w:type="dxa"/>
          <w:tblInd w:w="185" w:type="dxa"/>
          <w:tblLook w:val="04A0"/>
        </w:tblPrEx>
        <w:tc>
          <w:tcPr>
            <w:tcW w:w="4928" w:type="dxa"/>
          </w:tcPr>
          <w:p w:rsidR="005C6E47" w:rsidRPr="00650FF1" w:rsidP="002F2972">
            <w:pPr>
              <w:pStyle w:val="StandardText"/>
              <w:spacing w:after="0" w:line="240" w:lineRule="auto"/>
              <w:jc w:val="left"/>
              <w:rPr>
                <w:rFonts w:ascii="Calibri" w:hAnsi="Calibri"/>
              </w:rPr>
            </w:pPr>
            <w:r w:rsidRPr="00650FF1">
              <w:rPr>
                <w:rFonts w:ascii="Calibri" w:hAnsi="Calibri"/>
                <w:lang w:val="es-ES_tradnl"/>
              </w:rPr>
              <w:t>SUPERVISIÓN</w:t>
            </w:r>
          </w:p>
        </w:tc>
        <w:tc>
          <w:tcPr>
            <w:tcW w:w="4883" w:type="dxa"/>
          </w:tcPr>
          <w:p w:rsidR="005C6E47" w:rsidRPr="00650FF1" w:rsidP="002F2972">
            <w:pPr>
              <w:pStyle w:val="StandardText"/>
              <w:spacing w:after="0" w:line="240" w:lineRule="auto"/>
              <w:jc w:val="left"/>
              <w:rPr>
                <w:rFonts w:ascii="Calibri" w:hAnsi="Calibri"/>
              </w:rPr>
            </w:pPr>
            <w:r w:rsidRPr="00650FF1">
              <w:rPr>
                <w:rFonts w:ascii="Calibri" w:hAnsi="Calibri"/>
              </w:rPr>
              <w:t>SUPERVISION</w:t>
            </w:r>
          </w:p>
        </w:tc>
      </w:tr>
      <w:tr w:rsidTr="002F2972">
        <w:tblPrEx>
          <w:tblW w:w="9811" w:type="dxa"/>
          <w:tblInd w:w="185" w:type="dxa"/>
          <w:tblLook w:val="04A0"/>
        </w:tblPrEx>
        <w:tc>
          <w:tcPr>
            <w:tcW w:w="4928" w:type="dxa"/>
          </w:tcPr>
          <w:p w:rsidR="005C6E47" w:rsidRPr="00650FF1" w:rsidP="002F2972">
            <w:pPr>
              <w:pStyle w:val="StandardText"/>
              <w:spacing w:after="0" w:line="240" w:lineRule="auto"/>
              <w:jc w:val="left"/>
              <w:rPr>
                <w:rFonts w:ascii="Calibri" w:hAnsi="Calibri"/>
              </w:rPr>
            </w:pPr>
            <w:r w:rsidRPr="00650FF1">
              <w:rPr>
                <w:rFonts w:ascii="Calibri" w:hAnsi="Calibri"/>
                <w:lang w:val="es-ES_tradnl"/>
              </w:rPr>
              <w:t>DIFUSIÓN</w:t>
            </w:r>
          </w:p>
        </w:tc>
        <w:tc>
          <w:tcPr>
            <w:tcW w:w="4883" w:type="dxa"/>
          </w:tcPr>
          <w:p w:rsidR="005C6E47" w:rsidRPr="00650FF1" w:rsidP="002F2972">
            <w:pPr>
              <w:pStyle w:val="StandardText"/>
              <w:spacing w:after="0" w:line="240" w:lineRule="auto"/>
              <w:jc w:val="left"/>
              <w:rPr>
                <w:rFonts w:ascii="Calibri" w:hAnsi="Calibri"/>
              </w:rPr>
            </w:pPr>
            <w:r w:rsidRPr="00650FF1">
              <w:rPr>
                <w:rFonts w:ascii="Calibri" w:hAnsi="Calibri"/>
              </w:rPr>
              <w:t>COMMUNICATION</w:t>
            </w:r>
          </w:p>
        </w:tc>
      </w:tr>
      <w:tr w:rsidTr="002F2972">
        <w:tblPrEx>
          <w:tblW w:w="9811" w:type="dxa"/>
          <w:tblInd w:w="185" w:type="dxa"/>
          <w:tblLook w:val="04A0"/>
        </w:tblPrEx>
        <w:tc>
          <w:tcPr>
            <w:tcW w:w="4928" w:type="dxa"/>
          </w:tcPr>
          <w:p w:rsidR="005C6E47" w:rsidRPr="00650FF1" w:rsidP="002F2972">
            <w:pPr>
              <w:pStyle w:val="StandardText"/>
              <w:spacing w:after="0" w:line="240" w:lineRule="auto"/>
              <w:jc w:val="left"/>
              <w:rPr>
                <w:rFonts w:ascii="Calibri" w:hAnsi="Calibri"/>
              </w:rPr>
            </w:pPr>
            <w:r w:rsidRPr="00650FF1">
              <w:rPr>
                <w:rFonts w:ascii="Calibri" w:hAnsi="Calibri"/>
                <w:lang w:val="es-ES_tradnl"/>
              </w:rPr>
              <w:t>SOPORTE Y FUNCIONAMIENTO INTERNO</w:t>
            </w:r>
          </w:p>
        </w:tc>
        <w:tc>
          <w:tcPr>
            <w:tcW w:w="4883" w:type="dxa"/>
          </w:tcPr>
          <w:p w:rsidR="005C6E47" w:rsidRPr="00650FF1" w:rsidP="002F2972">
            <w:pPr>
              <w:pStyle w:val="StandardText"/>
              <w:spacing w:after="0" w:line="240" w:lineRule="auto"/>
              <w:jc w:val="left"/>
              <w:rPr>
                <w:rFonts w:ascii="Calibri" w:hAnsi="Calibri"/>
              </w:rPr>
            </w:pPr>
            <w:r w:rsidRPr="00650FF1">
              <w:rPr>
                <w:rFonts w:ascii="Calibri" w:hAnsi="Calibri"/>
              </w:rPr>
              <w:t>SUPPORT AND INTERNAL FUNCTIONING</w:t>
            </w:r>
          </w:p>
        </w:tc>
      </w:tr>
    </w:tbl>
    <w:p w:rsidR="005C6E47" w:rsidRPr="00650FF1" w:rsidP="005C6E47">
      <w:pPr>
        <w:pStyle w:val="StandardText"/>
        <w:spacing w:after="120" w:line="240" w:lineRule="auto"/>
        <w:ind w:left="185"/>
        <w:jc w:val="center"/>
        <w:rPr>
          <w:rFonts w:ascii="Calibri" w:hAnsi="Calibri"/>
          <w:lang w:val="es-ES_tradnl"/>
        </w:rPr>
      </w:pPr>
    </w:p>
    <w:p w:rsidR="005C6E47" w:rsidRPr="00650FF1" w:rsidP="005C6E47">
      <w:pPr>
        <w:pStyle w:val="StandardText"/>
        <w:numPr>
          <w:ilvl w:val="0"/>
          <w:numId w:val="20"/>
        </w:numPr>
        <w:spacing w:after="120" w:line="240" w:lineRule="auto"/>
        <w:rPr>
          <w:rFonts w:ascii="Calibri" w:hAnsi="Calibri" w:cs="Calibri"/>
        </w:rPr>
      </w:pPr>
      <w:r w:rsidRPr="00650FF1">
        <w:rPr>
          <w:rFonts w:ascii="Calibri" w:hAnsi="Calibri"/>
          <w:smallCaps/>
        </w:rPr>
        <w:t>Actions in support</w:t>
      </w:r>
      <w:r w:rsidRPr="00650FF1">
        <w:rPr>
          <w:rFonts w:ascii="Calibri" w:hAnsi="Calibri"/>
        </w:rPr>
        <w:t xml:space="preserve"> of all other AESF actions, aimed at improving the Agency's internal functioning and providing the organisation with tools to facilitate its performance.</w:t>
      </w:r>
    </w:p>
    <w:p w:rsidR="005C6E47" w:rsidRPr="00650FF1" w:rsidP="005C6E47">
      <w:pPr>
        <w:pStyle w:val="StandardText"/>
        <w:spacing w:after="120" w:line="240" w:lineRule="auto"/>
        <w:ind w:left="905"/>
        <w:rPr>
          <w:rFonts w:ascii="Calibri" w:hAnsi="Calibri" w:cs="Calibri"/>
          <w:lang w:val="es-ES_tradnl"/>
        </w:rPr>
      </w:pPr>
    </w:p>
    <w:p w:rsidR="005C6E47" w:rsidRPr="00650FF1" w:rsidP="005C6E47">
      <w:pPr>
        <w:pStyle w:val="StandardText"/>
        <w:numPr>
          <w:ilvl w:val="0"/>
          <w:numId w:val="20"/>
        </w:numPr>
        <w:spacing w:after="120" w:line="240" w:lineRule="auto"/>
        <w:rPr>
          <w:rFonts w:ascii="Calibri" w:hAnsi="Calibri" w:cs="Calibri"/>
        </w:rPr>
      </w:pPr>
      <w:r w:rsidRPr="00650FF1">
        <w:rPr>
          <w:rFonts w:ascii="Calibri" w:hAnsi="Calibri"/>
          <w:smallCaps/>
        </w:rPr>
        <w:t>Operational actions</w:t>
      </w:r>
      <w:r w:rsidRPr="00650FF1">
        <w:rPr>
          <w:rFonts w:ascii="Calibri" w:hAnsi="Calibri"/>
        </w:rPr>
        <w:t>, relating to the AESF's particular competences, which are carried out on the basis of four key concepts:</w:t>
      </w:r>
    </w:p>
    <w:p w:rsidR="005C6E47" w:rsidRPr="00650FF1" w:rsidP="005C6E47">
      <w:pPr>
        <w:pStyle w:val="StandardText"/>
        <w:numPr>
          <w:ilvl w:val="1"/>
          <w:numId w:val="20"/>
        </w:numPr>
        <w:spacing w:after="120" w:line="240" w:lineRule="auto"/>
        <w:ind w:left="1276"/>
        <w:rPr>
          <w:rFonts w:ascii="Calibri" w:hAnsi="Calibri" w:cs="Calibri"/>
        </w:rPr>
      </w:pPr>
      <w:r w:rsidRPr="00650FF1">
        <w:rPr>
          <w:rFonts w:ascii="Calibri" w:hAnsi="Calibri"/>
        </w:rPr>
        <w:t>Legislative development and regulation with regard to safety and interoperability, from both a technical and a legal perspective.</w:t>
      </w:r>
    </w:p>
    <w:p w:rsidR="005C6E47" w:rsidRPr="00650FF1" w:rsidP="005C6E47">
      <w:pPr>
        <w:pStyle w:val="StandardText"/>
        <w:spacing w:after="120" w:line="240" w:lineRule="auto"/>
        <w:ind w:left="1276"/>
        <w:rPr>
          <w:rFonts w:ascii="Calibri" w:hAnsi="Calibri" w:cs="Calibri"/>
        </w:rPr>
      </w:pPr>
      <w:r w:rsidRPr="00650FF1">
        <w:rPr>
          <w:rFonts w:ascii="Calibri" w:hAnsi="Calibri"/>
        </w:rPr>
        <w:t xml:space="preserve">The regulatory activities carried out in 2017 </w:t>
      </w:r>
      <w:r w:rsidRPr="00650FF1">
        <w:rPr>
          <w:rFonts w:ascii="Calibri" w:hAnsi="Calibri"/>
        </w:rPr>
        <w:t>are described</w:t>
      </w:r>
      <w:r w:rsidRPr="00650FF1">
        <w:rPr>
          <w:rFonts w:ascii="Calibri" w:hAnsi="Calibri"/>
        </w:rPr>
        <w:t xml:space="preserve"> in chapter H of this report.</w:t>
      </w:r>
    </w:p>
    <w:p w:rsidR="005C6E47" w:rsidRPr="00650FF1" w:rsidP="005C6E47">
      <w:pPr>
        <w:pStyle w:val="StandardText"/>
        <w:numPr>
          <w:ilvl w:val="1"/>
          <w:numId w:val="20"/>
        </w:numPr>
        <w:spacing w:after="120" w:line="240" w:lineRule="auto"/>
        <w:ind w:left="1276"/>
        <w:rPr>
          <w:rFonts w:ascii="Calibri" w:hAnsi="Calibri" w:cs="Calibri"/>
        </w:rPr>
      </w:pPr>
      <w:r w:rsidRPr="00650FF1">
        <w:rPr>
          <w:rFonts w:ascii="Calibri" w:hAnsi="Calibri"/>
        </w:rPr>
        <w:t>The issuance of licences, authorisations, certificates or approvals required by the various elements and organisations of the railway sector in order to join the sector.</w:t>
      </w:r>
    </w:p>
    <w:p w:rsidR="005C6E47" w:rsidRPr="00650FF1" w:rsidP="005C6E47">
      <w:pPr>
        <w:pStyle w:val="StandardText"/>
        <w:numPr>
          <w:ilvl w:val="1"/>
          <w:numId w:val="20"/>
        </w:numPr>
        <w:spacing w:after="120" w:line="240" w:lineRule="auto"/>
        <w:ind w:left="1276"/>
        <w:rPr>
          <w:rFonts w:ascii="Calibri" w:hAnsi="Calibri" w:cs="Calibri"/>
        </w:rPr>
      </w:pPr>
      <w:r w:rsidRPr="00650FF1">
        <w:rPr>
          <w:rFonts w:ascii="Calibri" w:hAnsi="Calibri"/>
        </w:rPr>
        <w:t>Supervision of the sector, which must form a highly significant subset of the 2017 Action Plan.</w:t>
      </w:r>
    </w:p>
    <w:p w:rsidR="005C6E47" w:rsidRPr="00650FF1" w:rsidP="005C6E47">
      <w:pPr>
        <w:pStyle w:val="StandardText"/>
        <w:spacing w:after="120" w:line="240" w:lineRule="auto"/>
        <w:ind w:left="1276"/>
        <w:rPr>
          <w:rFonts w:ascii="Calibri" w:hAnsi="Calibri"/>
        </w:rPr>
      </w:pPr>
      <w:r w:rsidRPr="00650FF1">
        <w:rPr>
          <w:rFonts w:ascii="Calibri" w:hAnsi="Calibri"/>
        </w:rPr>
        <w:t>In accordance with the Railway Sector Act, traffic safety on the Public Railway Network is the responsibility of the infrastructure managers and the railway undertakings that operate on the network.</w:t>
      </w:r>
    </w:p>
    <w:p w:rsidR="005C6E47" w:rsidRPr="00650FF1" w:rsidP="005C6E47">
      <w:pPr>
        <w:pStyle w:val="StandardText"/>
        <w:spacing w:after="120" w:line="240" w:lineRule="auto"/>
        <w:ind w:left="1276"/>
        <w:rPr>
          <w:rFonts w:ascii="Calibri" w:hAnsi="Calibri"/>
        </w:rPr>
      </w:pPr>
      <w:r w:rsidRPr="00650FF1">
        <w:rPr>
          <w:rFonts w:ascii="Calibri" w:hAnsi="Calibri"/>
        </w:rPr>
        <w:t>In turn, the authority that is responsible for safety must ensure compliance with the regulatory framework by system agents and ensure that they use an adequate safety management system.</w:t>
      </w:r>
    </w:p>
    <w:p w:rsidR="005C6E47" w:rsidRPr="00650FF1" w:rsidP="005C6E47">
      <w:pPr>
        <w:pStyle w:val="StandardText"/>
        <w:spacing w:after="120" w:line="240" w:lineRule="auto"/>
        <w:ind w:left="1276"/>
        <w:rPr>
          <w:rFonts w:ascii="Calibri" w:hAnsi="Calibri"/>
        </w:rPr>
      </w:pPr>
      <w:r w:rsidRPr="00650FF1">
        <w:rPr>
          <w:rFonts w:ascii="Calibri" w:hAnsi="Calibri"/>
        </w:rPr>
        <w:t>Further details of the supervisory activities of the AESF are set out in Chapter G of this report.</w:t>
      </w:r>
    </w:p>
    <w:p w:rsidR="005C6E47" w:rsidRPr="00650FF1" w:rsidP="005C6E47">
      <w:pPr>
        <w:pStyle w:val="StandardText"/>
        <w:numPr>
          <w:ilvl w:val="1"/>
          <w:numId w:val="20"/>
        </w:numPr>
        <w:spacing w:after="120" w:line="240" w:lineRule="auto"/>
        <w:ind w:left="1276"/>
        <w:rPr>
          <w:rFonts w:ascii="Calibri" w:hAnsi="Calibri" w:cs="Calibri"/>
        </w:rPr>
      </w:pPr>
      <w:r w:rsidRPr="00650FF1">
        <w:rPr>
          <w:rFonts w:ascii="Calibri" w:hAnsi="Calibri"/>
        </w:rPr>
        <w:t>Dissemination, as a fundamental tool for improving knowledge in the sector (see chapter I of this report).</w:t>
      </w:r>
    </w:p>
    <w:p w:rsidR="005C6E47" w:rsidRPr="00650FF1" w:rsidP="005C6E47">
      <w:pPr>
        <w:pStyle w:val="StandardText"/>
        <w:spacing w:after="120" w:line="240" w:lineRule="auto"/>
        <w:ind w:left="1276"/>
        <w:rPr>
          <w:rFonts w:ascii="Calibri" w:hAnsi="Calibri" w:cs="Calibri"/>
          <w:lang w:val="es-ES_tradnl"/>
        </w:rPr>
      </w:pPr>
    </w:p>
    <w:p w:rsidR="005C6E47" w:rsidRPr="00650FF1" w:rsidP="005C6E47">
      <w:pPr>
        <w:pStyle w:val="StandardText"/>
        <w:numPr>
          <w:ilvl w:val="0"/>
          <w:numId w:val="20"/>
        </w:numPr>
        <w:spacing w:after="120" w:line="240" w:lineRule="auto"/>
        <w:rPr>
          <w:rFonts w:ascii="Calibri" w:hAnsi="Calibri" w:cs="Calibri"/>
        </w:rPr>
      </w:pPr>
      <w:r w:rsidRPr="00650FF1">
        <w:rPr>
          <w:rFonts w:ascii="Calibri" w:hAnsi="Calibri"/>
          <w:smallCaps/>
        </w:rPr>
        <w:t>Strategic actions</w:t>
      </w:r>
      <w:r w:rsidRPr="00650FF1">
        <w:rPr>
          <w:rFonts w:ascii="Calibri" w:hAnsi="Calibri"/>
        </w:rPr>
        <w:t>, at a higher level and over the medium term:</w:t>
      </w:r>
    </w:p>
    <w:p w:rsidR="005C6E47" w:rsidRPr="00650FF1" w:rsidP="005C6E47">
      <w:pPr>
        <w:pStyle w:val="StandardText"/>
        <w:numPr>
          <w:ilvl w:val="1"/>
          <w:numId w:val="20"/>
        </w:numPr>
        <w:spacing w:after="120" w:line="240" w:lineRule="auto"/>
        <w:ind w:left="1276"/>
        <w:rPr>
          <w:rFonts w:ascii="Calibri" w:hAnsi="Calibri" w:cs="Calibri"/>
        </w:rPr>
      </w:pPr>
      <w:r w:rsidRPr="00650FF1">
        <w:rPr>
          <w:rFonts w:ascii="Calibri" w:hAnsi="Calibri"/>
        </w:rPr>
        <w:t>Follow-up of strategic safety improvement actions in the sector, the importance of which requires continuing action over time. With those actions, the AESF can act as a catalyst and coordinate other actors' actions.</w:t>
      </w:r>
    </w:p>
    <w:p w:rsidR="005C6E47" w:rsidRPr="00650FF1" w:rsidP="005C6E47">
      <w:pPr>
        <w:pStyle w:val="StandardText"/>
        <w:numPr>
          <w:ilvl w:val="1"/>
          <w:numId w:val="20"/>
        </w:numPr>
        <w:spacing w:after="120" w:line="240" w:lineRule="auto"/>
        <w:ind w:left="1276"/>
        <w:rPr>
          <w:rFonts w:ascii="Calibri" w:hAnsi="Calibri" w:cs="Calibri"/>
        </w:rPr>
      </w:pPr>
      <w:r w:rsidRPr="00650FF1">
        <w:rPr>
          <w:rFonts w:ascii="Calibri" w:hAnsi="Calibri"/>
        </w:rPr>
        <w:t xml:space="preserve">The AESF attaches strategic importance to medium-term preparation for the changes introduced by the </w:t>
      </w:r>
      <w:r w:rsidRPr="00650FF1">
        <w:rPr>
          <w:rFonts w:ascii="Calibri" w:hAnsi="Calibri"/>
        </w:rPr>
        <w:t>4th</w:t>
      </w:r>
      <w:r w:rsidRPr="00650FF1">
        <w:rPr>
          <w:rFonts w:ascii="Calibri" w:hAnsi="Calibri"/>
        </w:rPr>
        <w:t xml:space="preserve"> Railway Package adopted in 2016, which in the coming years will bring about a new scenario in the Single European Railway Area, involving a significant change in relations between the European Union Agency for Railways and national safety authorities.</w:t>
      </w:r>
    </w:p>
    <w:p w:rsidR="005C6E47" w:rsidRPr="00650FF1" w:rsidP="005C6E47">
      <w:pPr>
        <w:pStyle w:val="StandardText"/>
        <w:spacing w:after="120" w:line="240" w:lineRule="auto"/>
        <w:ind w:left="1276"/>
        <w:rPr>
          <w:rFonts w:ascii="Calibri" w:hAnsi="Calibri" w:cs="Calibri"/>
          <w:lang w:val="es-ES_tradnl"/>
        </w:rPr>
      </w:pPr>
    </w:p>
    <w:p w:rsidR="005C6E47" w:rsidRPr="00650FF1" w:rsidP="005C6E47">
      <w:pPr>
        <w:pStyle w:val="StandardText"/>
        <w:numPr>
          <w:ilvl w:val="0"/>
          <w:numId w:val="20"/>
        </w:numPr>
        <w:spacing w:after="120" w:line="240" w:lineRule="auto"/>
        <w:rPr>
          <w:rFonts w:ascii="Calibri" w:hAnsi="Calibri" w:cs="Calibri"/>
        </w:rPr>
      </w:pPr>
      <w:r w:rsidRPr="00650FF1">
        <w:rPr>
          <w:rFonts w:ascii="Calibri" w:hAnsi="Calibri"/>
          <w:smallCaps/>
        </w:rPr>
        <w:t>International representation</w:t>
      </w:r>
      <w:r w:rsidRPr="00650FF1">
        <w:rPr>
          <w:rFonts w:ascii="Calibri" w:hAnsi="Calibri"/>
        </w:rPr>
        <w:t xml:space="preserve"> and participation in a range of organisations that will shape future policy and legislation on safety and interoperability.</w:t>
      </w:r>
    </w:p>
    <w:p w:rsidR="005C6E47" w:rsidRPr="00650FF1" w:rsidP="005C6E47">
      <w:pPr>
        <w:pStyle w:val="StandardText"/>
        <w:spacing w:after="120" w:line="240" w:lineRule="auto"/>
        <w:ind w:left="905"/>
        <w:rPr>
          <w:rFonts w:ascii="Calibri" w:hAnsi="Calibri"/>
        </w:rPr>
      </w:pPr>
      <w:r w:rsidRPr="00650FF1">
        <w:rPr>
          <w:rFonts w:ascii="Calibri" w:hAnsi="Calibri"/>
        </w:rPr>
        <w:t>The AESF takes part in European working groups within different organisations, such as the European Union Agency for Railways (EUAR), the European Commission Shift2Rail and the Intergovernmental Organisation for International Carriage by Rail (OTIF). This has meant attending more than 90 meetings.</w:t>
      </w:r>
    </w:p>
    <w:p w:rsidR="005C6E47" w:rsidRPr="00650FF1" w:rsidP="005C6E47">
      <w:pPr>
        <w:ind w:left="708"/>
        <w:rPr>
          <w:rFonts w:cs="Calibri"/>
          <w:lang w:val="es-ES_tradnl"/>
        </w:rPr>
      </w:pPr>
    </w:p>
    <w:p w:rsidR="005C6E47" w:rsidRPr="00637CB5" w:rsidP="00637CB5">
      <w:pPr>
        <w:pStyle w:val="Subtitulo1"/>
        <w:numPr>
          <w:ilvl w:val="0"/>
          <w:numId w:val="18"/>
        </w:numPr>
        <w:rPr>
          <w:lang w:val="es-ES_tradnl"/>
        </w:rPr>
      </w:pPr>
      <w:r w:rsidRPr="00637CB5">
        <w:rPr>
          <w:lang w:val="es-ES_tradnl"/>
        </w:rPr>
        <w:t>Global strategies, programmes and initiatives in the railway sector</w:t>
      </w:r>
    </w:p>
    <w:p w:rsidR="005C6E47" w:rsidRPr="00650FF1" w:rsidP="005C6E47">
      <w:pPr>
        <w:pStyle w:val="StandardText"/>
        <w:spacing w:after="120" w:line="240" w:lineRule="auto"/>
        <w:ind w:left="185"/>
        <w:rPr>
          <w:rFonts w:ascii="Calibri" w:hAnsi="Calibri"/>
        </w:rPr>
      </w:pPr>
      <w:r w:rsidRPr="00650FF1">
        <w:rPr>
          <w:rFonts w:ascii="Calibri" w:hAnsi="Calibri"/>
        </w:rPr>
        <w:t>In 2017, the sector as a whole, in cooperation with the AESF, worked on different strategic lines to improve railway safety:</w:t>
      </w:r>
    </w:p>
    <w:p w:rsidR="005C6E47" w:rsidRPr="00650FF1" w:rsidP="005C6E47">
      <w:pPr>
        <w:pStyle w:val="StandardText"/>
        <w:spacing w:after="120" w:line="240" w:lineRule="auto"/>
        <w:ind w:left="185"/>
        <w:rPr>
          <w:rFonts w:ascii="Calibri" w:hAnsi="Calibri"/>
          <w:lang w:val="es-ES_tradnl"/>
        </w:rPr>
      </w:pPr>
    </w:p>
    <w:p w:rsidR="005C6E47" w:rsidRPr="00650FF1" w:rsidP="005C6E47">
      <w:pPr>
        <w:pStyle w:val="PUNTOS"/>
        <w:keepNext/>
        <w:rPr>
          <w:b/>
        </w:rPr>
      </w:pPr>
      <w:r w:rsidRPr="00650FF1">
        <w:rPr>
          <w:b/>
        </w:rPr>
        <w:t>Monitoring the entry into force of the Rail Traffic Regulations</w:t>
      </w:r>
    </w:p>
    <w:p w:rsidR="005C6E47" w:rsidRPr="00650FF1" w:rsidP="005C6E47">
      <w:pPr>
        <w:pStyle w:val="StandardText"/>
        <w:spacing w:after="120" w:line="240" w:lineRule="auto"/>
        <w:ind w:left="907"/>
        <w:rPr>
          <w:rFonts w:ascii="Calibri" w:hAnsi="Calibri"/>
        </w:rPr>
      </w:pPr>
      <w:r w:rsidRPr="00650FF1">
        <w:rPr>
          <w:rFonts w:ascii="Calibri" w:hAnsi="Calibri"/>
        </w:rPr>
        <w:t>The Rail Traffic Regulations (</w:t>
      </w:r>
      <w:r w:rsidRPr="00650FF1">
        <w:rPr>
          <w:rFonts w:ascii="Calibri" w:hAnsi="Calibri"/>
        </w:rPr>
        <w:t>reglamento</w:t>
      </w:r>
      <w:r w:rsidRPr="00650FF1">
        <w:rPr>
          <w:rFonts w:ascii="Calibri" w:hAnsi="Calibri"/>
        </w:rPr>
        <w:t xml:space="preserve"> de </w:t>
      </w:r>
      <w:r w:rsidRPr="00650FF1">
        <w:rPr>
          <w:rFonts w:ascii="Calibri" w:hAnsi="Calibri"/>
        </w:rPr>
        <w:t>circulación</w:t>
      </w:r>
      <w:r w:rsidRPr="00650FF1">
        <w:rPr>
          <w:rFonts w:ascii="Calibri" w:hAnsi="Calibri"/>
        </w:rPr>
        <w:t xml:space="preserve"> </w:t>
      </w:r>
      <w:r w:rsidRPr="00650FF1">
        <w:rPr>
          <w:rFonts w:ascii="Calibri" w:hAnsi="Calibri"/>
        </w:rPr>
        <w:t>ferroviaria</w:t>
      </w:r>
      <w:r w:rsidRPr="00650FF1">
        <w:rPr>
          <w:rFonts w:ascii="Calibri" w:hAnsi="Calibri"/>
        </w:rPr>
        <w:t>: RCF) entered into force in January 2017, after a transitional period following their approval in July 2015</w:t>
      </w:r>
      <w:r>
        <w:rPr>
          <w:rFonts w:ascii="Calibri" w:hAnsi="Calibri"/>
          <w:vertAlign w:val="superscript"/>
          <w:lang w:val="es-ES_tradnl"/>
        </w:rPr>
        <w:footnoteReference w:id="5"/>
      </w:r>
      <w:r w:rsidRPr="00650FF1">
        <w:rPr>
          <w:rFonts w:ascii="Calibri" w:hAnsi="Calibri"/>
        </w:rPr>
        <w:t xml:space="preserve">. The RCF are the notified national legislation regulating railway management and operation. </w:t>
      </w:r>
      <w:r w:rsidRPr="00650FF1">
        <w:rPr>
          <w:rFonts w:ascii="Calibri" w:hAnsi="Calibri"/>
        </w:rPr>
        <w:t>They are in keeping with the content of the operation and traffic management technical specification for interoperability (OPE TSI) and have involved a complete review of the regulations governing the national railway sector.</w:t>
      </w:r>
      <w:r w:rsidRPr="00650FF1">
        <w:rPr>
          <w:rFonts w:ascii="Calibri" w:hAnsi="Calibri"/>
        </w:rPr>
        <w:t xml:space="preserve"> During that transitional period, numerous actions were necessary for their full implementation.</w:t>
      </w:r>
    </w:p>
    <w:p w:rsidR="005C6E47" w:rsidRPr="00650FF1" w:rsidP="005C6E47">
      <w:pPr>
        <w:pStyle w:val="StandardText"/>
        <w:spacing w:after="120" w:line="240" w:lineRule="auto"/>
        <w:ind w:left="905"/>
        <w:rPr>
          <w:rFonts w:ascii="Calibri" w:hAnsi="Calibri"/>
        </w:rPr>
      </w:pPr>
      <w:r w:rsidRPr="00650FF1">
        <w:rPr>
          <w:rFonts w:ascii="Calibri" w:hAnsi="Calibri"/>
        </w:rPr>
        <w:t>However, their entry into force does not mean that work in this area is now at an end. In 2017, it was necessary to continue with the tasks resulting from the RCF:</w:t>
      </w:r>
    </w:p>
    <w:p w:rsidR="005C6E47" w:rsidRPr="00650FF1" w:rsidP="005C6E47">
      <w:pPr>
        <w:numPr>
          <w:ilvl w:val="0"/>
          <w:numId w:val="31"/>
        </w:numPr>
        <w:ind w:left="1265"/>
        <w:jc w:val="both"/>
        <w:rPr>
          <w:rFonts w:asciiTheme="minorHAnsi" w:hAnsiTheme="minorHAnsi" w:cstheme="minorHAnsi"/>
          <w:i/>
        </w:rPr>
      </w:pPr>
      <w:r w:rsidRPr="00650FF1">
        <w:rPr>
          <w:rFonts w:asciiTheme="minorHAnsi" w:hAnsiTheme="minorHAnsi"/>
          <w:i/>
        </w:rPr>
        <w:t>Analysis of proposals for amendment and improvement of the RCF and, where applicable, processing of regulatory changes.</w:t>
      </w:r>
    </w:p>
    <w:p w:rsidR="005C6E47" w:rsidRPr="00650FF1" w:rsidP="005C6E47">
      <w:pPr>
        <w:pStyle w:val="ListParagraph"/>
        <w:ind w:left="1265"/>
        <w:jc w:val="both"/>
        <w:rPr>
          <w:rFonts w:asciiTheme="minorHAnsi" w:hAnsiTheme="minorHAnsi" w:cstheme="minorHAnsi"/>
        </w:rPr>
      </w:pPr>
      <w:r w:rsidRPr="00650FF1">
        <w:rPr>
          <w:rFonts w:asciiTheme="minorHAnsi" w:hAnsiTheme="minorHAnsi"/>
        </w:rPr>
        <w:t xml:space="preserve">Once the RCF had entered into full force, in the first few months the sector conveyed the need to improve, or even correct, certain aspects of its wording. To that end, the AESF proposed the approval of a royal decree amending the RCF, correcting errors and clarifying certain aspects, which </w:t>
      </w:r>
      <w:r w:rsidRPr="00650FF1">
        <w:rPr>
          <w:rFonts w:asciiTheme="minorHAnsi" w:hAnsiTheme="minorHAnsi"/>
        </w:rPr>
        <w:t>was processed during the course of 2017 and published in 2018</w:t>
      </w:r>
      <w:r>
        <w:rPr>
          <w:rFonts w:asciiTheme="minorHAnsi" w:hAnsiTheme="minorHAnsi" w:cstheme="minorHAnsi"/>
          <w:vertAlign w:val="superscript"/>
          <w:lang w:val="es-ES_tradnl"/>
        </w:rPr>
        <w:footnoteReference w:id="6"/>
      </w:r>
      <w:r w:rsidRPr="00650FF1">
        <w:rPr>
          <w:rFonts w:asciiTheme="minorHAnsi" w:hAnsiTheme="minorHAnsi"/>
        </w:rPr>
        <w:t>.</w:t>
      </w:r>
    </w:p>
    <w:p w:rsidR="005C6E47" w:rsidRPr="00650FF1" w:rsidP="005C6E47">
      <w:pPr>
        <w:ind w:left="2456"/>
        <w:jc w:val="both"/>
        <w:rPr>
          <w:rFonts w:asciiTheme="minorHAnsi" w:hAnsiTheme="minorHAnsi" w:cstheme="minorHAnsi"/>
          <w:lang w:val="es-ES_tradnl"/>
        </w:rPr>
      </w:pPr>
    </w:p>
    <w:p w:rsidR="005C6E47" w:rsidRPr="00650FF1" w:rsidP="005C6E47">
      <w:pPr>
        <w:numPr>
          <w:ilvl w:val="0"/>
          <w:numId w:val="31"/>
        </w:numPr>
        <w:ind w:left="1265"/>
        <w:jc w:val="both"/>
        <w:rPr>
          <w:rFonts w:asciiTheme="minorHAnsi" w:hAnsiTheme="minorHAnsi" w:cstheme="minorHAnsi"/>
          <w:i/>
        </w:rPr>
      </w:pPr>
      <w:r w:rsidRPr="00650FF1">
        <w:rPr>
          <w:rFonts w:asciiTheme="minorHAnsi" w:hAnsiTheme="minorHAnsi"/>
          <w:i/>
        </w:rPr>
        <w:t>Auditing of the implementation of the RCF in the SMSs of the different system actors.</w:t>
      </w:r>
    </w:p>
    <w:p w:rsidR="005C6E47" w:rsidRPr="00650FF1" w:rsidP="005C6E47">
      <w:pPr>
        <w:ind w:left="1265"/>
        <w:jc w:val="both"/>
        <w:rPr>
          <w:rFonts w:asciiTheme="minorHAnsi" w:hAnsiTheme="minorHAnsi" w:cstheme="minorHAnsi"/>
        </w:rPr>
      </w:pPr>
      <w:r w:rsidRPr="00650FF1">
        <w:rPr>
          <w:rFonts w:asciiTheme="minorHAnsi" w:hAnsiTheme="minorHAnsi"/>
        </w:rPr>
        <w:t>In 2017, the AESF also assessed the implementation of the RCF, making use of the renewal, extension and assessment processes for new safety certificates, or during the audits of their safety management systems.</w:t>
      </w:r>
    </w:p>
    <w:p w:rsidR="005C6E47" w:rsidRPr="00650FF1" w:rsidP="005C6E47">
      <w:pPr>
        <w:ind w:left="1810"/>
        <w:jc w:val="both"/>
        <w:rPr>
          <w:rFonts w:asciiTheme="minorHAnsi" w:hAnsiTheme="minorHAnsi" w:cstheme="minorHAnsi"/>
          <w:lang w:val="es-ES_tradnl"/>
        </w:rPr>
      </w:pPr>
    </w:p>
    <w:p w:rsidR="005C6E47" w:rsidRPr="00650FF1" w:rsidP="005C6E47">
      <w:pPr>
        <w:numPr>
          <w:ilvl w:val="0"/>
          <w:numId w:val="31"/>
        </w:numPr>
        <w:ind w:left="1265"/>
        <w:jc w:val="both"/>
        <w:rPr>
          <w:rFonts w:asciiTheme="minorHAnsi" w:hAnsiTheme="minorHAnsi" w:cstheme="minorHAnsi"/>
          <w:i/>
        </w:rPr>
      </w:pPr>
      <w:r w:rsidRPr="00650FF1">
        <w:rPr>
          <w:rFonts w:asciiTheme="minorHAnsi" w:hAnsiTheme="minorHAnsi"/>
          <w:i/>
        </w:rPr>
        <w:t>Assessment of regulatory documents issued in implementation of the RCF.</w:t>
      </w:r>
    </w:p>
    <w:p w:rsidR="005C6E47" w:rsidRPr="00650FF1" w:rsidP="005C6E47">
      <w:pPr>
        <w:ind w:left="1265"/>
        <w:jc w:val="both"/>
        <w:rPr>
          <w:rFonts w:asciiTheme="minorHAnsi" w:hAnsiTheme="minorHAnsi" w:cstheme="minorHAnsi"/>
        </w:rPr>
      </w:pPr>
      <w:r w:rsidRPr="00650FF1">
        <w:rPr>
          <w:rFonts w:asciiTheme="minorHAnsi" w:hAnsiTheme="minorHAnsi"/>
        </w:rPr>
        <w:t xml:space="preserve">The AESF has occasionally reviewed documents created in implementation of the RCF by the infrastructure manager (orders, internal rules, etc.), making suggestions for improvement or requests for the correction of </w:t>
      </w:r>
      <w:r w:rsidRPr="00650FF1">
        <w:rPr>
          <w:rFonts w:asciiTheme="minorHAnsi" w:hAnsiTheme="minorHAnsi"/>
        </w:rPr>
        <w:t>aspects which</w:t>
      </w:r>
      <w:r w:rsidRPr="00650FF1">
        <w:rPr>
          <w:rFonts w:asciiTheme="minorHAnsi" w:hAnsiTheme="minorHAnsi"/>
        </w:rPr>
        <w:t xml:space="preserve"> were not deemed to be entirely compliant with the RCF.</w:t>
      </w:r>
    </w:p>
    <w:p w:rsidR="005C6E47" w:rsidRPr="00650FF1" w:rsidP="005C6E47">
      <w:pPr>
        <w:ind w:left="2456"/>
        <w:jc w:val="both"/>
        <w:rPr>
          <w:rFonts w:asciiTheme="minorHAnsi" w:hAnsiTheme="minorHAnsi" w:cstheme="minorHAnsi"/>
          <w:lang w:val="es-ES_tradnl"/>
        </w:rPr>
      </w:pPr>
    </w:p>
    <w:p w:rsidR="005C6E47" w:rsidRPr="00650FF1" w:rsidP="005C6E47">
      <w:pPr>
        <w:numPr>
          <w:ilvl w:val="0"/>
          <w:numId w:val="31"/>
        </w:numPr>
        <w:ind w:left="1265"/>
        <w:jc w:val="both"/>
        <w:rPr>
          <w:rFonts w:asciiTheme="minorHAnsi" w:hAnsiTheme="minorHAnsi" w:cstheme="minorHAnsi"/>
          <w:i/>
        </w:rPr>
      </w:pPr>
      <w:r w:rsidRPr="00650FF1">
        <w:rPr>
          <w:rFonts w:asciiTheme="minorHAnsi" w:hAnsiTheme="minorHAnsi"/>
          <w:i/>
        </w:rPr>
        <w:t>Implementation of supplementary technical specifications (e.g. Braking TS).</w:t>
      </w:r>
    </w:p>
    <w:p w:rsidR="005C6E47" w:rsidRPr="00650FF1" w:rsidP="005C6E47">
      <w:pPr>
        <w:ind w:left="1265"/>
        <w:jc w:val="both"/>
        <w:rPr>
          <w:rFonts w:asciiTheme="minorHAnsi" w:hAnsiTheme="minorHAnsi" w:cstheme="minorHAnsi"/>
        </w:rPr>
      </w:pPr>
      <w:r w:rsidRPr="00650FF1">
        <w:rPr>
          <w:rFonts w:asciiTheme="minorHAnsi" w:hAnsiTheme="minorHAnsi"/>
        </w:rPr>
        <w:t xml:space="preserve">During the course of 2017, work </w:t>
      </w:r>
      <w:r w:rsidRPr="00650FF1">
        <w:rPr>
          <w:rFonts w:asciiTheme="minorHAnsi" w:hAnsiTheme="minorHAnsi"/>
        </w:rPr>
        <w:t>was done</w:t>
      </w:r>
      <w:r w:rsidRPr="00650FF1">
        <w:rPr>
          <w:rFonts w:asciiTheme="minorHAnsi" w:hAnsiTheme="minorHAnsi"/>
        </w:rPr>
        <w:t xml:space="preserve"> on the wording of technical specification on braking, in implementation of the RCF.</w:t>
      </w:r>
    </w:p>
    <w:p w:rsidR="005C6E47" w:rsidRPr="00650FF1" w:rsidP="005C6E47">
      <w:pPr>
        <w:ind w:left="2456"/>
        <w:jc w:val="both"/>
        <w:rPr>
          <w:rFonts w:asciiTheme="minorHAnsi" w:hAnsiTheme="minorHAnsi" w:cstheme="minorHAnsi"/>
          <w:lang w:val="es-ES_tradnl"/>
        </w:rPr>
      </w:pPr>
    </w:p>
    <w:p w:rsidR="005C6E47" w:rsidRPr="00650FF1" w:rsidP="005C6E47">
      <w:pPr>
        <w:numPr>
          <w:ilvl w:val="0"/>
          <w:numId w:val="31"/>
        </w:numPr>
        <w:ind w:left="1265"/>
        <w:jc w:val="both"/>
        <w:rPr>
          <w:rFonts w:asciiTheme="minorHAnsi" w:hAnsiTheme="minorHAnsi" w:cstheme="minorHAnsi"/>
          <w:i/>
        </w:rPr>
      </w:pPr>
      <w:r w:rsidRPr="00650FF1">
        <w:rPr>
          <w:rFonts w:asciiTheme="minorHAnsi" w:hAnsiTheme="minorHAnsi"/>
          <w:i/>
        </w:rPr>
        <w:t>Issuance of documents to facilitate the application of the RCF (guidance sheets).</w:t>
      </w:r>
    </w:p>
    <w:p w:rsidR="005C6E47" w:rsidRPr="00650FF1" w:rsidP="005C6E47">
      <w:pPr>
        <w:ind w:left="1265"/>
        <w:jc w:val="both"/>
        <w:rPr>
          <w:rFonts w:asciiTheme="minorHAnsi" w:hAnsiTheme="minorHAnsi" w:cstheme="minorHAnsi"/>
        </w:rPr>
      </w:pPr>
      <w:r w:rsidRPr="00650FF1">
        <w:rPr>
          <w:rFonts w:asciiTheme="minorHAnsi" w:hAnsiTheme="minorHAnsi"/>
        </w:rPr>
        <w:t>To facilitate the application of the RCF, the AESF, by means of Decision 1/2017, created guidance sheets regarding the application of the RCF and has issued two of them this year.</w:t>
      </w:r>
    </w:p>
    <w:p w:rsidR="005C6E47" w:rsidRPr="00650FF1" w:rsidP="005C6E47">
      <w:pPr>
        <w:ind w:left="1810"/>
        <w:jc w:val="both"/>
        <w:rPr>
          <w:rFonts w:asciiTheme="minorHAnsi" w:hAnsiTheme="minorHAnsi" w:cstheme="minorHAnsi"/>
          <w:lang w:val="es-ES_tradnl"/>
        </w:rPr>
      </w:pPr>
    </w:p>
    <w:p w:rsidR="005C6E47" w:rsidRPr="00650FF1" w:rsidP="005C6E47">
      <w:pPr>
        <w:numPr>
          <w:ilvl w:val="0"/>
          <w:numId w:val="31"/>
        </w:numPr>
        <w:ind w:left="1265"/>
        <w:jc w:val="both"/>
        <w:rPr>
          <w:rFonts w:asciiTheme="minorHAnsi" w:hAnsiTheme="minorHAnsi" w:cstheme="minorHAnsi"/>
          <w:i/>
        </w:rPr>
      </w:pPr>
      <w:r w:rsidRPr="00650FF1">
        <w:rPr>
          <w:rFonts w:asciiTheme="minorHAnsi" w:hAnsiTheme="minorHAnsi"/>
          <w:i/>
        </w:rPr>
        <w:t>Dealing with queries.</w:t>
      </w:r>
    </w:p>
    <w:p w:rsidR="005C6E47" w:rsidRPr="00650FF1" w:rsidP="005C6E47">
      <w:pPr>
        <w:ind w:left="1265"/>
        <w:jc w:val="both"/>
        <w:rPr>
          <w:rFonts w:asciiTheme="minorHAnsi" w:hAnsiTheme="minorHAnsi" w:cstheme="minorHAnsi"/>
        </w:rPr>
      </w:pPr>
      <w:r w:rsidRPr="00650FF1">
        <w:rPr>
          <w:rFonts w:asciiTheme="minorHAnsi" w:hAnsiTheme="minorHAnsi"/>
        </w:rPr>
        <w:t xml:space="preserve">A considerable number of the queries received in 2017 were to do with the application of the RCF and they </w:t>
      </w:r>
      <w:r w:rsidRPr="00650FF1">
        <w:rPr>
          <w:rFonts w:asciiTheme="minorHAnsi" w:hAnsiTheme="minorHAnsi"/>
        </w:rPr>
        <w:t>were resolved</w:t>
      </w:r>
      <w:r w:rsidRPr="00650FF1">
        <w:rPr>
          <w:rFonts w:asciiTheme="minorHAnsi" w:hAnsiTheme="minorHAnsi"/>
        </w:rPr>
        <w:t xml:space="preserve"> by email, with specific documents, by the publication of guidance sheets or even by including them in the royal decree amending the RCF.</w:t>
      </w:r>
    </w:p>
    <w:p w:rsidR="005C6E47" w:rsidRPr="00650FF1" w:rsidP="005C6E47">
      <w:pPr>
        <w:ind w:left="1265"/>
        <w:jc w:val="both"/>
        <w:rPr>
          <w:rFonts w:asciiTheme="minorHAnsi" w:hAnsiTheme="minorHAnsi" w:cstheme="minorHAnsi"/>
          <w:lang w:val="es-ES_tradnl"/>
        </w:rPr>
      </w:pPr>
    </w:p>
    <w:p w:rsidR="005C6E47" w:rsidRPr="00650FF1" w:rsidP="005C6E47">
      <w:pPr>
        <w:pStyle w:val="PUNTOS"/>
        <w:rPr>
          <w:b/>
        </w:rPr>
      </w:pPr>
      <w:r w:rsidRPr="00650FF1">
        <w:rPr>
          <w:b/>
        </w:rPr>
        <w:t>Updating the ASFA system</w:t>
      </w:r>
    </w:p>
    <w:p w:rsidR="005C6E47" w:rsidRPr="00650FF1" w:rsidP="005C6E47">
      <w:pPr>
        <w:pStyle w:val="StandardText"/>
        <w:spacing w:after="120" w:line="240" w:lineRule="auto"/>
        <w:ind w:left="905"/>
        <w:rPr>
          <w:rFonts w:ascii="Calibri" w:hAnsi="Calibri"/>
        </w:rPr>
      </w:pPr>
      <w:r w:rsidRPr="00650FF1">
        <w:rPr>
          <w:rFonts w:ascii="Calibri" w:hAnsi="Calibri"/>
        </w:rPr>
        <w:t xml:space="preserve">The national sector is in the process of updating the ASFA driver assistance system, which </w:t>
      </w:r>
      <w:r w:rsidRPr="00650FF1">
        <w:rPr>
          <w:rFonts w:ascii="Calibri" w:hAnsi="Calibri"/>
        </w:rPr>
        <w:t>has largely been introduced</w:t>
      </w:r>
      <w:r w:rsidRPr="00650FF1">
        <w:rPr>
          <w:rFonts w:ascii="Calibri" w:hAnsi="Calibri"/>
        </w:rPr>
        <w:t xml:space="preserve"> on the national network. The aim is to eliminate its older versions (‘ASFA analogue’</w:t>
      </w:r>
      <w:r w:rsidRPr="00650FF1">
        <w:rPr>
          <w:rFonts w:ascii="Calibri" w:hAnsi="Calibri"/>
        </w:rPr>
        <w:t>) completely</w:t>
      </w:r>
      <w:r w:rsidRPr="00650FF1">
        <w:rPr>
          <w:rFonts w:ascii="Calibri" w:hAnsi="Calibri"/>
        </w:rPr>
        <w:t xml:space="preserve"> and replace them with ‘ASFA digital’, with improved safety features.</w:t>
      </w:r>
    </w:p>
    <w:p w:rsidR="005C6E47" w:rsidRPr="00650FF1" w:rsidP="005C6E47">
      <w:pPr>
        <w:pStyle w:val="StandardText"/>
        <w:spacing w:after="120" w:line="240" w:lineRule="auto"/>
        <w:ind w:left="905"/>
        <w:rPr>
          <w:rFonts w:ascii="Calibri" w:hAnsi="Calibri"/>
        </w:rPr>
      </w:pPr>
      <w:r w:rsidRPr="00650FF1">
        <w:rPr>
          <w:rFonts w:ascii="Calibri" w:hAnsi="Calibri"/>
        </w:rPr>
        <w:t>In 2017, the AESF worked with the sector principally on monitoring the plans to eliminate ASFA analogue from the equipment concerned, processing the relevant vehicle modification files.</w:t>
      </w:r>
    </w:p>
    <w:p w:rsidR="005C6E47" w:rsidRPr="00650FF1" w:rsidP="005C6E47">
      <w:pPr>
        <w:pStyle w:val="StandardText"/>
        <w:spacing w:after="120" w:line="240" w:lineRule="auto"/>
        <w:ind w:left="905"/>
        <w:rPr>
          <w:rFonts w:ascii="Calibri" w:hAnsi="Calibri"/>
          <w:lang w:val="es-ES_tradnl"/>
        </w:rPr>
      </w:pPr>
    </w:p>
    <w:p w:rsidR="005C6E47" w:rsidRPr="00650FF1" w:rsidP="005C6E47">
      <w:pPr>
        <w:pStyle w:val="PUNTOS"/>
        <w:rPr>
          <w:b/>
        </w:rPr>
      </w:pPr>
      <w:r w:rsidRPr="00650FF1">
        <w:rPr>
          <w:b/>
        </w:rPr>
        <w:t>Improving the network’s safety equipment, eliminating telephonic blocks</w:t>
      </w:r>
    </w:p>
    <w:p w:rsidR="005C6E47" w:rsidRPr="00650FF1" w:rsidP="005C6E47">
      <w:pPr>
        <w:pStyle w:val="StandardText"/>
        <w:spacing w:after="120" w:line="240" w:lineRule="auto"/>
        <w:ind w:left="905"/>
        <w:rPr>
          <w:rFonts w:ascii="Calibri" w:hAnsi="Calibri"/>
        </w:rPr>
      </w:pPr>
      <w:r w:rsidRPr="00650FF1">
        <w:rPr>
          <w:rFonts w:ascii="Calibri" w:hAnsi="Calibri"/>
        </w:rPr>
        <w:t>With a view to progressively minimising the risks resulting from the human factor in driving processes, it was deemed advisable to work on eliminating telephonic blocks from those lines on which there is still no other kind of blocking and providing equipment with regard to train protection systems.</w:t>
      </w:r>
    </w:p>
    <w:p w:rsidR="005C6E47" w:rsidRPr="00650FF1" w:rsidP="005C6E47">
      <w:pPr>
        <w:pStyle w:val="StandardText"/>
        <w:spacing w:after="120" w:line="240" w:lineRule="auto"/>
        <w:ind w:left="905"/>
        <w:rPr>
          <w:rFonts w:ascii="Calibri" w:hAnsi="Calibri"/>
        </w:rPr>
      </w:pPr>
      <w:r w:rsidRPr="00650FF1">
        <w:rPr>
          <w:rFonts w:ascii="Calibri" w:hAnsi="Calibri"/>
        </w:rPr>
        <w:t>In 2017, the AESF processed legislative amendments</w:t>
      </w:r>
      <w:r>
        <w:rPr>
          <w:rFonts w:ascii="Calibri" w:hAnsi="Calibri"/>
          <w:vertAlign w:val="superscript"/>
          <w:lang w:val="es-ES_tradnl"/>
        </w:rPr>
        <w:footnoteReference w:id="7"/>
      </w:r>
      <w:r w:rsidRPr="00650FF1">
        <w:rPr>
          <w:rFonts w:ascii="Calibri" w:hAnsi="Calibri"/>
        </w:rPr>
        <w:t xml:space="preserve"> establishing the obligation for infrastructure managers to have a medium-term strategy for improving safety equipment.</w:t>
      </w:r>
    </w:p>
    <w:p w:rsidR="005C6E47" w:rsidRPr="00650FF1" w:rsidP="005C6E47">
      <w:pPr>
        <w:pStyle w:val="StandardText"/>
        <w:spacing w:after="120" w:line="240" w:lineRule="auto"/>
        <w:ind w:left="905"/>
        <w:rPr>
          <w:rFonts w:ascii="Calibri" w:hAnsi="Calibri"/>
          <w:lang w:val="es-ES_tradnl"/>
        </w:rPr>
      </w:pPr>
    </w:p>
    <w:p w:rsidR="005C6E47" w:rsidRPr="00650FF1" w:rsidP="005C6E47">
      <w:pPr>
        <w:pStyle w:val="PUNTOS"/>
        <w:rPr>
          <w:b/>
        </w:rPr>
      </w:pPr>
      <w:r w:rsidRPr="00650FF1">
        <w:rPr>
          <w:b/>
        </w:rPr>
        <w:t>Improving communications on the rail network</w:t>
      </w:r>
    </w:p>
    <w:p w:rsidR="005C6E47" w:rsidRPr="00650FF1" w:rsidP="005C6E47">
      <w:pPr>
        <w:pStyle w:val="StandardText"/>
        <w:spacing w:after="120" w:line="240" w:lineRule="auto"/>
        <w:ind w:left="905"/>
        <w:rPr>
          <w:rFonts w:ascii="Calibri" w:hAnsi="Calibri"/>
        </w:rPr>
      </w:pPr>
      <w:r w:rsidRPr="00650FF1">
        <w:rPr>
          <w:rFonts w:ascii="Calibri" w:hAnsi="Calibri"/>
        </w:rPr>
        <w:t>With a view to improving communications on the rail network on those significant sections which do not have their own means of communication (</w:t>
      </w:r>
      <w:r w:rsidRPr="00650FF1">
        <w:rPr>
          <w:rFonts w:ascii="Calibri" w:hAnsi="Calibri"/>
        </w:rPr>
        <w:t>radio telephony</w:t>
      </w:r>
      <w:r w:rsidRPr="00650FF1">
        <w:rPr>
          <w:rFonts w:ascii="Calibri" w:hAnsi="Calibri"/>
        </w:rPr>
        <w:t>, GSM-R, etc.) between the train and the operations centre, a medium-term strategy for their improvement has also been judged necessary.</w:t>
      </w:r>
    </w:p>
    <w:p w:rsidR="005C6E47" w:rsidRPr="00650FF1" w:rsidP="005C6E47">
      <w:pPr>
        <w:pStyle w:val="StandardText"/>
        <w:spacing w:after="120" w:line="240" w:lineRule="auto"/>
        <w:ind w:left="905"/>
        <w:rPr>
          <w:rFonts w:ascii="Calibri" w:hAnsi="Calibri"/>
        </w:rPr>
      </w:pPr>
      <w:r w:rsidRPr="00650FF1">
        <w:rPr>
          <w:rFonts w:ascii="Calibri" w:hAnsi="Calibri"/>
        </w:rPr>
        <w:t>In 2017, the AESF processed legislative amendments</w:t>
      </w:r>
      <w:r>
        <w:rPr>
          <w:rFonts w:ascii="Calibri" w:hAnsi="Calibri"/>
          <w:vertAlign w:val="superscript"/>
          <w:lang w:val="es-ES_tradnl"/>
        </w:rPr>
        <w:footnoteReference w:id="8"/>
      </w:r>
      <w:r w:rsidRPr="00650FF1">
        <w:rPr>
          <w:rFonts w:ascii="Calibri" w:hAnsi="Calibri"/>
        </w:rPr>
        <w:t xml:space="preserve"> establishing the obligation for infrastructure managers to have a medium-term strategy for improving communications.</w:t>
      </w:r>
    </w:p>
    <w:p w:rsidR="005C6E47" w:rsidRPr="00650FF1" w:rsidP="005C6E47">
      <w:pPr>
        <w:pStyle w:val="StandardText"/>
        <w:spacing w:after="120" w:line="240" w:lineRule="auto"/>
        <w:ind w:left="905"/>
        <w:rPr>
          <w:rFonts w:ascii="Calibri" w:hAnsi="Calibri"/>
          <w:lang w:val="es-ES_tradnl"/>
        </w:rPr>
      </w:pPr>
    </w:p>
    <w:p w:rsidR="005C6E47" w:rsidRPr="00650FF1" w:rsidP="005C6E47">
      <w:pPr>
        <w:pStyle w:val="PUNTOS"/>
        <w:rPr>
          <w:b/>
        </w:rPr>
      </w:pPr>
      <w:r w:rsidRPr="00650FF1">
        <w:rPr>
          <w:b/>
        </w:rPr>
        <w:t>Reviewing rail loading and unloading processes</w:t>
      </w:r>
    </w:p>
    <w:p w:rsidR="005C6E47" w:rsidRPr="00650FF1" w:rsidP="005C6E47">
      <w:pPr>
        <w:pStyle w:val="PUNTOS"/>
        <w:numPr>
          <w:ilvl w:val="0"/>
          <w:numId w:val="0"/>
        </w:numPr>
        <w:ind w:left="905"/>
      </w:pPr>
      <w:r w:rsidRPr="00650FF1">
        <w:t>In 2017, the AESF coordinated a working group with representatives of loading companies and railway undertakings in order to assess possible improvements in the national legal regime and in company/customer contractual relationships for operations of this kind, which have a major impact on the number of freight traffic events and incidents.</w:t>
      </w:r>
    </w:p>
    <w:p w:rsidR="005C6E47" w:rsidRPr="00650FF1" w:rsidP="005C6E47">
      <w:pPr>
        <w:pStyle w:val="PUNTOS"/>
        <w:numPr>
          <w:ilvl w:val="0"/>
          <w:numId w:val="0"/>
        </w:numPr>
        <w:ind w:left="905"/>
      </w:pPr>
    </w:p>
    <w:p w:rsidR="005C6E47" w:rsidRPr="00637CB5" w:rsidP="00637CB5">
      <w:pPr>
        <w:pStyle w:val="Subtitulo1"/>
        <w:keepNext/>
        <w:numPr>
          <w:ilvl w:val="0"/>
          <w:numId w:val="18"/>
        </w:numPr>
        <w:rPr>
          <w:lang w:val="es-ES_tradnl"/>
        </w:rPr>
      </w:pPr>
      <w:r w:rsidRPr="00637CB5">
        <w:rPr>
          <w:lang w:val="es-ES_tradnl"/>
        </w:rPr>
        <w:t>Specific plans relating to particular accidents and incidents</w:t>
      </w:r>
    </w:p>
    <w:p w:rsidR="005C6E47" w:rsidRPr="00650FF1" w:rsidP="005C6E47">
      <w:pPr>
        <w:pStyle w:val="StandardText"/>
        <w:spacing w:after="120" w:line="240" w:lineRule="auto"/>
        <w:ind w:left="185"/>
        <w:rPr>
          <w:rFonts w:ascii="Calibri" w:hAnsi="Calibri"/>
        </w:rPr>
      </w:pPr>
      <w:r w:rsidRPr="00650FF1">
        <w:rPr>
          <w:rFonts w:ascii="Calibri" w:hAnsi="Calibri"/>
        </w:rPr>
        <w:t xml:space="preserve">In 2017, after observing certain events and trends in the accident/incident rate, the AESF began specific actions </w:t>
      </w:r>
      <w:r w:rsidRPr="00650FF1">
        <w:rPr>
          <w:rFonts w:ascii="Calibri" w:hAnsi="Calibri"/>
        </w:rPr>
        <w:t>with regard to</w:t>
      </w:r>
      <w:r w:rsidRPr="00650FF1">
        <w:rPr>
          <w:rFonts w:ascii="Calibri" w:hAnsi="Calibri"/>
        </w:rPr>
        <w:t>:</w:t>
      </w:r>
    </w:p>
    <w:p w:rsidR="005C6E47" w:rsidRPr="00650FF1" w:rsidP="005C6E47">
      <w:pPr>
        <w:pStyle w:val="PUNTOS"/>
        <w:numPr>
          <w:ilvl w:val="0"/>
          <w:numId w:val="0"/>
        </w:numPr>
        <w:ind w:left="905"/>
      </w:pPr>
    </w:p>
    <w:p w:rsidR="005C6E47" w:rsidRPr="00650FF1" w:rsidP="005C6E47">
      <w:pPr>
        <w:pStyle w:val="PUNTOS"/>
        <w:rPr>
          <w:b/>
        </w:rPr>
      </w:pPr>
      <w:r w:rsidRPr="00650FF1">
        <w:rPr>
          <w:b/>
        </w:rPr>
        <w:t>Protection of track crossings between platforms at stations and unmanned stations</w:t>
      </w:r>
    </w:p>
    <w:p w:rsidR="005C6E47" w:rsidRPr="00650FF1" w:rsidP="005C6E47">
      <w:pPr>
        <w:pStyle w:val="PUNTOS"/>
        <w:numPr>
          <w:ilvl w:val="0"/>
          <w:numId w:val="0"/>
        </w:numPr>
        <w:ind w:left="905"/>
      </w:pPr>
      <w:r w:rsidRPr="00650FF1">
        <w:t>The AESF has deemed it advisable to work on improving the safety of elements of this kind, which, up to now, where not specifically regulated.</w:t>
      </w:r>
    </w:p>
    <w:p w:rsidR="005C6E47" w:rsidRPr="00650FF1" w:rsidP="005C6E47">
      <w:pPr>
        <w:pStyle w:val="PUNTOS"/>
        <w:numPr>
          <w:ilvl w:val="0"/>
          <w:numId w:val="0"/>
        </w:numPr>
        <w:ind w:left="905"/>
      </w:pPr>
      <w:r w:rsidRPr="00650FF1">
        <w:t>To that end, it has begun actions of various kinds:</w:t>
      </w:r>
    </w:p>
    <w:p w:rsidR="005C6E47" w:rsidRPr="00650FF1" w:rsidP="005C6E47">
      <w:pPr>
        <w:pStyle w:val="PUNTOS"/>
        <w:numPr>
          <w:ilvl w:val="0"/>
          <w:numId w:val="32"/>
        </w:numPr>
      </w:pPr>
      <w:r w:rsidRPr="00650FF1">
        <w:t>Issuing a technical recommendation establishing possible safety and protection measures for such crossings, as well as criteria for deciding on the equipment required.</w:t>
      </w:r>
    </w:p>
    <w:p w:rsidR="005C6E47" w:rsidRPr="00650FF1" w:rsidP="005C6E47">
      <w:pPr>
        <w:pStyle w:val="PUNTOS"/>
        <w:numPr>
          <w:ilvl w:val="0"/>
          <w:numId w:val="32"/>
        </w:numPr>
      </w:pPr>
      <w:r w:rsidRPr="00650FF1">
        <w:t>Commissioning an inventory of existing level crossings on the national network in order to assess their level of risk.</w:t>
      </w:r>
    </w:p>
    <w:p w:rsidR="005C6E47" w:rsidRPr="00650FF1" w:rsidP="005C6E47">
      <w:pPr>
        <w:pStyle w:val="PUNTOS"/>
        <w:numPr>
          <w:ilvl w:val="0"/>
          <w:numId w:val="32"/>
        </w:numPr>
      </w:pPr>
      <w:r w:rsidRPr="00650FF1">
        <w:t xml:space="preserve">Starting on the drafting of specific legal rules for crossings between platforms, which </w:t>
      </w:r>
      <w:r w:rsidRPr="00650FF1">
        <w:t>would be incorporated</w:t>
      </w:r>
      <w:r w:rsidRPr="00650FF1">
        <w:t xml:space="preserve"> into the legislation.</w:t>
      </w:r>
    </w:p>
    <w:p w:rsidR="005C6E47" w:rsidRPr="00650FF1" w:rsidP="005C6E47">
      <w:pPr>
        <w:pStyle w:val="PUNTOS"/>
        <w:numPr>
          <w:ilvl w:val="0"/>
          <w:numId w:val="0"/>
        </w:numPr>
        <w:ind w:left="905"/>
      </w:pPr>
      <w:r w:rsidRPr="00650FF1">
        <w:t>As a result</w:t>
      </w:r>
      <w:r w:rsidRPr="00650FF1">
        <w:t xml:space="preserve"> of these actions, </w:t>
      </w:r>
      <w:r w:rsidRPr="00650FF1">
        <w:t>Adif</w:t>
      </w:r>
      <w:r w:rsidRPr="00650FF1">
        <w:t xml:space="preserve"> has set in motion a specific programme for protecting crossings between platforms.</w:t>
      </w:r>
    </w:p>
    <w:p w:rsidR="005C6E47" w:rsidRPr="00650FF1" w:rsidP="005C6E47">
      <w:pPr>
        <w:pStyle w:val="PUNTOS"/>
        <w:numPr>
          <w:ilvl w:val="0"/>
          <w:numId w:val="0"/>
        </w:numPr>
        <w:ind w:left="905"/>
      </w:pPr>
    </w:p>
    <w:p w:rsidR="005C6E47" w:rsidRPr="00650FF1" w:rsidP="005C6E47">
      <w:pPr>
        <w:pStyle w:val="PUNTOS"/>
        <w:rPr>
          <w:b/>
        </w:rPr>
      </w:pPr>
      <w:r w:rsidRPr="00650FF1">
        <w:rPr>
          <w:b/>
        </w:rPr>
        <w:t>Improving the protection of type A level crossings</w:t>
      </w:r>
      <w:r>
        <w:rPr>
          <w:b/>
          <w:vertAlign w:val="superscript"/>
        </w:rPr>
        <w:footnoteReference w:id="9"/>
      </w:r>
    </w:p>
    <w:p w:rsidR="005C6E47" w:rsidRPr="00650FF1" w:rsidP="005C6E47">
      <w:pPr>
        <w:pStyle w:val="PUNTOS"/>
        <w:numPr>
          <w:ilvl w:val="0"/>
          <w:numId w:val="0"/>
        </w:numPr>
        <w:ind w:left="905"/>
      </w:pPr>
      <w:r w:rsidRPr="00650FF1">
        <w:t>As can be seen in section E of this report, in 2017 there was an increase in the number of accidents at level crossings, above all at crossings in rural areas on lines with low traffic levels and without active protection.</w:t>
      </w:r>
    </w:p>
    <w:p w:rsidR="005C6E47" w:rsidRPr="00650FF1" w:rsidP="005C6E47">
      <w:pPr>
        <w:pStyle w:val="PUNTOS"/>
        <w:numPr>
          <w:ilvl w:val="0"/>
          <w:numId w:val="0"/>
        </w:numPr>
        <w:ind w:left="905"/>
      </w:pPr>
      <w:r w:rsidRPr="00650FF1">
        <w:t xml:space="preserve">For that reason, and given the need to give new impetus to the policies of protecting and removing level </w:t>
      </w:r>
      <w:r w:rsidRPr="00650FF1">
        <w:t>crossings which</w:t>
      </w:r>
      <w:r w:rsidRPr="00650FF1">
        <w:t xml:space="preserve"> have produced such good results in reducing the accident rate in recent years, the AESF has begun other actions:</w:t>
      </w:r>
    </w:p>
    <w:p w:rsidR="005C6E47" w:rsidRPr="00650FF1" w:rsidP="005C6E47">
      <w:pPr>
        <w:pStyle w:val="PUNTOS"/>
        <w:numPr>
          <w:ilvl w:val="0"/>
          <w:numId w:val="33"/>
        </w:numPr>
      </w:pPr>
      <w:r w:rsidRPr="00650FF1">
        <w:t xml:space="preserve">Commissioning an inventory of type </w:t>
      </w:r>
      <w:r w:rsidRPr="00650FF1">
        <w:t>A</w:t>
      </w:r>
      <w:r w:rsidRPr="00650FF1">
        <w:t xml:space="preserve"> level crossings on the network.</w:t>
      </w:r>
    </w:p>
    <w:p w:rsidR="005C6E47" w:rsidRPr="00650FF1" w:rsidP="005C6E47">
      <w:pPr>
        <w:pStyle w:val="PUNTOS"/>
        <w:numPr>
          <w:ilvl w:val="0"/>
          <w:numId w:val="33"/>
        </w:numPr>
      </w:pPr>
      <w:r w:rsidRPr="00650FF1">
        <w:t>Beginning a review of the current legal rules regarding the protection and removal of level crossings, with a view to updating and incorporating new requirements in the future.</w:t>
      </w:r>
    </w:p>
    <w:p w:rsidR="005C6E47" w:rsidRPr="00650FF1" w:rsidP="005C6E47">
      <w:pPr>
        <w:pStyle w:val="PUNTOS"/>
        <w:numPr>
          <w:ilvl w:val="0"/>
          <w:numId w:val="0"/>
        </w:numPr>
        <w:ind w:left="905"/>
      </w:pPr>
      <w:r w:rsidRPr="00650FF1">
        <w:t xml:space="preserve">For its part, </w:t>
      </w:r>
      <w:r w:rsidRPr="00650FF1">
        <w:t>Adif</w:t>
      </w:r>
      <w:r w:rsidRPr="00650FF1">
        <w:t xml:space="preserve"> is continuing with its programmes for the removal and protection of level crossings.</w:t>
      </w:r>
    </w:p>
    <w:p w:rsidR="005C6E47" w:rsidRPr="00650FF1" w:rsidP="005C6E47">
      <w:pPr>
        <w:pStyle w:val="PUNTOS"/>
        <w:numPr>
          <w:ilvl w:val="0"/>
          <w:numId w:val="0"/>
        </w:numPr>
        <w:ind w:left="905"/>
      </w:pPr>
    </w:p>
    <w:p w:rsidR="005C6E47" w:rsidRPr="00650FF1" w:rsidP="005C6E47">
      <w:pPr>
        <w:pStyle w:val="PUNTOS"/>
        <w:rPr>
          <w:b/>
        </w:rPr>
      </w:pPr>
      <w:r w:rsidRPr="00650FF1">
        <w:rPr>
          <w:b/>
        </w:rPr>
        <w:t>Collisions with buffer stops</w:t>
      </w:r>
    </w:p>
    <w:p w:rsidR="005C6E47" w:rsidRPr="00650FF1" w:rsidP="005C6E47">
      <w:pPr>
        <w:pStyle w:val="PUNTOS"/>
        <w:numPr>
          <w:ilvl w:val="0"/>
          <w:numId w:val="0"/>
        </w:numPr>
        <w:ind w:left="905"/>
      </w:pPr>
      <w:r w:rsidRPr="00650FF1">
        <w:t xml:space="preserve">In 2017, two accidents occurred with similar characteristics (pending the </w:t>
      </w:r>
      <w:r w:rsidRPr="00650FF1">
        <w:t>final outcome</w:t>
      </w:r>
      <w:r w:rsidRPr="00650FF1">
        <w:t xml:space="preserve"> of the investigation report), involving the collision of suburban (</w:t>
      </w:r>
      <w:r w:rsidRPr="00650FF1">
        <w:t>Cercanías</w:t>
      </w:r>
      <w:r w:rsidRPr="00650FF1">
        <w:t>) passenger trains with buffer stops:</w:t>
      </w:r>
    </w:p>
    <w:p w:rsidR="005C6E47" w:rsidRPr="00650FF1" w:rsidP="005C6E47">
      <w:pPr>
        <w:pStyle w:val="PUNTOS"/>
        <w:numPr>
          <w:ilvl w:val="0"/>
          <w:numId w:val="34"/>
        </w:numPr>
      </w:pPr>
      <w:r w:rsidRPr="00650FF1">
        <w:t xml:space="preserve">Collision of 28 July in Barcelona, </w:t>
      </w:r>
      <w:r w:rsidRPr="00650FF1">
        <w:t>França</w:t>
      </w:r>
      <w:r w:rsidRPr="00650FF1">
        <w:t xml:space="preserve"> Station, </w:t>
      </w:r>
      <w:r w:rsidRPr="00650FF1">
        <w:t>Rodalies</w:t>
      </w:r>
      <w:r w:rsidRPr="00650FF1">
        <w:t xml:space="preserve"> de </w:t>
      </w:r>
      <w:r w:rsidRPr="00650FF1">
        <w:t>Catalunya</w:t>
      </w:r>
      <w:r w:rsidRPr="00650FF1">
        <w:t xml:space="preserve"> train (3 people seriously injured).</w:t>
      </w:r>
    </w:p>
    <w:p w:rsidR="005C6E47" w:rsidRPr="00650FF1" w:rsidP="005C6E47">
      <w:pPr>
        <w:pStyle w:val="PUNTOS"/>
        <w:numPr>
          <w:ilvl w:val="0"/>
          <w:numId w:val="34"/>
        </w:numPr>
      </w:pPr>
      <w:r w:rsidRPr="00650FF1">
        <w:t xml:space="preserve">Collision of 22 December in </w:t>
      </w:r>
      <w:r w:rsidRPr="00650FF1">
        <w:t>Alcalá</w:t>
      </w:r>
      <w:r w:rsidRPr="00650FF1">
        <w:t xml:space="preserve"> de Henares, </w:t>
      </w:r>
      <w:r w:rsidRPr="00650FF1">
        <w:t>Cercanías</w:t>
      </w:r>
      <w:r w:rsidRPr="00650FF1">
        <w:t xml:space="preserve"> Madrid train (2 people seriously injured).</w:t>
      </w:r>
    </w:p>
    <w:p w:rsidR="005C6E47" w:rsidRPr="00650FF1" w:rsidP="005C6E47">
      <w:pPr>
        <w:pStyle w:val="PUNTOS"/>
        <w:numPr>
          <w:ilvl w:val="0"/>
          <w:numId w:val="0"/>
        </w:numPr>
        <w:ind w:left="905"/>
      </w:pPr>
      <w:r w:rsidRPr="00650FF1">
        <w:t xml:space="preserve">At the end of 2017, the AESF asked </w:t>
      </w:r>
      <w:r w:rsidRPr="00650FF1">
        <w:t>Renfe</w:t>
      </w:r>
      <w:r w:rsidRPr="00650FF1">
        <w:t xml:space="preserve"> </w:t>
      </w:r>
      <w:r w:rsidRPr="00650FF1">
        <w:t>Viajeros</w:t>
      </w:r>
      <w:r w:rsidRPr="00650FF1">
        <w:t xml:space="preserve"> and </w:t>
      </w:r>
      <w:r w:rsidRPr="00650FF1">
        <w:t>Adif</w:t>
      </w:r>
      <w:r w:rsidRPr="00650FF1">
        <w:t xml:space="preserve"> to present an action plan for events of this kind.</w:t>
      </w:r>
    </w:p>
    <w:p w:rsidR="005C6E47" w:rsidRPr="00650FF1" w:rsidP="005C6E47">
      <w:pPr>
        <w:pStyle w:val="PUNTOS"/>
        <w:numPr>
          <w:ilvl w:val="0"/>
          <w:numId w:val="0"/>
        </w:numPr>
        <w:ind w:left="1265"/>
      </w:pPr>
    </w:p>
    <w:p w:rsidR="005C6E47" w:rsidRPr="00650FF1" w:rsidP="005C6E47">
      <w:pPr>
        <w:pStyle w:val="PUNTOS"/>
        <w:rPr>
          <w:b/>
        </w:rPr>
      </w:pPr>
      <w:r w:rsidRPr="00650FF1">
        <w:rPr>
          <w:b/>
        </w:rPr>
        <w:t>Signal overruns</w:t>
      </w:r>
    </w:p>
    <w:p w:rsidR="005C6E47" w:rsidRPr="00650FF1" w:rsidP="005C6E47">
      <w:pPr>
        <w:pStyle w:val="PUNTOS"/>
        <w:numPr>
          <w:ilvl w:val="0"/>
          <w:numId w:val="0"/>
        </w:numPr>
        <w:ind w:left="905"/>
      </w:pPr>
      <w:r w:rsidRPr="00650FF1">
        <w:t>Examining the analysis of the occurrence of signal overruns over time reveals an increase in the number of events of this kind.</w:t>
      </w:r>
    </w:p>
    <w:p w:rsidR="005C6E47" w:rsidRPr="00650FF1" w:rsidP="005C6E47">
      <w:pPr>
        <w:pStyle w:val="PUNTOS"/>
        <w:numPr>
          <w:ilvl w:val="0"/>
          <w:numId w:val="0"/>
        </w:numPr>
        <w:ind w:left="905"/>
      </w:pPr>
      <w:r w:rsidRPr="00650FF1">
        <w:t>In view of that fact, the AESF has begun medium-term actions of various kinds:</w:t>
      </w:r>
    </w:p>
    <w:p w:rsidR="005C6E47" w:rsidRPr="00650FF1" w:rsidP="005C6E47">
      <w:pPr>
        <w:pStyle w:val="PUNTOS"/>
        <w:numPr>
          <w:ilvl w:val="0"/>
          <w:numId w:val="35"/>
        </w:numPr>
      </w:pPr>
      <w:r w:rsidRPr="00650FF1">
        <w:t>Requesting specific action plans from the companies with the highest numbers of overruns.</w:t>
      </w:r>
    </w:p>
    <w:p w:rsidR="005C6E47" w:rsidRPr="00650FF1" w:rsidP="005C6E47">
      <w:pPr>
        <w:pStyle w:val="PUNTOS"/>
        <w:numPr>
          <w:ilvl w:val="0"/>
          <w:numId w:val="35"/>
        </w:numPr>
      </w:pPr>
      <w:r w:rsidRPr="00650FF1">
        <w:t>Requesting information from the sector regarding signals with low visibility.</w:t>
      </w:r>
    </w:p>
    <w:p w:rsidR="005C6E47" w:rsidRPr="00650FF1" w:rsidP="005C6E47">
      <w:pPr>
        <w:pStyle w:val="PUNTOS"/>
        <w:numPr>
          <w:ilvl w:val="0"/>
          <w:numId w:val="35"/>
        </w:numPr>
      </w:pPr>
      <w:r w:rsidRPr="00650FF1">
        <w:t>At the end of 2017, information was requested from the sector regarding the different signal overrun events, with the intention of beginning a more detailed study of the possible causes of this increase, taking into account the characteristics of the infrastructure (looking for black spots with repeated overruns) or the human factor (staff repeatedly involved, patterns of staff profiles more prone to overruns, etc.).</w:t>
      </w:r>
    </w:p>
    <w:p w:rsidR="005C6E47" w:rsidRPr="00650FF1" w:rsidP="005C6E47">
      <w:pPr>
        <w:pStyle w:val="PUNTOS"/>
        <w:numPr>
          <w:ilvl w:val="0"/>
          <w:numId w:val="0"/>
        </w:numPr>
        <w:ind w:left="905"/>
      </w:pPr>
      <w:r w:rsidRPr="00650FF1">
        <w:t>For their part, the railway undertakings most affected (</w:t>
      </w:r>
      <w:r w:rsidRPr="00650FF1">
        <w:t>Renfe</w:t>
      </w:r>
      <w:r w:rsidRPr="00650FF1">
        <w:t>, in particular) have begun analysis and specific programmes, with actions of various kinds in an attempt to reverse this negative trend.</w:t>
      </w:r>
    </w:p>
    <w:p w:rsidR="005C6E47" w:rsidRPr="00650FF1" w:rsidP="005C6E47">
      <w:pPr>
        <w:pStyle w:val="PUNTOS"/>
        <w:rPr>
          <w:b/>
        </w:rPr>
      </w:pPr>
      <w:r w:rsidRPr="00650FF1">
        <w:rPr>
          <w:b/>
        </w:rPr>
        <w:t>Broken rails</w:t>
      </w:r>
    </w:p>
    <w:p w:rsidR="005C6E47" w:rsidRPr="00650FF1" w:rsidP="005C6E47">
      <w:pPr>
        <w:pStyle w:val="PUNTOS"/>
        <w:numPr>
          <w:ilvl w:val="0"/>
          <w:numId w:val="0"/>
        </w:numPr>
        <w:ind w:left="905"/>
      </w:pPr>
      <w:r w:rsidRPr="00650FF1">
        <w:t>Examining the analysis of the occurrence of broken rails over time reveals that, after reaching an all-time low in 2015, the number of events of this kind increased in 2016 and 2017.</w:t>
      </w:r>
    </w:p>
    <w:p w:rsidR="005C6E47" w:rsidRPr="00650FF1" w:rsidP="005C6E47">
      <w:pPr>
        <w:pStyle w:val="PUNTOS"/>
        <w:numPr>
          <w:ilvl w:val="0"/>
          <w:numId w:val="0"/>
        </w:numPr>
        <w:ind w:left="905"/>
      </w:pPr>
      <w:r w:rsidRPr="00650FF1">
        <w:t>In view of that fact, the AESF has begun actions of various kinds, notably requesting specific action plans from the infrastructure manager and carrying out partial audits of maintenance procedures.</w:t>
      </w:r>
    </w:p>
    <w:p w:rsidR="005C6E47" w:rsidRPr="00650FF1" w:rsidP="005C6E47">
      <w:pPr>
        <w:pStyle w:val="PUNTOS"/>
        <w:numPr>
          <w:ilvl w:val="0"/>
          <w:numId w:val="0"/>
        </w:numPr>
        <w:ind w:left="905"/>
      </w:pPr>
    </w:p>
    <w:p w:rsidR="005C6E47" w:rsidRPr="00650FF1" w:rsidP="005C6E47">
      <w:r w:rsidRPr="00650FF1">
        <w:br w:type="page"/>
      </w:r>
    </w:p>
    <w:p w:rsidR="005C6E47" w:rsidRPr="00650FF1" w:rsidP="005C6E47">
      <w:pPr>
        <w:pStyle w:val="PUNTOS"/>
        <w:numPr>
          <w:ilvl w:val="0"/>
          <w:numId w:val="0"/>
        </w:numPr>
        <w:ind w:left="905" w:hanging="360"/>
        <w:sectPr w:rsidSect="00EB2A0B">
          <w:pgSz w:w="11906" w:h="16838"/>
          <w:pgMar w:top="1418" w:right="992" w:bottom="1418" w:left="1134" w:header="709" w:footer="6" w:gutter="0"/>
          <w:cols w:space="708"/>
          <w:titlePg/>
          <w:docGrid w:linePitch="360"/>
        </w:sectPr>
      </w:pPr>
    </w:p>
    <w:tbl>
      <w:tblPr>
        <w:tblW w:w="9781" w:type="dxa"/>
        <w:tblInd w:w="-34" w:type="dxa"/>
        <w:tblLook w:val="04A0"/>
      </w:tblPr>
      <w:tblGrid>
        <w:gridCol w:w="4517"/>
        <w:gridCol w:w="5264"/>
      </w:tblGrid>
      <w:tr w:rsidTr="002F2972">
        <w:tblPrEx>
          <w:tblW w:w="9781" w:type="dxa"/>
          <w:tblInd w:w="-34" w:type="dxa"/>
          <w:tblLook w:val="04A0"/>
        </w:tblPrEx>
        <w:trPr>
          <w:trHeight w:val="1692"/>
        </w:trPr>
        <w:tc>
          <w:tcPr>
            <w:tcW w:w="9781" w:type="dxa"/>
            <w:gridSpan w:val="2"/>
            <w:shd w:val="clear" w:color="auto" w:fill="auto"/>
          </w:tcPr>
          <w:p w:rsidR="005C6E47" w:rsidRPr="00650FF1" w:rsidP="002F2972">
            <w:pPr>
              <w:ind w:left="720"/>
              <w:jc w:val="center"/>
              <w:rPr>
                <w:rFonts w:ascii="Calibri" w:hAnsi="Calibri"/>
                <w:snapToGrid/>
              </w:rPr>
            </w:pPr>
            <w:r w:rsidRPr="00650FF1">
              <w:rPr>
                <w:rFonts w:ascii="Calibri" w:hAnsi="Calibri"/>
                <w:noProof/>
                <w:snapToGrid/>
                <w:lang w:val="fr-FR" w:eastAsia="fr-FR"/>
              </w:rPr>
              <w:drawing>
                <wp:anchor distT="0" distB="0" distL="114300" distR="114300" simplePos="0" relativeHeight="251662336" behindDoc="1" locked="0" layoutInCell="1" allowOverlap="1">
                  <wp:simplePos x="0" y="0"/>
                  <wp:positionH relativeFrom="column">
                    <wp:posOffset>168275</wp:posOffset>
                  </wp:positionH>
                  <wp:positionV relativeFrom="paragraph">
                    <wp:posOffset>999812</wp:posOffset>
                  </wp:positionV>
                  <wp:extent cx="6054090" cy="2590800"/>
                  <wp:effectExtent l="0" t="0" r="381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28747"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tc>
      </w:tr>
      <w:tr w:rsidTr="002F2972">
        <w:tblPrEx>
          <w:tblW w:w="9781" w:type="dxa"/>
          <w:tblInd w:w="-34" w:type="dxa"/>
          <w:tblLook w:val="04A0"/>
        </w:tblPrEx>
        <w:trPr>
          <w:trHeight w:val="3966"/>
        </w:trPr>
        <w:tc>
          <w:tcPr>
            <w:tcW w:w="4517" w:type="dxa"/>
            <w:shd w:val="clear" w:color="auto" w:fill="auto"/>
          </w:tcPr>
          <w:p w:rsidR="005C6E47" w:rsidRPr="00650FF1" w:rsidP="002F2972">
            <w:pPr>
              <w:pStyle w:val="StandardText"/>
              <w:spacing w:before="240" w:after="120" w:line="240" w:lineRule="auto"/>
              <w:rPr>
                <w:rFonts w:ascii="Calibri" w:hAnsi="Calibri"/>
                <w:noProof/>
                <w:snapToGrid/>
                <w:lang w:val="es-ES_tradnl" w:eastAsia="en-US"/>
              </w:rPr>
            </w:pPr>
          </w:p>
        </w:tc>
        <w:tc>
          <w:tcPr>
            <w:tcW w:w="5264" w:type="dxa"/>
            <w:shd w:val="clear" w:color="auto" w:fill="auto"/>
            <w:vAlign w:val="center"/>
          </w:tcPr>
          <w:p w:rsidR="005C6E47" w:rsidRPr="00650FF1" w:rsidP="002F2972">
            <w:pPr>
              <w:pStyle w:val="Title"/>
            </w:pPr>
            <w:bookmarkStart w:id="4" w:name="_Toc532285979"/>
            <w:r w:rsidRPr="00650FF1">
              <w:t>Safety</w:t>
            </w:r>
            <w:bookmarkEnd w:id="4"/>
          </w:p>
        </w:tc>
      </w:tr>
    </w:tbl>
    <w:p w:rsidR="005C6E47" w:rsidRPr="00650FF1" w:rsidP="005C6E47">
      <w:pPr>
        <w:pStyle w:val="StandardText"/>
        <w:spacing w:after="120" w:line="240" w:lineRule="auto"/>
        <w:rPr>
          <w:rFonts w:ascii="Calibri" w:hAnsi="Calibri"/>
          <w:lang w:val="es-ES_tradnl"/>
        </w:rPr>
      </w:pPr>
    </w:p>
    <w:p w:rsidR="005C6E47" w:rsidRPr="00650FF1" w:rsidP="005C6E47">
      <w:pPr>
        <w:pStyle w:val="StandardText"/>
        <w:spacing w:after="120" w:line="240" w:lineRule="auto"/>
        <w:rPr>
          <w:rFonts w:ascii="Calibri" w:hAnsi="Calibri"/>
          <w:lang w:val="es-ES_tradnl"/>
        </w:rPr>
      </w:pPr>
    </w:p>
    <w:p w:rsidR="005C6E47" w:rsidRPr="00650FF1" w:rsidP="005C6E47">
      <w:pPr>
        <w:pStyle w:val="StandardText"/>
        <w:spacing w:after="120" w:line="240" w:lineRule="auto"/>
        <w:rPr>
          <w:rFonts w:ascii="Calibri" w:hAnsi="Calibri"/>
        </w:rPr>
      </w:pPr>
      <w:r w:rsidRPr="00650FF1">
        <w:rPr>
          <w:rFonts w:ascii="Calibri" w:hAnsi="Calibri"/>
        </w:rPr>
        <w:t xml:space="preserve">This report includes statistics on the significant accidents that took place on the Public Railway Network managed by the infrastructure managers </w:t>
      </w:r>
      <w:r w:rsidRPr="00650FF1">
        <w:rPr>
          <w:rFonts w:ascii="Calibri" w:hAnsi="Calibri"/>
        </w:rPr>
        <w:t>Adif</w:t>
      </w:r>
      <w:r w:rsidRPr="00650FF1">
        <w:rPr>
          <w:rFonts w:ascii="Calibri" w:hAnsi="Calibri"/>
        </w:rPr>
        <w:t xml:space="preserve"> and </w:t>
      </w:r>
      <w:r w:rsidRPr="00650FF1">
        <w:rPr>
          <w:rFonts w:ascii="Calibri" w:hAnsi="Calibri"/>
        </w:rPr>
        <w:t>Adif</w:t>
      </w:r>
      <w:r w:rsidRPr="00650FF1">
        <w:rPr>
          <w:rFonts w:ascii="Calibri" w:hAnsi="Calibri"/>
        </w:rPr>
        <w:t xml:space="preserve"> Alta </w:t>
      </w:r>
      <w:r w:rsidRPr="00650FF1">
        <w:rPr>
          <w:rFonts w:ascii="Calibri" w:hAnsi="Calibri"/>
        </w:rPr>
        <w:t>Velocidad</w:t>
      </w:r>
      <w:r w:rsidRPr="00650FF1">
        <w:rPr>
          <w:rFonts w:ascii="Calibri" w:hAnsi="Calibri"/>
        </w:rPr>
        <w:t xml:space="preserve"> in 2017, since no accidents or precursors to accidents occurred on the network managed by LFP </w:t>
      </w:r>
      <w:r w:rsidRPr="00650FF1">
        <w:rPr>
          <w:rFonts w:ascii="Calibri" w:hAnsi="Calibri"/>
        </w:rPr>
        <w:t>Perthus</w:t>
      </w:r>
      <w:r w:rsidRPr="00650FF1">
        <w:rPr>
          <w:rFonts w:ascii="Calibri" w:hAnsi="Calibri"/>
        </w:rPr>
        <w:t>.</w:t>
      </w:r>
    </w:p>
    <w:p w:rsidR="005C6E47" w:rsidRPr="00650FF1" w:rsidP="005C6E47">
      <w:pPr>
        <w:pStyle w:val="StandardText"/>
        <w:spacing w:after="120" w:line="240" w:lineRule="auto"/>
        <w:rPr>
          <w:rFonts w:ascii="Calibri" w:hAnsi="Calibri"/>
        </w:rPr>
      </w:pPr>
      <w:r w:rsidRPr="00650FF1">
        <w:rPr>
          <w:rFonts w:ascii="Calibri" w:hAnsi="Calibri"/>
        </w:rPr>
        <w:t xml:space="preserve">The charts below show two different geographic scopes of application: one for the RFIG managed by </w:t>
      </w:r>
      <w:r w:rsidRPr="00650FF1">
        <w:rPr>
          <w:rFonts w:ascii="Calibri" w:hAnsi="Calibri"/>
        </w:rPr>
        <w:t>Adif</w:t>
      </w:r>
      <w:r w:rsidRPr="00650FF1">
        <w:rPr>
          <w:rFonts w:ascii="Calibri" w:hAnsi="Calibri"/>
        </w:rPr>
        <w:t xml:space="preserve"> and </w:t>
      </w:r>
      <w:r w:rsidRPr="00650FF1">
        <w:rPr>
          <w:rFonts w:ascii="Calibri" w:hAnsi="Calibri"/>
        </w:rPr>
        <w:t>Adif</w:t>
      </w:r>
      <w:r w:rsidRPr="00650FF1">
        <w:rPr>
          <w:rFonts w:ascii="Calibri" w:hAnsi="Calibri"/>
        </w:rPr>
        <w:t xml:space="preserve"> AV, and </w:t>
      </w:r>
      <w:r w:rsidRPr="00650FF1">
        <w:rPr>
          <w:rFonts w:ascii="Calibri" w:hAnsi="Calibri"/>
        </w:rPr>
        <w:t>one also</w:t>
      </w:r>
      <w:r w:rsidRPr="00650FF1">
        <w:rPr>
          <w:rFonts w:ascii="Calibri" w:hAnsi="Calibri"/>
        </w:rPr>
        <w:t xml:space="preserve"> including the metre-gauge network (RAM), which was managed by the defunct company FEVE.</w:t>
      </w:r>
    </w:p>
    <w:p w:rsidR="005C6E47" w:rsidRPr="00650FF1" w:rsidP="005C6E47">
      <w:pPr>
        <w:pStyle w:val="StandardText"/>
        <w:spacing w:after="120" w:line="240" w:lineRule="auto"/>
        <w:rPr>
          <w:rFonts w:ascii="Calibri" w:hAnsi="Calibri"/>
        </w:rPr>
      </w:pPr>
      <w:r w:rsidRPr="00650FF1">
        <w:rPr>
          <w:rFonts w:ascii="Calibri" w:hAnsi="Calibri"/>
        </w:rPr>
        <w:t xml:space="preserve">Until 1 January 2013, when the metre-gauge network </w:t>
      </w:r>
      <w:r w:rsidRPr="00650FF1">
        <w:rPr>
          <w:rFonts w:ascii="Calibri" w:hAnsi="Calibri"/>
        </w:rPr>
        <w:t>was integrated</w:t>
      </w:r>
      <w:r w:rsidRPr="00650FF1">
        <w:rPr>
          <w:rFonts w:ascii="Calibri" w:hAnsi="Calibri"/>
        </w:rPr>
        <w:t xml:space="preserve"> into </w:t>
      </w:r>
      <w:r w:rsidRPr="00650FF1">
        <w:rPr>
          <w:rFonts w:ascii="Calibri" w:hAnsi="Calibri"/>
        </w:rPr>
        <w:t>Adif</w:t>
      </w:r>
      <w:r w:rsidRPr="00650FF1">
        <w:rPr>
          <w:rFonts w:ascii="Calibri" w:hAnsi="Calibri"/>
        </w:rPr>
        <w:t xml:space="preserve"> with the disappearance of FEVE, the criteria for quantifying the accident rate on the RAM were not entirely comparable with those for the rest of the network. Therefore, it was deemed that the information should be separated, in some charts, into two series: a shorter series, from 2013, with information on the entire network to which Railway Safety Directive 2004/49/EC is applicable (including the RAM), and another, more extensive series, excluding the RAM, in order to provide historical continuity.</w:t>
      </w:r>
    </w:p>
    <w:p w:rsidR="005C6E47" w:rsidRPr="00650FF1" w:rsidP="005C6E47">
      <w:pPr>
        <w:pStyle w:val="StandardText"/>
        <w:spacing w:after="120" w:line="240" w:lineRule="auto"/>
        <w:rPr>
          <w:rFonts w:ascii="Calibri" w:hAnsi="Calibri"/>
        </w:rPr>
      </w:pPr>
      <w:r w:rsidRPr="00650FF1">
        <w:rPr>
          <w:rFonts w:ascii="Calibri" w:hAnsi="Calibri"/>
        </w:rPr>
        <w:t>In addition to the information included in this section, a series of charts have been prepared showing the trend for each of the common safety indicators, according to the criteria and the templates provided by the European Union Agency for Railways. The details of these statistics are included in the Annex to this report.</w:t>
      </w:r>
    </w:p>
    <w:p w:rsidR="005C6E47" w:rsidRPr="00650FF1" w:rsidP="005C6E47">
      <w:pPr>
        <w:pStyle w:val="StandardText"/>
        <w:spacing w:before="240" w:after="120" w:line="240" w:lineRule="auto"/>
        <w:rPr>
          <w:rFonts w:ascii="Calibri" w:hAnsi="Calibri"/>
        </w:rPr>
      </w:pPr>
      <w:r w:rsidRPr="00650FF1">
        <w:rPr>
          <w:rFonts w:ascii="Calibri" w:hAnsi="Calibri"/>
        </w:rPr>
        <w:t>In 2017, the number of significant accidents</w:t>
      </w:r>
      <w:r>
        <w:rPr>
          <w:rFonts w:ascii="Calibri" w:hAnsi="Calibri"/>
          <w:vertAlign w:val="superscript"/>
          <w:lang w:val="es-ES_tradnl"/>
        </w:rPr>
        <w:footnoteReference w:id="10"/>
      </w:r>
      <w:r w:rsidRPr="00650FF1">
        <w:rPr>
          <w:rFonts w:ascii="Calibri" w:hAnsi="Calibri"/>
        </w:rPr>
        <w:t xml:space="preserve"> was somewhat higher than that recorded in the immediately preceding years.</w:t>
      </w:r>
    </w:p>
    <w:p w:rsidR="005C6E47" w:rsidRPr="00650FF1" w:rsidP="005C6E47">
      <w:pPr>
        <w:pStyle w:val="StandardText"/>
        <w:spacing w:before="240" w:after="120" w:line="240" w:lineRule="auto"/>
        <w:rPr>
          <w:rFonts w:ascii="Calibri" w:hAnsi="Calibri"/>
          <w:lang w:val="es-ES_tradnl"/>
        </w:rPr>
      </w:pPr>
    </w:p>
    <w:p w:rsidR="005C6E47" w:rsidRPr="00650FF1" w:rsidP="005C6E47">
      <w:pPr>
        <w:pStyle w:val="StandardText"/>
        <w:spacing w:before="240" w:after="120" w:line="240" w:lineRule="auto"/>
        <w:jc w:val="center"/>
        <w:rPr>
          <w:rFonts w:ascii="Calibri" w:hAnsi="Calibri"/>
        </w:rPr>
      </w:pPr>
      <w:r w:rsidRPr="00650FF1">
        <w:rPr>
          <w:rFonts w:ascii="Calibri" w:hAnsi="Calibri"/>
          <w:noProof/>
          <w:lang w:val="fr-FR" w:eastAsia="fr-FR"/>
        </w:rPr>
        <w:drawing>
          <wp:inline distT="0" distB="0" distL="0" distR="0">
            <wp:extent cx="5400000" cy="3891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68672"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0000" cy="3891600"/>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1</w:t>
      </w:r>
      <w:r w:rsidRPr="00650FF1">
        <w:fldChar w:fldCharType="end"/>
      </w:r>
      <w:r w:rsidRPr="00650FF1">
        <w:t>. The number of significant accidents each year and comparison with the moving average for the last 4 years.</w:t>
      </w:r>
    </w:p>
    <w:p w:rsidR="005C6E47" w:rsidRPr="00650FF1" w:rsidP="005C6E47">
      <w:pPr>
        <w:pStyle w:val="StandardText"/>
        <w:spacing w:before="240" w:after="120" w:line="240" w:lineRule="auto"/>
        <w:rPr>
          <w:rFonts w:ascii="Calibri" w:hAnsi="Calibri"/>
          <w:color w:val="FF0000"/>
          <w:lang w:val="es-ES_tradnl"/>
        </w:rPr>
      </w:pP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Nº DE ACCIDENTES SIGNIFICATIVOS Y EVOLUCIÓN MEDIA MÓVIL</w:t>
            </w:r>
          </w:p>
        </w:tc>
        <w:tc>
          <w:tcPr>
            <w:tcW w:w="4998" w:type="dxa"/>
          </w:tcPr>
          <w:p w:rsidR="005C6E47" w:rsidRPr="00650FF1" w:rsidP="002F2972">
            <w:r w:rsidRPr="00650FF1">
              <w:t>NUMBER OF SIGNIFICANT ACCIDENTS AND ITS MOVING AVERAGE</w:t>
            </w:r>
          </w:p>
        </w:tc>
      </w:tr>
      <w:tr w:rsidTr="002F2972">
        <w:tblPrEx>
          <w:tblW w:w="9996" w:type="dxa"/>
          <w:tblLook w:val="04A0"/>
        </w:tblPrEx>
        <w:tc>
          <w:tcPr>
            <w:tcW w:w="4998" w:type="dxa"/>
          </w:tcPr>
          <w:p w:rsidR="005C6E47" w:rsidRPr="00650FF1" w:rsidP="002F2972">
            <w:r w:rsidRPr="00650FF1">
              <w:rPr>
                <w:lang w:val="es-ES_tradnl"/>
              </w:rPr>
              <w:t>Excluida red RAM</w:t>
            </w:r>
          </w:p>
        </w:tc>
        <w:tc>
          <w:tcPr>
            <w:tcW w:w="4998" w:type="dxa"/>
          </w:tcPr>
          <w:p w:rsidR="005C6E47" w:rsidRPr="00650FF1" w:rsidP="002F2972">
            <w:r w:rsidRPr="00650FF1">
              <w:t>Excluding the RAM network</w:t>
            </w:r>
          </w:p>
        </w:tc>
      </w:tr>
      <w:tr w:rsidTr="002F2972">
        <w:tblPrEx>
          <w:tblW w:w="9996" w:type="dxa"/>
          <w:tblLook w:val="04A0"/>
        </w:tblPrEx>
        <w:tc>
          <w:tcPr>
            <w:tcW w:w="4998" w:type="dxa"/>
          </w:tcPr>
          <w:p w:rsidR="005C6E47" w:rsidRPr="00650FF1" w:rsidP="002F2972">
            <w:r w:rsidRPr="00650FF1">
              <w:rPr>
                <w:lang w:val="es-ES_tradnl"/>
              </w:rPr>
              <w:t>Total red</w:t>
            </w:r>
          </w:p>
        </w:tc>
        <w:tc>
          <w:tcPr>
            <w:tcW w:w="4998" w:type="dxa"/>
          </w:tcPr>
          <w:p w:rsidR="005C6E47" w:rsidRPr="00650FF1" w:rsidP="002F2972">
            <w:r w:rsidRPr="00650FF1">
              <w:t>Total network</w:t>
            </w:r>
          </w:p>
        </w:tc>
      </w:tr>
      <w:tr w:rsidTr="002F2972">
        <w:tblPrEx>
          <w:tblW w:w="9996" w:type="dxa"/>
          <w:tblLook w:val="04A0"/>
        </w:tblPrEx>
        <w:tc>
          <w:tcPr>
            <w:tcW w:w="4998" w:type="dxa"/>
          </w:tcPr>
          <w:p w:rsidR="005C6E47" w:rsidRPr="00650FF1" w:rsidP="002F2972">
            <w:r w:rsidRPr="00650FF1">
              <w:rPr>
                <w:lang w:val="es-ES_tradnl"/>
              </w:rPr>
              <w:t>Accidentes significativos</w:t>
            </w:r>
          </w:p>
        </w:tc>
        <w:tc>
          <w:tcPr>
            <w:tcW w:w="4998" w:type="dxa"/>
          </w:tcPr>
          <w:p w:rsidR="005C6E47" w:rsidRPr="00650FF1" w:rsidP="002F2972">
            <w:r w:rsidRPr="00650FF1">
              <w:t>Significant accidents</w:t>
            </w:r>
          </w:p>
        </w:tc>
      </w:tr>
      <w:tr w:rsidTr="002F2972">
        <w:tblPrEx>
          <w:tblW w:w="9996" w:type="dxa"/>
          <w:tblLook w:val="04A0"/>
        </w:tblPrEx>
        <w:tc>
          <w:tcPr>
            <w:tcW w:w="4998" w:type="dxa"/>
          </w:tcPr>
          <w:p w:rsidR="005C6E47" w:rsidRPr="00650FF1" w:rsidP="002F2972">
            <w:r w:rsidRPr="00650FF1">
              <w:rPr>
                <w:lang w:val="es-ES_tradnl"/>
              </w:rPr>
              <w:t>Media móvil 4 años</w:t>
            </w:r>
          </w:p>
        </w:tc>
        <w:tc>
          <w:tcPr>
            <w:tcW w:w="4998" w:type="dxa"/>
          </w:tcPr>
          <w:p w:rsidR="005C6E47" w:rsidRPr="00650FF1" w:rsidP="002F2972">
            <w:r w:rsidRPr="00650FF1">
              <w:t>4-year moving average</w:t>
            </w:r>
          </w:p>
        </w:tc>
      </w:tr>
    </w:tbl>
    <w:p w:rsidR="005C6E47" w:rsidRPr="00650FF1" w:rsidP="005C6E47">
      <w:pPr>
        <w:rPr>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 xml:space="preserve">By accident type, the distribution is similar to that for other years, although, a certain rising trend </w:t>
      </w:r>
      <w:r w:rsidRPr="00650FF1">
        <w:rPr>
          <w:rFonts w:ascii="Calibri" w:hAnsi="Calibri"/>
        </w:rPr>
        <w:t>may be observed</w:t>
      </w:r>
      <w:r w:rsidRPr="00650FF1">
        <w:rPr>
          <w:rFonts w:ascii="Calibri" w:hAnsi="Calibri"/>
        </w:rPr>
        <w:t xml:space="preserve"> in the number of derailments and accidents at level crossings, with a falling trend in relation to accidents to persons.</w:t>
      </w:r>
    </w:p>
    <w:p w:rsidR="005C6E47" w:rsidRPr="00650FF1" w:rsidP="005C6E47">
      <w:pPr>
        <w:pStyle w:val="StandardText"/>
        <w:keepNext/>
        <w:spacing w:before="240" w:after="120" w:line="240" w:lineRule="auto"/>
        <w:rPr>
          <w:lang w:val="es-ES_tradnl"/>
        </w:rPr>
      </w:pPr>
    </w:p>
    <w:p w:rsidR="005C6E47" w:rsidRPr="00650FF1" w:rsidP="005C6E47">
      <w:pPr>
        <w:pStyle w:val="StandardText"/>
        <w:keepNext/>
        <w:spacing w:before="240" w:after="120" w:line="240" w:lineRule="auto"/>
      </w:pPr>
      <w:r w:rsidRPr="00650FF1">
        <w:rPr>
          <w:noProof/>
          <w:lang w:val="fr-FR" w:eastAsia="fr-FR"/>
        </w:rPr>
        <w:drawing>
          <wp:inline distT="0" distB="0" distL="0" distR="0">
            <wp:extent cx="6210300" cy="232385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97530"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2323854"/>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2</w:t>
      </w:r>
      <w:r w:rsidRPr="00650FF1">
        <w:fldChar w:fldCharType="end"/>
      </w:r>
      <w:r w:rsidRPr="00650FF1">
        <w:t>. Significant accidents by type in the period 2013-2017</w:t>
      </w:r>
    </w:p>
    <w:p w:rsidR="005C6E47" w:rsidRPr="00650FF1" w:rsidP="005C6E47">
      <w:pPr>
        <w:pStyle w:val="Caption"/>
      </w:pP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Núm</w:t>
            </w:r>
            <w:r w:rsidRPr="00650FF1">
              <w:rPr>
                <w:lang w:val="es-ES_tradnl"/>
              </w:rPr>
              <w:t xml:space="preserve"> accidentes significativos</w:t>
            </w:r>
          </w:p>
        </w:tc>
        <w:tc>
          <w:tcPr>
            <w:tcW w:w="4998" w:type="dxa"/>
          </w:tcPr>
          <w:p w:rsidR="005C6E47" w:rsidRPr="00650FF1" w:rsidP="002F2972">
            <w:r w:rsidRPr="00650FF1">
              <w:t>Number of significant accidents</w:t>
            </w:r>
          </w:p>
        </w:tc>
      </w:tr>
      <w:tr w:rsidTr="002F2972">
        <w:tblPrEx>
          <w:tblW w:w="9996" w:type="dxa"/>
          <w:tblLook w:val="04A0"/>
        </w:tblPrEx>
        <w:tc>
          <w:tcPr>
            <w:tcW w:w="4998" w:type="dxa"/>
          </w:tcPr>
          <w:p w:rsidR="005C6E47" w:rsidRPr="00650FF1" w:rsidP="002F2972">
            <w:r w:rsidRPr="00650FF1">
              <w:rPr>
                <w:lang w:val="es-ES_tradnl"/>
              </w:rPr>
              <w:t>Otros</w:t>
            </w:r>
          </w:p>
        </w:tc>
        <w:tc>
          <w:tcPr>
            <w:tcW w:w="4998" w:type="dxa"/>
          </w:tcPr>
          <w:p w:rsidR="005C6E47" w:rsidRPr="00650FF1" w:rsidP="002F2972">
            <w:r w:rsidRPr="00650FF1">
              <w:t>Others</w:t>
            </w:r>
          </w:p>
        </w:tc>
      </w:tr>
      <w:tr w:rsidTr="002F2972">
        <w:tblPrEx>
          <w:tblW w:w="9996" w:type="dxa"/>
          <w:tblLook w:val="04A0"/>
        </w:tblPrEx>
        <w:tc>
          <w:tcPr>
            <w:tcW w:w="4998" w:type="dxa"/>
          </w:tcPr>
          <w:p w:rsidR="005C6E47" w:rsidRPr="00650FF1" w:rsidP="002F2972">
            <w:r w:rsidRPr="00650FF1">
              <w:rPr>
                <w:lang w:val="es-ES_tradnl"/>
              </w:rPr>
              <w:t>Incendios</w:t>
            </w:r>
          </w:p>
        </w:tc>
        <w:tc>
          <w:tcPr>
            <w:tcW w:w="4998" w:type="dxa"/>
          </w:tcPr>
          <w:p w:rsidR="005C6E47" w:rsidRPr="00650FF1" w:rsidP="002F2972">
            <w:r w:rsidRPr="00650FF1">
              <w:t>Fires</w:t>
            </w:r>
          </w:p>
        </w:tc>
      </w:tr>
      <w:tr w:rsidTr="002F2972">
        <w:tblPrEx>
          <w:tblW w:w="9996" w:type="dxa"/>
          <w:tblLook w:val="04A0"/>
        </w:tblPrEx>
        <w:tc>
          <w:tcPr>
            <w:tcW w:w="4998" w:type="dxa"/>
          </w:tcPr>
          <w:p w:rsidR="005C6E47" w:rsidRPr="00650FF1" w:rsidP="002F2972">
            <w:r w:rsidRPr="00650FF1">
              <w:rPr>
                <w:lang w:val="es-ES_tradnl"/>
              </w:rPr>
              <w:t>En pasos a nivel</w:t>
            </w:r>
          </w:p>
        </w:tc>
        <w:tc>
          <w:tcPr>
            <w:tcW w:w="4998" w:type="dxa"/>
          </w:tcPr>
          <w:p w:rsidR="005C6E47" w:rsidRPr="00650FF1" w:rsidP="002F2972">
            <w:r w:rsidRPr="00650FF1">
              <w:t>At level crossings</w:t>
            </w:r>
          </w:p>
        </w:tc>
      </w:tr>
      <w:tr w:rsidTr="002F2972">
        <w:tblPrEx>
          <w:tblW w:w="9996" w:type="dxa"/>
          <w:tblLook w:val="04A0"/>
        </w:tblPrEx>
        <w:tc>
          <w:tcPr>
            <w:tcW w:w="4998" w:type="dxa"/>
          </w:tcPr>
          <w:p w:rsidR="005C6E47" w:rsidRPr="00650FF1" w:rsidP="002F2972">
            <w:r w:rsidRPr="00650FF1">
              <w:rPr>
                <w:lang w:val="es-ES_tradnl"/>
              </w:rPr>
              <w:t>A personas (por MR)</w:t>
            </w:r>
          </w:p>
        </w:tc>
        <w:tc>
          <w:tcPr>
            <w:tcW w:w="4998" w:type="dxa"/>
          </w:tcPr>
          <w:p w:rsidR="005C6E47" w:rsidRPr="00650FF1" w:rsidP="002F2972">
            <w:r w:rsidRPr="00650FF1">
              <w:t>To persons (by rolling stock)</w:t>
            </w:r>
          </w:p>
        </w:tc>
      </w:tr>
      <w:tr w:rsidTr="002F2972">
        <w:tblPrEx>
          <w:tblW w:w="9996" w:type="dxa"/>
          <w:tblLook w:val="04A0"/>
        </w:tblPrEx>
        <w:tc>
          <w:tcPr>
            <w:tcW w:w="4998" w:type="dxa"/>
          </w:tcPr>
          <w:p w:rsidR="005C6E47" w:rsidRPr="00650FF1" w:rsidP="002F2972">
            <w:r w:rsidRPr="00650FF1">
              <w:rPr>
                <w:lang w:val="es-ES_tradnl"/>
              </w:rPr>
              <w:t>Colisiones</w:t>
            </w:r>
          </w:p>
        </w:tc>
        <w:tc>
          <w:tcPr>
            <w:tcW w:w="4998" w:type="dxa"/>
          </w:tcPr>
          <w:p w:rsidR="005C6E47" w:rsidRPr="00650FF1" w:rsidP="002F2972">
            <w:r w:rsidRPr="00650FF1">
              <w:t>Collisions</w:t>
            </w:r>
          </w:p>
        </w:tc>
      </w:tr>
      <w:tr w:rsidTr="002F2972">
        <w:tblPrEx>
          <w:tblW w:w="9996" w:type="dxa"/>
          <w:tblLook w:val="04A0"/>
        </w:tblPrEx>
        <w:tc>
          <w:tcPr>
            <w:tcW w:w="4998" w:type="dxa"/>
          </w:tcPr>
          <w:p w:rsidR="005C6E47" w:rsidRPr="00650FF1" w:rsidP="002F2972">
            <w:r w:rsidRPr="00650FF1">
              <w:rPr>
                <w:lang w:val="es-ES_tradnl"/>
              </w:rPr>
              <w:t>Descarrilamientos</w:t>
            </w:r>
          </w:p>
        </w:tc>
        <w:tc>
          <w:tcPr>
            <w:tcW w:w="4998" w:type="dxa"/>
          </w:tcPr>
          <w:p w:rsidR="005C6E47" w:rsidRPr="00650FF1" w:rsidP="002F2972">
            <w:r w:rsidRPr="00650FF1">
              <w:t>Derailments</w:t>
            </w:r>
          </w:p>
        </w:tc>
      </w:tr>
    </w:tbl>
    <w:p w:rsidR="005C6E47" w:rsidRPr="00650FF1" w:rsidP="005C6E47">
      <w:pPr>
        <w:rPr>
          <w:lang w:val="es-ES_tradnl"/>
        </w:rPr>
      </w:pPr>
    </w:p>
    <w:p w:rsidR="005C6E47" w:rsidRPr="00650FF1" w:rsidP="005C6E47">
      <w:pPr>
        <w:pStyle w:val="StandardText"/>
        <w:keepNext/>
        <w:spacing w:before="240" w:after="120" w:line="240" w:lineRule="auto"/>
        <w:jc w:val="center"/>
        <w:rPr>
          <w:lang w:val="es-ES_tradnl"/>
        </w:rPr>
      </w:pPr>
    </w:p>
    <w:p w:rsidR="005C6E47" w:rsidRPr="00650FF1" w:rsidP="005C6E47">
      <w:pPr>
        <w:pStyle w:val="StandardText"/>
        <w:keepNext/>
        <w:spacing w:before="240" w:after="120" w:line="240" w:lineRule="auto"/>
        <w:jc w:val="center"/>
        <w:rPr>
          <w:lang w:val="es-ES_tradnl"/>
        </w:rPr>
      </w:pPr>
    </w:p>
    <w:p w:rsidR="005C6E47" w:rsidRPr="00650FF1" w:rsidP="005C6E47">
      <w:pPr>
        <w:pStyle w:val="StandardText"/>
        <w:keepNext/>
        <w:spacing w:before="240" w:after="120" w:line="240" w:lineRule="auto"/>
        <w:jc w:val="center"/>
      </w:pPr>
      <w:r w:rsidRPr="00650FF1">
        <w:rPr>
          <w:noProof/>
          <w:lang w:val="fr-FR" w:eastAsia="fr-FR"/>
        </w:rPr>
        <w:drawing>
          <wp:inline distT="0" distB="0" distL="0" distR="0">
            <wp:extent cx="6210300" cy="3403804"/>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33285" name="Picture 1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3403804"/>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3</w:t>
      </w:r>
      <w:r w:rsidRPr="00650FF1">
        <w:fldChar w:fldCharType="end"/>
      </w:r>
      <w:r w:rsidRPr="00650FF1">
        <w:t>. Trends in the different types of significant accident</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A personas (por MR)</w:t>
            </w:r>
          </w:p>
        </w:tc>
        <w:tc>
          <w:tcPr>
            <w:tcW w:w="4998" w:type="dxa"/>
          </w:tcPr>
          <w:p w:rsidR="005C6E47" w:rsidRPr="00650FF1" w:rsidP="002F2972">
            <w:r w:rsidRPr="00650FF1">
              <w:t>To persons (by rolling stock)</w:t>
            </w:r>
          </w:p>
        </w:tc>
      </w:tr>
      <w:tr w:rsidTr="002F2972">
        <w:tblPrEx>
          <w:tblW w:w="9996" w:type="dxa"/>
          <w:tblLook w:val="04A0"/>
        </w:tblPrEx>
        <w:tc>
          <w:tcPr>
            <w:tcW w:w="4998" w:type="dxa"/>
          </w:tcPr>
          <w:p w:rsidR="005C6E47" w:rsidRPr="00650FF1" w:rsidP="002F2972">
            <w:r w:rsidRPr="00650FF1">
              <w:rPr>
                <w:lang w:val="es-ES_tradnl"/>
              </w:rPr>
              <w:t>En pasos a nivel</w:t>
            </w:r>
          </w:p>
        </w:tc>
        <w:tc>
          <w:tcPr>
            <w:tcW w:w="4998" w:type="dxa"/>
          </w:tcPr>
          <w:p w:rsidR="005C6E47" w:rsidRPr="00650FF1" w:rsidP="002F2972">
            <w:r w:rsidRPr="00650FF1">
              <w:t>At level crossings</w:t>
            </w:r>
          </w:p>
        </w:tc>
      </w:tr>
      <w:tr w:rsidTr="002F2972">
        <w:tblPrEx>
          <w:tblW w:w="9996" w:type="dxa"/>
          <w:tblLook w:val="04A0"/>
        </w:tblPrEx>
        <w:tc>
          <w:tcPr>
            <w:tcW w:w="4998" w:type="dxa"/>
          </w:tcPr>
          <w:p w:rsidR="005C6E47" w:rsidRPr="00650FF1" w:rsidP="002F2972">
            <w:r w:rsidRPr="00650FF1">
              <w:rPr>
                <w:lang w:val="es-ES_tradnl"/>
              </w:rPr>
              <w:t>Descarrilamientos</w:t>
            </w:r>
          </w:p>
        </w:tc>
        <w:tc>
          <w:tcPr>
            <w:tcW w:w="4998" w:type="dxa"/>
          </w:tcPr>
          <w:p w:rsidR="005C6E47" w:rsidRPr="00650FF1" w:rsidP="002F2972">
            <w:r w:rsidRPr="00650FF1">
              <w:t>Derailments</w:t>
            </w:r>
          </w:p>
        </w:tc>
      </w:tr>
      <w:tr w:rsidTr="002F2972">
        <w:tblPrEx>
          <w:tblW w:w="9996" w:type="dxa"/>
          <w:tblLook w:val="04A0"/>
        </w:tblPrEx>
        <w:tc>
          <w:tcPr>
            <w:tcW w:w="4998" w:type="dxa"/>
          </w:tcPr>
          <w:p w:rsidR="005C6E47" w:rsidRPr="00650FF1" w:rsidP="002F2972">
            <w:r w:rsidRPr="00650FF1">
              <w:rPr>
                <w:lang w:val="es-ES_tradnl"/>
              </w:rPr>
              <w:t>Colisiones</w:t>
            </w:r>
          </w:p>
        </w:tc>
        <w:tc>
          <w:tcPr>
            <w:tcW w:w="4998" w:type="dxa"/>
          </w:tcPr>
          <w:p w:rsidR="005C6E47" w:rsidRPr="00650FF1" w:rsidP="002F2972">
            <w:r w:rsidRPr="00650FF1">
              <w:t>Collisions</w:t>
            </w:r>
          </w:p>
        </w:tc>
      </w:tr>
      <w:tr w:rsidTr="002F2972">
        <w:tblPrEx>
          <w:tblW w:w="9996" w:type="dxa"/>
          <w:tblLook w:val="04A0"/>
        </w:tblPrEx>
        <w:tc>
          <w:tcPr>
            <w:tcW w:w="4998" w:type="dxa"/>
          </w:tcPr>
          <w:p w:rsidR="005C6E47" w:rsidRPr="00650FF1" w:rsidP="002F2972">
            <w:r w:rsidRPr="00650FF1">
              <w:rPr>
                <w:lang w:val="es-ES_tradnl"/>
              </w:rPr>
              <w:t>Incendios</w:t>
            </w:r>
          </w:p>
        </w:tc>
        <w:tc>
          <w:tcPr>
            <w:tcW w:w="4998" w:type="dxa"/>
          </w:tcPr>
          <w:p w:rsidR="005C6E47" w:rsidRPr="00650FF1" w:rsidP="002F2972">
            <w:r w:rsidRPr="00650FF1">
              <w:t>Fires</w:t>
            </w:r>
          </w:p>
        </w:tc>
      </w:tr>
      <w:tr w:rsidTr="002F2972">
        <w:tblPrEx>
          <w:tblW w:w="9996" w:type="dxa"/>
          <w:tblLook w:val="04A0"/>
        </w:tblPrEx>
        <w:tc>
          <w:tcPr>
            <w:tcW w:w="4998" w:type="dxa"/>
          </w:tcPr>
          <w:p w:rsidR="005C6E47" w:rsidRPr="00650FF1" w:rsidP="002F2972">
            <w:r w:rsidRPr="00650FF1">
              <w:rPr>
                <w:lang w:val="es-ES_tradnl"/>
              </w:rPr>
              <w:t>Otros</w:t>
            </w:r>
          </w:p>
        </w:tc>
        <w:tc>
          <w:tcPr>
            <w:tcW w:w="4998" w:type="dxa"/>
          </w:tcPr>
          <w:p w:rsidR="005C6E47" w:rsidRPr="00650FF1" w:rsidP="002F2972">
            <w:r w:rsidRPr="00650FF1">
              <w:t>Others</w:t>
            </w:r>
          </w:p>
        </w:tc>
      </w:tr>
    </w:tbl>
    <w:p w:rsidR="005C6E47" w:rsidRPr="00650FF1" w:rsidP="005C6E47">
      <w:pPr>
        <w:rPr>
          <w:lang w:val="es-ES_tradnl"/>
        </w:rPr>
      </w:pPr>
    </w:p>
    <w:p w:rsidR="005C6E47" w:rsidRPr="00650FF1" w:rsidP="005C6E47">
      <w:r w:rsidRPr="00650FF1">
        <w:br w:type="page"/>
      </w:r>
    </w:p>
    <w:p w:rsidR="005C6E47" w:rsidRPr="00650FF1" w:rsidP="005C6E47">
      <w:pPr>
        <w:pStyle w:val="StandardText"/>
        <w:spacing w:before="240" w:after="120" w:line="240" w:lineRule="auto"/>
        <w:rPr>
          <w:rFonts w:ascii="Calibri" w:hAnsi="Calibri"/>
        </w:rPr>
      </w:pPr>
      <w:r w:rsidRPr="00650FF1">
        <w:rPr>
          <w:rFonts w:ascii="Calibri" w:hAnsi="Calibri"/>
        </w:rPr>
        <w:t>In 2017, the number of serious accidents</w:t>
      </w:r>
      <w:r>
        <w:rPr>
          <w:rFonts w:ascii="Calibri" w:hAnsi="Calibri"/>
          <w:vertAlign w:val="superscript"/>
          <w:lang w:val="es-ES_tradnl"/>
        </w:rPr>
        <w:footnoteReference w:id="11"/>
      </w:r>
      <w:r w:rsidRPr="00650FF1">
        <w:rPr>
          <w:rFonts w:ascii="Calibri" w:hAnsi="Calibri"/>
        </w:rPr>
        <w:t xml:space="preserve"> was similar to the figures for 2013 and 2014, although somewhat higher than that for the previous year.</w:t>
      </w:r>
    </w:p>
    <w:p w:rsidR="005C6E47" w:rsidRPr="00650FF1" w:rsidP="005C6E47">
      <w:pPr>
        <w:pStyle w:val="Caption"/>
        <w:rPr>
          <w:rFonts w:ascii="Calibri" w:hAnsi="Calibri"/>
          <w:color w:val="FF0000"/>
        </w:rPr>
      </w:pPr>
    </w:p>
    <w:p w:rsidR="005C6E47" w:rsidRPr="00650FF1" w:rsidP="005C6E47">
      <w:pPr>
        <w:pStyle w:val="StandardText"/>
        <w:keepNext/>
        <w:spacing w:before="240" w:after="120" w:line="240" w:lineRule="auto"/>
        <w:jc w:val="center"/>
      </w:pPr>
      <w:r w:rsidRPr="00650FF1">
        <w:rPr>
          <w:noProof/>
          <w:lang w:val="fr-FR" w:eastAsia="fr-FR"/>
        </w:rPr>
        <w:drawing>
          <wp:inline distT="0" distB="0" distL="0" distR="0">
            <wp:extent cx="5501691" cy="4058586"/>
            <wp:effectExtent l="0" t="0" r="381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3498" name="Picture 1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7714" cy="4063029"/>
                    </a:xfrm>
                    <a:prstGeom prst="rect">
                      <a:avLst/>
                    </a:prstGeom>
                    <a:noFill/>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4</w:t>
      </w:r>
      <w:r w:rsidRPr="00650FF1">
        <w:fldChar w:fldCharType="end"/>
      </w:r>
      <w:r w:rsidRPr="00650FF1">
        <w:t>. The number of serious accidents each year and comparison with the moving average for the last 4 years.</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Nº DE ACCIDENTES GRAVES Y EVOLUCIÓN MEDIA MÓVIL</w:t>
            </w:r>
          </w:p>
        </w:tc>
        <w:tc>
          <w:tcPr>
            <w:tcW w:w="4998" w:type="dxa"/>
          </w:tcPr>
          <w:p w:rsidR="005C6E47" w:rsidRPr="00650FF1" w:rsidP="002F2972">
            <w:r w:rsidRPr="00650FF1">
              <w:t>NUMBER OF SERIOUS ACCIDENTS AND ITS MOVING AVERAGE</w:t>
            </w:r>
          </w:p>
        </w:tc>
      </w:tr>
      <w:tr w:rsidTr="002F2972">
        <w:tblPrEx>
          <w:tblW w:w="9996" w:type="dxa"/>
          <w:tblLook w:val="04A0"/>
        </w:tblPrEx>
        <w:tc>
          <w:tcPr>
            <w:tcW w:w="4998" w:type="dxa"/>
          </w:tcPr>
          <w:p w:rsidR="005C6E47" w:rsidRPr="00650FF1" w:rsidP="002F2972">
            <w:r w:rsidRPr="00650FF1">
              <w:rPr>
                <w:lang w:val="es-ES_tradnl"/>
              </w:rPr>
              <w:t>Excluida red RAM</w:t>
            </w:r>
          </w:p>
        </w:tc>
        <w:tc>
          <w:tcPr>
            <w:tcW w:w="4998" w:type="dxa"/>
          </w:tcPr>
          <w:p w:rsidR="005C6E47" w:rsidRPr="00650FF1" w:rsidP="002F2972">
            <w:r w:rsidRPr="00650FF1">
              <w:t>Excluding the RAM network</w:t>
            </w:r>
          </w:p>
        </w:tc>
      </w:tr>
      <w:tr w:rsidTr="002F2972">
        <w:tblPrEx>
          <w:tblW w:w="9996" w:type="dxa"/>
          <w:tblLook w:val="04A0"/>
        </w:tblPrEx>
        <w:tc>
          <w:tcPr>
            <w:tcW w:w="4998" w:type="dxa"/>
          </w:tcPr>
          <w:p w:rsidR="005C6E47" w:rsidRPr="00650FF1" w:rsidP="002F2972">
            <w:r w:rsidRPr="00650FF1">
              <w:rPr>
                <w:lang w:val="es-ES_tradnl"/>
              </w:rPr>
              <w:t>Total red</w:t>
            </w:r>
          </w:p>
        </w:tc>
        <w:tc>
          <w:tcPr>
            <w:tcW w:w="4998" w:type="dxa"/>
          </w:tcPr>
          <w:p w:rsidR="005C6E47" w:rsidRPr="00650FF1" w:rsidP="002F2972">
            <w:r w:rsidRPr="00650FF1">
              <w:t>Total network</w:t>
            </w:r>
          </w:p>
        </w:tc>
      </w:tr>
      <w:tr w:rsidTr="002F2972">
        <w:tblPrEx>
          <w:tblW w:w="9996" w:type="dxa"/>
          <w:tblLook w:val="04A0"/>
        </w:tblPrEx>
        <w:tc>
          <w:tcPr>
            <w:tcW w:w="4998" w:type="dxa"/>
          </w:tcPr>
          <w:p w:rsidR="005C6E47" w:rsidRPr="00650FF1" w:rsidP="002F2972">
            <w:r w:rsidRPr="00650FF1">
              <w:rPr>
                <w:lang w:val="es-ES_tradnl"/>
              </w:rPr>
              <w:t>Accidentes graves</w:t>
            </w:r>
          </w:p>
        </w:tc>
        <w:tc>
          <w:tcPr>
            <w:tcW w:w="4998" w:type="dxa"/>
          </w:tcPr>
          <w:p w:rsidR="005C6E47" w:rsidRPr="00650FF1" w:rsidP="002F2972">
            <w:r w:rsidRPr="00650FF1">
              <w:t>Serious accidents</w:t>
            </w:r>
          </w:p>
        </w:tc>
      </w:tr>
      <w:tr w:rsidTr="002F2972">
        <w:tblPrEx>
          <w:tblW w:w="9996" w:type="dxa"/>
          <w:tblLook w:val="04A0"/>
        </w:tblPrEx>
        <w:tc>
          <w:tcPr>
            <w:tcW w:w="4998" w:type="dxa"/>
          </w:tcPr>
          <w:p w:rsidR="005C6E47" w:rsidRPr="00650FF1" w:rsidP="002F2972">
            <w:r w:rsidRPr="00650FF1">
              <w:rPr>
                <w:lang w:val="es-ES_tradnl"/>
              </w:rPr>
              <w:t>Media móvil 4 años</w:t>
            </w:r>
          </w:p>
        </w:tc>
        <w:tc>
          <w:tcPr>
            <w:tcW w:w="4998" w:type="dxa"/>
          </w:tcPr>
          <w:p w:rsidR="005C6E47" w:rsidRPr="00650FF1" w:rsidP="002F2972">
            <w:r w:rsidRPr="00650FF1">
              <w:t>4-year moving average</w:t>
            </w:r>
          </w:p>
        </w:tc>
      </w:tr>
    </w:tbl>
    <w:p w:rsidR="005C6E47" w:rsidRPr="00650FF1" w:rsidP="005C6E47">
      <w:pPr>
        <w:rPr>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The consequences of the accidents in 2017 are similar to those for the previous year. In particular, in relation to the victims, the MHGP</w:t>
      </w:r>
      <w:r>
        <w:rPr>
          <w:rFonts w:ascii="Calibri" w:hAnsi="Calibri"/>
          <w:vertAlign w:val="superscript"/>
          <w:lang w:val="es-ES_tradnl"/>
        </w:rPr>
        <w:footnoteReference w:id="12"/>
      </w:r>
      <w:r w:rsidRPr="00650FF1">
        <w:rPr>
          <w:rFonts w:ascii="Calibri" w:hAnsi="Calibri"/>
        </w:rPr>
        <w:t xml:space="preserve"> figure is practically the same as that for the previous year. </w:t>
      </w:r>
      <w:r w:rsidRPr="00650FF1">
        <w:rPr>
          <w:rFonts w:ascii="Calibri" w:hAnsi="Calibri"/>
        </w:rPr>
        <w:t>However, the proportion of MHGP per number of significant accidents in 2017 is lower than in 2016, with the figure for 2017 equating to the average value for the whole of the EU in 2016</w:t>
      </w:r>
      <w:r>
        <w:rPr>
          <w:rFonts w:ascii="Calibri" w:hAnsi="Calibri"/>
          <w:vertAlign w:val="superscript"/>
          <w:lang w:val="es-ES_tradnl"/>
        </w:rPr>
        <w:footnoteReference w:id="13"/>
      </w:r>
      <w:r w:rsidRPr="00650FF1">
        <w:rPr>
          <w:rFonts w:ascii="Calibri" w:hAnsi="Calibri"/>
        </w:rPr>
        <w:t>.</w:t>
      </w:r>
    </w:p>
    <w:p w:rsidR="005C6E47" w:rsidRPr="00650FF1" w:rsidP="005C6E47">
      <w:pPr>
        <w:pStyle w:val="Caption"/>
      </w:pPr>
    </w:p>
    <w:p w:rsidR="005C6E47" w:rsidRPr="00650FF1" w:rsidP="005C6E47">
      <w:pPr>
        <w:pStyle w:val="StandardText"/>
        <w:keepNext/>
        <w:spacing w:before="240" w:after="120" w:line="240" w:lineRule="auto"/>
        <w:rPr>
          <w:lang w:val="es-ES_tradnl"/>
        </w:rPr>
      </w:pPr>
    </w:p>
    <w:p w:rsidR="005C6E47" w:rsidRPr="00650FF1" w:rsidP="005C6E47">
      <w:pPr>
        <w:pStyle w:val="StandardText"/>
        <w:keepNext/>
        <w:spacing w:before="240" w:after="120" w:line="240" w:lineRule="auto"/>
      </w:pPr>
      <w:r w:rsidRPr="00650FF1">
        <w:rPr>
          <w:noProof/>
          <w:lang w:val="fr-FR" w:eastAsia="fr-FR"/>
        </w:rPr>
        <w:drawing>
          <wp:inline distT="0" distB="0" distL="0" distR="0">
            <wp:extent cx="6210300" cy="246468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5947" name="Picture 1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2464689"/>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5</w:t>
      </w:r>
      <w:r w:rsidRPr="00650FF1">
        <w:fldChar w:fldCharType="end"/>
      </w:r>
      <w:r w:rsidRPr="00650FF1">
        <w:t>. Number of significant accidents and their consequences</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Núm</w:t>
            </w:r>
            <w:r w:rsidRPr="00650FF1">
              <w:rPr>
                <w:lang w:val="es-ES_tradnl"/>
              </w:rPr>
              <w:t xml:space="preserve"> de fallecidos, heridos graves, accidentes significativos, M € impacto económico</w:t>
            </w:r>
          </w:p>
        </w:tc>
        <w:tc>
          <w:tcPr>
            <w:tcW w:w="4998" w:type="dxa"/>
          </w:tcPr>
          <w:p w:rsidR="005C6E47" w:rsidRPr="00650FF1" w:rsidP="002F2972">
            <w:r w:rsidRPr="00650FF1">
              <w:t>No of fatalities, serious injuries, significant accidents, € M economic impact</w:t>
            </w:r>
          </w:p>
        </w:tc>
      </w:tr>
      <w:tr w:rsidTr="002F2972">
        <w:tblPrEx>
          <w:tblW w:w="9996" w:type="dxa"/>
          <w:tblLook w:val="04A0"/>
        </w:tblPrEx>
        <w:tc>
          <w:tcPr>
            <w:tcW w:w="4998" w:type="dxa"/>
          </w:tcPr>
          <w:p w:rsidR="005C6E47" w:rsidRPr="00650FF1" w:rsidP="002F2972">
            <w:r w:rsidRPr="00650FF1">
              <w:rPr>
                <w:lang w:val="es-ES_tradnl"/>
              </w:rPr>
              <w:t>Núm. fallecidos</w:t>
            </w:r>
          </w:p>
        </w:tc>
        <w:tc>
          <w:tcPr>
            <w:tcW w:w="4998" w:type="dxa"/>
          </w:tcPr>
          <w:p w:rsidR="005C6E47" w:rsidRPr="00650FF1" w:rsidP="002F2972">
            <w:r w:rsidRPr="00650FF1">
              <w:t>No of fatalities</w:t>
            </w:r>
          </w:p>
        </w:tc>
      </w:tr>
      <w:tr w:rsidTr="002F2972">
        <w:tblPrEx>
          <w:tblW w:w="9996" w:type="dxa"/>
          <w:tblLook w:val="04A0"/>
        </w:tblPrEx>
        <w:tc>
          <w:tcPr>
            <w:tcW w:w="4998" w:type="dxa"/>
          </w:tcPr>
          <w:p w:rsidR="005C6E47" w:rsidRPr="00650FF1" w:rsidP="002F2972">
            <w:r w:rsidRPr="00650FF1">
              <w:rPr>
                <w:lang w:val="es-ES_tradnl"/>
              </w:rPr>
              <w:t>Núm. heridos graves</w:t>
            </w:r>
          </w:p>
        </w:tc>
        <w:tc>
          <w:tcPr>
            <w:tcW w:w="4998" w:type="dxa"/>
          </w:tcPr>
          <w:p w:rsidR="005C6E47" w:rsidRPr="00650FF1" w:rsidP="002F2972">
            <w:r w:rsidRPr="00650FF1">
              <w:t>No of serious injuries</w:t>
            </w:r>
          </w:p>
        </w:tc>
      </w:tr>
      <w:tr w:rsidTr="002F2972">
        <w:tblPrEx>
          <w:tblW w:w="9996" w:type="dxa"/>
          <w:tblLook w:val="04A0"/>
        </w:tblPrEx>
        <w:tc>
          <w:tcPr>
            <w:tcW w:w="4998" w:type="dxa"/>
          </w:tcPr>
          <w:p w:rsidR="005C6E47" w:rsidRPr="00650FF1" w:rsidP="002F2972">
            <w:r w:rsidRPr="00650FF1">
              <w:rPr>
                <w:lang w:val="es-ES_tradnl"/>
              </w:rPr>
              <w:t>Núm. accidentes significativos</w:t>
            </w:r>
          </w:p>
        </w:tc>
        <w:tc>
          <w:tcPr>
            <w:tcW w:w="4998" w:type="dxa"/>
          </w:tcPr>
          <w:p w:rsidR="005C6E47" w:rsidRPr="00650FF1" w:rsidP="002F2972">
            <w:r w:rsidRPr="00650FF1">
              <w:t>No of significant accidents</w:t>
            </w:r>
          </w:p>
        </w:tc>
      </w:tr>
      <w:tr w:rsidTr="002F2972">
        <w:tblPrEx>
          <w:tblW w:w="9996" w:type="dxa"/>
          <w:tblLook w:val="04A0"/>
        </w:tblPrEx>
        <w:tc>
          <w:tcPr>
            <w:tcW w:w="4998" w:type="dxa"/>
          </w:tcPr>
          <w:p w:rsidR="005C6E47" w:rsidRPr="00650FF1" w:rsidP="002F2972">
            <w:r w:rsidRPr="00650FF1">
              <w:rPr>
                <w:lang w:val="es-ES_tradnl"/>
              </w:rPr>
              <w:t>Impacto económico estimado (M €)</w:t>
            </w:r>
          </w:p>
        </w:tc>
        <w:tc>
          <w:tcPr>
            <w:tcW w:w="4998" w:type="dxa"/>
          </w:tcPr>
          <w:p w:rsidR="005C6E47" w:rsidRPr="00650FF1" w:rsidP="002F2972">
            <w:r w:rsidRPr="00650FF1">
              <w:t>Estimated economic impact (m €)</w:t>
            </w:r>
          </w:p>
        </w:tc>
      </w:tr>
    </w:tbl>
    <w:p w:rsidR="005C6E47" w:rsidRPr="00650FF1" w:rsidP="005C6E47">
      <w:pPr>
        <w:rPr>
          <w:lang w:val="es-ES_tradnl"/>
        </w:rPr>
      </w:pPr>
    </w:p>
    <w:p w:rsidR="005C6E47" w:rsidRPr="00650FF1" w:rsidP="005C6E47">
      <w:pPr>
        <w:keepNext/>
        <w:jc w:val="center"/>
      </w:pPr>
      <w:r w:rsidRPr="00650FF1">
        <w:rPr>
          <w:noProof/>
          <w:lang w:val="fr-FR" w:eastAsia="fr-FR"/>
        </w:rPr>
        <w:drawing>
          <wp:inline distT="0" distB="0" distL="0" distR="0">
            <wp:extent cx="6210212" cy="448627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09304" name="Picture 9"/>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b="-2480"/>
                    <a:stretch>
                      <a:fillRect/>
                    </a:stretch>
                  </pic:blipFill>
                  <pic:spPr bwMode="auto">
                    <a:xfrm>
                      <a:off x="0" y="0"/>
                      <a:ext cx="6210300" cy="44863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6</w:t>
      </w:r>
      <w:r w:rsidRPr="00650FF1">
        <w:fldChar w:fldCharType="end"/>
      </w:r>
      <w:r w:rsidRPr="00650FF1">
        <w:t>. Yearly MHGP and the MHGP per significant accident relationship</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MHGP</w:t>
            </w:r>
          </w:p>
        </w:tc>
        <w:tc>
          <w:tcPr>
            <w:tcW w:w="4998" w:type="dxa"/>
          </w:tcPr>
          <w:p w:rsidR="005C6E47" w:rsidRPr="00650FF1" w:rsidP="002F2972">
            <w:r w:rsidRPr="00650FF1">
              <w:t>MHGP</w:t>
            </w:r>
          </w:p>
        </w:tc>
      </w:tr>
      <w:tr w:rsidTr="002F2972">
        <w:tblPrEx>
          <w:tblW w:w="9996" w:type="dxa"/>
          <w:tblLook w:val="04A0"/>
        </w:tblPrEx>
        <w:tc>
          <w:tcPr>
            <w:tcW w:w="4998" w:type="dxa"/>
          </w:tcPr>
          <w:p w:rsidR="005C6E47" w:rsidRPr="00650FF1" w:rsidP="002F2972">
            <w:r w:rsidRPr="00650FF1">
              <w:rPr>
                <w:lang w:val="es-ES_tradnl"/>
              </w:rPr>
              <w:t xml:space="preserve">MHGP / </w:t>
            </w:r>
            <w:r w:rsidRPr="00650FF1">
              <w:rPr>
                <w:lang w:val="es-ES_tradnl"/>
              </w:rPr>
              <w:t>Acc</w:t>
            </w:r>
            <w:r w:rsidRPr="00650FF1">
              <w:rPr>
                <w:lang w:val="es-ES_tradnl"/>
              </w:rPr>
              <w:t>. SIGNIF.</w:t>
            </w:r>
          </w:p>
        </w:tc>
        <w:tc>
          <w:tcPr>
            <w:tcW w:w="4998" w:type="dxa"/>
          </w:tcPr>
          <w:p w:rsidR="005C6E47" w:rsidRPr="00650FF1" w:rsidP="002F2972">
            <w:r w:rsidRPr="00650FF1">
              <w:t>MHGP / SIGNIF. Acc.</w:t>
            </w:r>
          </w:p>
        </w:tc>
      </w:tr>
      <w:tr w:rsidTr="002F2972">
        <w:tblPrEx>
          <w:tblW w:w="9996" w:type="dxa"/>
          <w:tblLook w:val="04A0"/>
        </w:tblPrEx>
        <w:tc>
          <w:tcPr>
            <w:tcW w:w="4998" w:type="dxa"/>
          </w:tcPr>
          <w:p w:rsidR="005C6E47" w:rsidRPr="00650FF1" w:rsidP="002F2972">
            <w:r w:rsidRPr="00650FF1">
              <w:rPr>
                <w:lang w:val="es-ES_tradnl"/>
              </w:rPr>
              <w:t>MHGP / Accidentes Significativos</w:t>
            </w:r>
          </w:p>
        </w:tc>
        <w:tc>
          <w:tcPr>
            <w:tcW w:w="4998" w:type="dxa"/>
          </w:tcPr>
          <w:p w:rsidR="005C6E47" w:rsidRPr="00650FF1" w:rsidP="002F2972">
            <w:r w:rsidRPr="00650FF1">
              <w:t>MHGP / Significant Accident</w:t>
            </w:r>
          </w:p>
        </w:tc>
      </w:tr>
    </w:tbl>
    <w:p w:rsidR="005C6E47" w:rsidRPr="00650FF1" w:rsidP="005C6E47">
      <w:pPr>
        <w:rPr>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Given the variation in the MHGP figure, there is an appreciable reduction in the rate of significant accidents with victims per million train-km in the category of accidents to persons, as well as in their consequences. Conversely, in 2017 there was an increase in the number of victims in accidents at level crossings, compared to the lows achieved in 2015, and an increase in the frequency. The number of victims in other types of accidents was very small.</w:t>
      </w:r>
    </w:p>
    <w:p w:rsidR="005C6E47" w:rsidRPr="00650FF1" w:rsidP="005C6E47">
      <w:pPr>
        <w:pStyle w:val="StandardText"/>
        <w:spacing w:before="240" w:after="120" w:line="240" w:lineRule="auto"/>
        <w:rPr>
          <w:rFonts w:ascii="Calibri" w:hAnsi="Calibri"/>
          <w:color w:val="FF0000"/>
          <w:lang w:val="es-ES_tradnl"/>
        </w:rPr>
      </w:pPr>
    </w:p>
    <w:p w:rsidR="005C6E47" w:rsidRPr="00650FF1" w:rsidP="005C6E47">
      <w:pPr>
        <w:pStyle w:val="StandardText"/>
        <w:keepNext/>
        <w:spacing w:before="240" w:after="120" w:line="240" w:lineRule="auto"/>
      </w:pPr>
      <w:r w:rsidRPr="00650FF1">
        <w:rPr>
          <w:noProof/>
          <w:lang w:val="fr-FR" w:eastAsia="fr-FR"/>
        </w:rPr>
        <w:drawing>
          <wp:inline distT="0" distB="0" distL="0" distR="0">
            <wp:extent cx="6213987" cy="2871019"/>
            <wp:effectExtent l="0" t="0" r="0" b="5715"/>
            <wp:docPr id="68" name="Gráfico 68">
              <a:extLst xmlns:a="http://schemas.openxmlformats.org/drawingml/2006/main">
                <a:ext xmlns:a="http://schemas.openxmlformats.org/drawingml/2006/main" uri="{FF2B5EF4-FFF2-40B4-BE49-F238E27FC236}">
                  <a16:creationId xmlns:a16="http://schemas.microsoft.com/office/drawing/2014/main" id="{6B0AD5A5-28E9-4DCD-BC95-E63C5BBFC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7</w:t>
      </w:r>
      <w:r w:rsidRPr="00650FF1">
        <w:fldChar w:fldCharType="end"/>
      </w:r>
      <w:r w:rsidRPr="00650FF1">
        <w:t>. Significant accidents with victims: MHGP and number of accidents per million train-km</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Accidentes con víctimas / millón tren.km</w:t>
            </w:r>
          </w:p>
        </w:tc>
        <w:tc>
          <w:tcPr>
            <w:tcW w:w="4998" w:type="dxa"/>
          </w:tcPr>
          <w:p w:rsidR="005C6E47" w:rsidRPr="00650FF1" w:rsidP="002F2972">
            <w:r w:rsidRPr="00650FF1">
              <w:t>Accidents with victims / million train-km</w:t>
            </w:r>
          </w:p>
        </w:tc>
      </w:tr>
      <w:tr w:rsidTr="002F2972">
        <w:tblPrEx>
          <w:tblW w:w="9996" w:type="dxa"/>
          <w:tblLook w:val="04A0"/>
        </w:tblPrEx>
        <w:tc>
          <w:tcPr>
            <w:tcW w:w="4998" w:type="dxa"/>
          </w:tcPr>
          <w:p w:rsidR="005C6E47" w:rsidRPr="00650FF1" w:rsidP="002F2972">
            <w:r w:rsidRPr="00650FF1">
              <w:rPr>
                <w:lang w:val="es-ES_tradnl"/>
              </w:rPr>
              <w:t xml:space="preserve">MHGP </w:t>
            </w:r>
            <w:r w:rsidRPr="00650FF1">
              <w:rPr>
                <w:lang w:val="es-ES_tradnl"/>
              </w:rPr>
              <w:t>Acc</w:t>
            </w:r>
            <w:r w:rsidRPr="00650FF1">
              <w:rPr>
                <w:lang w:val="es-ES_tradnl"/>
              </w:rPr>
              <w:t>. de personas</w:t>
            </w:r>
          </w:p>
        </w:tc>
        <w:tc>
          <w:tcPr>
            <w:tcW w:w="4998" w:type="dxa"/>
          </w:tcPr>
          <w:p w:rsidR="005C6E47" w:rsidRPr="00650FF1" w:rsidP="002F2972">
            <w:r w:rsidRPr="00650FF1">
              <w:t>MHGP Acc. to persons</w:t>
            </w:r>
          </w:p>
        </w:tc>
      </w:tr>
      <w:tr w:rsidTr="002F2972">
        <w:tblPrEx>
          <w:tblW w:w="9996" w:type="dxa"/>
          <w:tblLook w:val="04A0"/>
        </w:tblPrEx>
        <w:tc>
          <w:tcPr>
            <w:tcW w:w="4998" w:type="dxa"/>
          </w:tcPr>
          <w:p w:rsidR="005C6E47" w:rsidRPr="00650FF1" w:rsidP="002F2972">
            <w:r w:rsidRPr="00650FF1">
              <w:rPr>
                <w:lang w:val="es-ES_tradnl"/>
              </w:rPr>
              <w:t xml:space="preserve">MHGP </w:t>
            </w:r>
            <w:r w:rsidRPr="00650FF1">
              <w:rPr>
                <w:lang w:val="es-ES_tradnl"/>
              </w:rPr>
              <w:t>Acc</w:t>
            </w:r>
            <w:r w:rsidRPr="00650FF1">
              <w:rPr>
                <w:lang w:val="es-ES_tradnl"/>
              </w:rPr>
              <w:t>. en paso a nivel</w:t>
            </w:r>
          </w:p>
        </w:tc>
        <w:tc>
          <w:tcPr>
            <w:tcW w:w="4998" w:type="dxa"/>
          </w:tcPr>
          <w:p w:rsidR="005C6E47" w:rsidRPr="00650FF1" w:rsidP="002F2972">
            <w:r w:rsidRPr="00650FF1">
              <w:t>MHGP Acc. at level crossings</w:t>
            </w:r>
          </w:p>
        </w:tc>
      </w:tr>
      <w:tr w:rsidTr="002F2972">
        <w:tblPrEx>
          <w:tblW w:w="9996" w:type="dxa"/>
          <w:tblLook w:val="04A0"/>
        </w:tblPrEx>
        <w:tc>
          <w:tcPr>
            <w:tcW w:w="4998" w:type="dxa"/>
          </w:tcPr>
          <w:p w:rsidR="005C6E47" w:rsidRPr="00650FF1" w:rsidP="002F2972">
            <w:r w:rsidRPr="00650FF1">
              <w:rPr>
                <w:lang w:val="es-ES_tradnl"/>
              </w:rPr>
              <w:t>MHGP Resto de accidentes</w:t>
            </w:r>
          </w:p>
        </w:tc>
        <w:tc>
          <w:tcPr>
            <w:tcW w:w="4998" w:type="dxa"/>
          </w:tcPr>
          <w:p w:rsidR="005C6E47" w:rsidRPr="00650FF1" w:rsidP="002F2972">
            <w:r w:rsidRPr="00650FF1">
              <w:t>MHGP Other accidents</w:t>
            </w:r>
          </w:p>
        </w:tc>
      </w:tr>
      <w:tr w:rsidTr="002F2972">
        <w:tblPrEx>
          <w:tblW w:w="9996" w:type="dxa"/>
          <w:tblLook w:val="04A0"/>
        </w:tblPrEx>
        <w:tc>
          <w:tcPr>
            <w:tcW w:w="4998" w:type="dxa"/>
          </w:tcPr>
          <w:p w:rsidR="005C6E47" w:rsidRPr="00650FF1" w:rsidP="002F2972">
            <w:r w:rsidRPr="00650FF1">
              <w:rPr>
                <w:lang w:val="es-ES_tradnl"/>
              </w:rPr>
              <w:t>Acc</w:t>
            </w:r>
            <w:r w:rsidRPr="00650FF1">
              <w:rPr>
                <w:lang w:val="es-ES_tradnl"/>
              </w:rPr>
              <w:t xml:space="preserve">. personas / </w:t>
            </w:r>
            <w:r w:rsidRPr="00650FF1">
              <w:rPr>
                <w:lang w:val="es-ES_tradnl"/>
              </w:rPr>
              <w:t>Mill</w:t>
            </w:r>
            <w:r w:rsidRPr="00650FF1">
              <w:rPr>
                <w:lang w:val="es-ES_tradnl"/>
              </w:rPr>
              <w:t xml:space="preserve"> tr.km</w:t>
            </w:r>
          </w:p>
        </w:tc>
        <w:tc>
          <w:tcPr>
            <w:tcW w:w="4998" w:type="dxa"/>
          </w:tcPr>
          <w:p w:rsidR="005C6E47" w:rsidRPr="00650FF1" w:rsidP="002F2972">
            <w:r w:rsidRPr="00650FF1">
              <w:t>Acc. persons / m train-km</w:t>
            </w:r>
          </w:p>
        </w:tc>
      </w:tr>
      <w:tr w:rsidTr="002F2972">
        <w:tblPrEx>
          <w:tblW w:w="9996" w:type="dxa"/>
          <w:tblLook w:val="04A0"/>
        </w:tblPrEx>
        <w:tc>
          <w:tcPr>
            <w:tcW w:w="4998" w:type="dxa"/>
          </w:tcPr>
          <w:p w:rsidR="005C6E47" w:rsidRPr="00650FF1" w:rsidP="002F2972">
            <w:r w:rsidRPr="00650FF1">
              <w:rPr>
                <w:lang w:val="es-ES_tradnl"/>
              </w:rPr>
              <w:t>MHGP</w:t>
            </w:r>
          </w:p>
        </w:tc>
        <w:tc>
          <w:tcPr>
            <w:tcW w:w="4998" w:type="dxa"/>
          </w:tcPr>
          <w:p w:rsidR="005C6E47" w:rsidRPr="00650FF1" w:rsidP="002F2972">
            <w:r w:rsidRPr="00650FF1">
              <w:t>MHGP</w:t>
            </w:r>
          </w:p>
        </w:tc>
      </w:tr>
      <w:tr w:rsidTr="002F2972">
        <w:tblPrEx>
          <w:tblW w:w="9996" w:type="dxa"/>
          <w:tblLook w:val="04A0"/>
        </w:tblPrEx>
        <w:tc>
          <w:tcPr>
            <w:tcW w:w="4998" w:type="dxa"/>
          </w:tcPr>
          <w:p w:rsidR="005C6E47" w:rsidRPr="00650FF1" w:rsidP="002F2972">
            <w:r w:rsidRPr="00650FF1">
              <w:rPr>
                <w:lang w:val="es-ES_tradnl"/>
              </w:rPr>
              <w:t>Acc</w:t>
            </w:r>
            <w:r w:rsidRPr="00650FF1">
              <w:rPr>
                <w:lang w:val="es-ES_tradnl"/>
              </w:rPr>
              <w:t xml:space="preserve"> en paso a nivel / </w:t>
            </w:r>
            <w:r w:rsidRPr="00650FF1">
              <w:rPr>
                <w:lang w:val="es-ES_tradnl"/>
              </w:rPr>
              <w:t>Mill</w:t>
            </w:r>
            <w:r w:rsidRPr="00650FF1">
              <w:rPr>
                <w:lang w:val="es-ES_tradnl"/>
              </w:rPr>
              <w:t xml:space="preserve"> tr.km</w:t>
            </w:r>
          </w:p>
        </w:tc>
        <w:tc>
          <w:tcPr>
            <w:tcW w:w="4998" w:type="dxa"/>
          </w:tcPr>
          <w:p w:rsidR="005C6E47" w:rsidRPr="00650FF1" w:rsidP="002F2972">
            <w:r w:rsidRPr="00650FF1">
              <w:t>Acc. Level crossings / m train-km</w:t>
            </w:r>
          </w:p>
        </w:tc>
      </w:tr>
      <w:tr w:rsidTr="002F2972">
        <w:tblPrEx>
          <w:tblW w:w="9996" w:type="dxa"/>
          <w:tblLook w:val="04A0"/>
        </w:tblPrEx>
        <w:tc>
          <w:tcPr>
            <w:tcW w:w="4998" w:type="dxa"/>
          </w:tcPr>
          <w:p w:rsidR="005C6E47" w:rsidRPr="00650FF1" w:rsidP="002F2972">
            <w:r w:rsidRPr="00650FF1">
              <w:rPr>
                <w:lang w:val="es-ES_tradnl"/>
              </w:rPr>
              <w:t xml:space="preserve">Resto de accidentes </w:t>
            </w:r>
            <w:r w:rsidRPr="00650FF1">
              <w:rPr>
                <w:lang w:val="es-ES_tradnl"/>
              </w:rPr>
              <w:t>signif</w:t>
            </w:r>
            <w:r w:rsidRPr="00650FF1">
              <w:rPr>
                <w:lang w:val="es-ES_tradnl"/>
              </w:rPr>
              <w:t xml:space="preserve">. Con víctimas / </w:t>
            </w:r>
            <w:r w:rsidRPr="00650FF1">
              <w:rPr>
                <w:lang w:val="es-ES_tradnl"/>
              </w:rPr>
              <w:t>Mill</w:t>
            </w:r>
            <w:r w:rsidRPr="00650FF1">
              <w:rPr>
                <w:lang w:val="es-ES_tradnl"/>
              </w:rPr>
              <w:t xml:space="preserve"> tr.km</w:t>
            </w:r>
          </w:p>
        </w:tc>
        <w:tc>
          <w:tcPr>
            <w:tcW w:w="4998" w:type="dxa"/>
          </w:tcPr>
          <w:p w:rsidR="005C6E47" w:rsidRPr="00650FF1" w:rsidP="002F2972">
            <w:r w:rsidRPr="00650FF1">
              <w:t xml:space="preserve">Other </w:t>
            </w:r>
            <w:r w:rsidRPr="00650FF1">
              <w:t>signif</w:t>
            </w:r>
            <w:r w:rsidRPr="00650FF1">
              <w:t>. accidents with victims / m train-km</w:t>
            </w:r>
          </w:p>
        </w:tc>
      </w:tr>
    </w:tbl>
    <w:p w:rsidR="005C6E47" w:rsidRPr="00650FF1" w:rsidP="005C6E47">
      <w:pPr>
        <w:rPr>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 xml:space="preserve">All fatalities in 2017, excluding suicides, occurred in accidents to persons and accidents at level crossings. These results are similar to the proportions for the period 2013-2017 (eliminating the influence of an event as unusual as the </w:t>
      </w:r>
      <w:r w:rsidRPr="00650FF1">
        <w:rPr>
          <w:rFonts w:ascii="Calibri" w:hAnsi="Calibri"/>
        </w:rPr>
        <w:t>Angrois</w:t>
      </w:r>
      <w:r w:rsidRPr="00650FF1">
        <w:rPr>
          <w:rFonts w:ascii="Calibri" w:hAnsi="Calibri"/>
        </w:rPr>
        <w:t xml:space="preserve"> accident, which occurred on 24 July 2013).</w:t>
      </w:r>
    </w:p>
    <w:p w:rsidR="005C6E47" w:rsidRPr="00650FF1" w:rsidP="005C6E47">
      <w:pPr>
        <w:pStyle w:val="Caption"/>
      </w:pPr>
    </w:p>
    <w:p w:rsidR="005C6E47" w:rsidRPr="00650FF1" w:rsidP="005C6E47">
      <w:pPr>
        <w:pStyle w:val="StandardText"/>
        <w:keepNext/>
        <w:spacing w:before="240" w:after="120" w:line="240" w:lineRule="auto"/>
        <w:jc w:val="center"/>
      </w:pPr>
      <w:r w:rsidRPr="00650FF1">
        <w:rPr>
          <w:noProof/>
          <w:lang w:val="fr-FR" w:eastAsia="fr-FR"/>
        </w:rPr>
        <w:drawing>
          <wp:inline distT="0" distB="0" distL="0" distR="0">
            <wp:extent cx="4798142" cy="2726705"/>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7908" name="Picture 6"/>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4237" cy="2730169"/>
                    </a:xfrm>
                    <a:prstGeom prst="rect">
                      <a:avLst/>
                    </a:prstGeom>
                    <a:noFill/>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8</w:t>
      </w:r>
      <w:r w:rsidRPr="00650FF1">
        <w:fldChar w:fldCharType="end"/>
      </w:r>
      <w:r w:rsidRPr="00650FF1">
        <w:t>. Proportion of fatalities according to the type of accident</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Total 2013-2017</w:t>
            </w:r>
          </w:p>
        </w:tc>
        <w:tc>
          <w:tcPr>
            <w:tcW w:w="4998" w:type="dxa"/>
          </w:tcPr>
          <w:p w:rsidR="005C6E47" w:rsidRPr="00650FF1" w:rsidP="002F2972">
            <w:r w:rsidRPr="00650FF1">
              <w:t>Total 2013-2017</w:t>
            </w:r>
          </w:p>
        </w:tc>
      </w:tr>
      <w:tr w:rsidTr="002F2972">
        <w:tblPrEx>
          <w:tblW w:w="9996" w:type="dxa"/>
          <w:tblLook w:val="04A0"/>
        </w:tblPrEx>
        <w:tc>
          <w:tcPr>
            <w:tcW w:w="4998" w:type="dxa"/>
          </w:tcPr>
          <w:p w:rsidR="005C6E47" w:rsidRPr="00650FF1" w:rsidP="002F2972">
            <w:r w:rsidRPr="00650FF1">
              <w:rPr>
                <w:lang w:val="es-ES_tradnl"/>
              </w:rPr>
              <w:t xml:space="preserve">Total 2013-2017 (sin </w:t>
            </w:r>
            <w:r w:rsidRPr="00650FF1">
              <w:rPr>
                <w:lang w:val="es-ES_tradnl"/>
              </w:rPr>
              <w:t>acc</w:t>
            </w:r>
            <w:r w:rsidRPr="00650FF1">
              <w:rPr>
                <w:lang w:val="es-ES_tradnl"/>
              </w:rPr>
              <w:t xml:space="preserve">. </w:t>
            </w:r>
            <w:r w:rsidRPr="00650FF1">
              <w:rPr>
                <w:lang w:val="es-ES_tradnl"/>
              </w:rPr>
              <w:t>Angrois</w:t>
            </w:r>
            <w:r w:rsidRPr="00650FF1">
              <w:rPr>
                <w:lang w:val="es-ES_tradnl"/>
              </w:rPr>
              <w:t>)</w:t>
            </w:r>
          </w:p>
        </w:tc>
        <w:tc>
          <w:tcPr>
            <w:tcW w:w="4998" w:type="dxa"/>
          </w:tcPr>
          <w:p w:rsidR="005C6E47" w:rsidRPr="00650FF1" w:rsidP="002F2972">
            <w:r w:rsidRPr="00650FF1">
              <w:t xml:space="preserve">Total 2013-2017 (without </w:t>
            </w:r>
            <w:r w:rsidRPr="00650FF1">
              <w:t>Angrois</w:t>
            </w:r>
            <w:r w:rsidRPr="00650FF1">
              <w:t xml:space="preserve"> acc.)</w:t>
            </w:r>
          </w:p>
        </w:tc>
      </w:tr>
      <w:tr w:rsidTr="002F2972">
        <w:tblPrEx>
          <w:tblW w:w="9996" w:type="dxa"/>
          <w:tblLook w:val="04A0"/>
        </w:tblPrEx>
        <w:tc>
          <w:tcPr>
            <w:tcW w:w="4998" w:type="dxa"/>
          </w:tcPr>
          <w:p w:rsidR="005C6E47" w:rsidRPr="00650FF1" w:rsidP="002F2972">
            <w:r w:rsidRPr="00650FF1">
              <w:rPr>
                <w:lang w:val="es-ES_tradnl"/>
              </w:rPr>
              <w:t>Accidente de personas</w:t>
            </w:r>
          </w:p>
        </w:tc>
        <w:tc>
          <w:tcPr>
            <w:tcW w:w="4998" w:type="dxa"/>
          </w:tcPr>
          <w:p w:rsidR="005C6E47" w:rsidRPr="00650FF1" w:rsidP="002F2972">
            <w:r w:rsidRPr="00650FF1">
              <w:t>Accidents to persons</w:t>
            </w:r>
          </w:p>
        </w:tc>
      </w:tr>
      <w:tr w:rsidTr="002F2972">
        <w:tblPrEx>
          <w:tblW w:w="9996" w:type="dxa"/>
          <w:tblLook w:val="04A0"/>
        </w:tblPrEx>
        <w:tc>
          <w:tcPr>
            <w:tcW w:w="4998" w:type="dxa"/>
          </w:tcPr>
          <w:p w:rsidR="005C6E47" w:rsidRPr="00650FF1" w:rsidP="002F2972">
            <w:r w:rsidRPr="00650FF1">
              <w:rPr>
                <w:lang w:val="es-ES_tradnl"/>
              </w:rPr>
              <w:t>Descarrilamiento</w:t>
            </w:r>
          </w:p>
        </w:tc>
        <w:tc>
          <w:tcPr>
            <w:tcW w:w="4998" w:type="dxa"/>
          </w:tcPr>
          <w:p w:rsidR="005C6E47" w:rsidRPr="00650FF1" w:rsidP="002F2972">
            <w:r w:rsidRPr="00650FF1">
              <w:t>Derailment</w:t>
            </w:r>
          </w:p>
        </w:tc>
      </w:tr>
      <w:tr w:rsidTr="002F2972">
        <w:tblPrEx>
          <w:tblW w:w="9996" w:type="dxa"/>
          <w:tblLook w:val="04A0"/>
        </w:tblPrEx>
        <w:tc>
          <w:tcPr>
            <w:tcW w:w="4998" w:type="dxa"/>
          </w:tcPr>
          <w:p w:rsidR="005C6E47" w:rsidRPr="00650FF1" w:rsidP="002F2972">
            <w:r w:rsidRPr="00650FF1">
              <w:rPr>
                <w:lang w:val="es-ES_tradnl"/>
              </w:rPr>
              <w:t>Paso a nivel</w:t>
            </w:r>
          </w:p>
        </w:tc>
        <w:tc>
          <w:tcPr>
            <w:tcW w:w="4998" w:type="dxa"/>
          </w:tcPr>
          <w:p w:rsidR="005C6E47" w:rsidRPr="00650FF1" w:rsidP="002F2972">
            <w:r w:rsidRPr="00650FF1">
              <w:t>Level crossings</w:t>
            </w:r>
          </w:p>
        </w:tc>
      </w:tr>
    </w:tbl>
    <w:p w:rsidR="005C6E47" w:rsidRPr="00650FF1" w:rsidP="005C6E47">
      <w:pPr>
        <w:rPr>
          <w:lang w:val="es-ES_tradnl"/>
        </w:rPr>
      </w:pPr>
    </w:p>
    <w:p w:rsidR="005C6E47" w:rsidRPr="00650FF1" w:rsidP="005C6E47">
      <w:pPr>
        <w:pStyle w:val="StandardText"/>
        <w:keepNext/>
        <w:spacing w:before="240" w:after="120" w:line="240" w:lineRule="auto"/>
        <w:jc w:val="center"/>
      </w:pPr>
      <w:r w:rsidRPr="00650FF1">
        <w:rPr>
          <w:noProof/>
          <w:lang w:val="fr-FR" w:eastAsia="fr-FR"/>
        </w:rPr>
        <w:drawing>
          <wp:inline distT="0" distB="0" distL="0" distR="0">
            <wp:extent cx="4860000" cy="2761869"/>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1299" name="Picture 8"/>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60000" cy="2761869"/>
                    </a:xfrm>
                    <a:prstGeom prst="rect">
                      <a:avLst/>
                    </a:prstGeom>
                    <a:noFill/>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9</w:t>
      </w:r>
      <w:r w:rsidRPr="00650FF1">
        <w:fldChar w:fldCharType="end"/>
      </w:r>
      <w:r w:rsidRPr="00650FF1">
        <w:t>. Figure 9. Proportion of serious injuries according to the type of accident</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Total 2013-2017</w:t>
            </w:r>
          </w:p>
        </w:tc>
        <w:tc>
          <w:tcPr>
            <w:tcW w:w="4998" w:type="dxa"/>
          </w:tcPr>
          <w:p w:rsidR="005C6E47" w:rsidRPr="00650FF1" w:rsidP="002F2972">
            <w:r w:rsidRPr="00650FF1">
              <w:t>Total 2013-2017</w:t>
            </w:r>
          </w:p>
        </w:tc>
      </w:tr>
      <w:tr w:rsidTr="002F2972">
        <w:tblPrEx>
          <w:tblW w:w="9996" w:type="dxa"/>
          <w:tblLook w:val="04A0"/>
        </w:tblPrEx>
        <w:tc>
          <w:tcPr>
            <w:tcW w:w="4998" w:type="dxa"/>
          </w:tcPr>
          <w:p w:rsidR="005C6E47" w:rsidRPr="00650FF1" w:rsidP="002F2972">
            <w:r w:rsidRPr="00650FF1">
              <w:rPr>
                <w:lang w:val="es-ES_tradnl"/>
              </w:rPr>
              <w:t xml:space="preserve">Total 2013-2017 (sin </w:t>
            </w:r>
            <w:r w:rsidRPr="00650FF1">
              <w:rPr>
                <w:lang w:val="es-ES_tradnl"/>
              </w:rPr>
              <w:t>acc</w:t>
            </w:r>
            <w:r w:rsidRPr="00650FF1">
              <w:rPr>
                <w:lang w:val="es-ES_tradnl"/>
              </w:rPr>
              <w:t xml:space="preserve">. </w:t>
            </w:r>
            <w:r w:rsidRPr="00650FF1">
              <w:rPr>
                <w:lang w:val="es-ES_tradnl"/>
              </w:rPr>
              <w:t>Angrois</w:t>
            </w:r>
            <w:r w:rsidRPr="00650FF1">
              <w:rPr>
                <w:lang w:val="es-ES_tradnl"/>
              </w:rPr>
              <w:t>)</w:t>
            </w:r>
          </w:p>
        </w:tc>
        <w:tc>
          <w:tcPr>
            <w:tcW w:w="4998" w:type="dxa"/>
          </w:tcPr>
          <w:p w:rsidR="005C6E47" w:rsidRPr="00650FF1" w:rsidP="002F2972">
            <w:r w:rsidRPr="00650FF1">
              <w:t xml:space="preserve">Total 2013-2017 (without </w:t>
            </w:r>
            <w:r w:rsidRPr="00650FF1">
              <w:t>Angrois</w:t>
            </w:r>
            <w:r w:rsidRPr="00650FF1">
              <w:t xml:space="preserve"> acc.)</w:t>
            </w:r>
          </w:p>
        </w:tc>
      </w:tr>
      <w:tr w:rsidTr="002F2972">
        <w:tblPrEx>
          <w:tblW w:w="9996" w:type="dxa"/>
          <w:tblLook w:val="04A0"/>
        </w:tblPrEx>
        <w:tc>
          <w:tcPr>
            <w:tcW w:w="4998" w:type="dxa"/>
          </w:tcPr>
          <w:p w:rsidR="005C6E47" w:rsidRPr="00650FF1" w:rsidP="002F2972">
            <w:r w:rsidRPr="00650FF1">
              <w:rPr>
                <w:lang w:val="es-ES_tradnl"/>
              </w:rPr>
              <w:t>Colisión con obstáculos</w:t>
            </w:r>
          </w:p>
        </w:tc>
        <w:tc>
          <w:tcPr>
            <w:tcW w:w="4998" w:type="dxa"/>
          </w:tcPr>
          <w:p w:rsidR="005C6E47" w:rsidRPr="00650FF1" w:rsidP="002F2972">
            <w:r w:rsidRPr="00650FF1">
              <w:t>Collision with an obstacle</w:t>
            </w:r>
          </w:p>
        </w:tc>
      </w:tr>
      <w:tr w:rsidTr="002F2972">
        <w:tblPrEx>
          <w:tblW w:w="9996" w:type="dxa"/>
          <w:tblLook w:val="04A0"/>
        </w:tblPrEx>
        <w:tc>
          <w:tcPr>
            <w:tcW w:w="4998" w:type="dxa"/>
          </w:tcPr>
          <w:p w:rsidR="005C6E47" w:rsidRPr="00650FF1" w:rsidP="002F2972">
            <w:r w:rsidRPr="00650FF1">
              <w:rPr>
                <w:lang w:val="es-ES_tradnl"/>
              </w:rPr>
              <w:t>Descarrilamiento</w:t>
            </w:r>
          </w:p>
        </w:tc>
        <w:tc>
          <w:tcPr>
            <w:tcW w:w="4998" w:type="dxa"/>
          </w:tcPr>
          <w:p w:rsidR="005C6E47" w:rsidRPr="00650FF1" w:rsidP="002F2972">
            <w:r w:rsidRPr="00650FF1">
              <w:t>Derailment</w:t>
            </w:r>
          </w:p>
        </w:tc>
      </w:tr>
      <w:tr w:rsidTr="002F2972">
        <w:tblPrEx>
          <w:tblW w:w="9996" w:type="dxa"/>
          <w:tblLook w:val="04A0"/>
        </w:tblPrEx>
        <w:tc>
          <w:tcPr>
            <w:tcW w:w="4998" w:type="dxa"/>
          </w:tcPr>
          <w:p w:rsidR="005C6E47" w:rsidRPr="00650FF1" w:rsidP="002F2972">
            <w:r w:rsidRPr="00650FF1">
              <w:rPr>
                <w:lang w:val="es-ES_tradnl"/>
              </w:rPr>
              <w:t>Paso a nivel</w:t>
            </w:r>
          </w:p>
        </w:tc>
        <w:tc>
          <w:tcPr>
            <w:tcW w:w="4998" w:type="dxa"/>
          </w:tcPr>
          <w:p w:rsidR="005C6E47" w:rsidRPr="00650FF1" w:rsidP="002F2972">
            <w:r w:rsidRPr="00650FF1">
              <w:t>Level crossings</w:t>
            </w:r>
          </w:p>
        </w:tc>
      </w:tr>
      <w:tr w:rsidTr="002F2972">
        <w:tblPrEx>
          <w:tblW w:w="9996" w:type="dxa"/>
          <w:tblLook w:val="04A0"/>
        </w:tblPrEx>
        <w:tc>
          <w:tcPr>
            <w:tcW w:w="4998" w:type="dxa"/>
          </w:tcPr>
          <w:p w:rsidR="005C6E47" w:rsidRPr="00650FF1" w:rsidP="002F2972">
            <w:r w:rsidRPr="00650FF1">
              <w:rPr>
                <w:lang w:val="es-ES_tradnl"/>
              </w:rPr>
              <w:t>Otros accidentes</w:t>
            </w:r>
          </w:p>
        </w:tc>
        <w:tc>
          <w:tcPr>
            <w:tcW w:w="4998" w:type="dxa"/>
          </w:tcPr>
          <w:p w:rsidR="005C6E47" w:rsidRPr="00650FF1" w:rsidP="002F2972">
            <w:r w:rsidRPr="00650FF1">
              <w:t>Other accidents</w:t>
            </w:r>
          </w:p>
        </w:tc>
      </w:tr>
    </w:tbl>
    <w:p w:rsidR="005C6E47" w:rsidRPr="00650FF1" w:rsidP="005C6E47">
      <w:pPr>
        <w:rPr>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Taking into account the classification of victims, in 2017, taking the period 2013-2017 as a reference, a falling trend may be observed in the number of victims in the category ‘Trespassers’. Conversely, in 2017 there was an increase in the number of fatalities in accidents at level crossings. The levels for other categories of victims are relatively stable.</w:t>
      </w:r>
    </w:p>
    <w:p w:rsidR="005C6E47" w:rsidRPr="00650FF1" w:rsidP="005C6E47">
      <w:pPr>
        <w:pStyle w:val="StandardText"/>
        <w:spacing w:before="240" w:after="120" w:line="240" w:lineRule="auto"/>
        <w:rPr>
          <w:rFonts w:ascii="Calibri" w:hAnsi="Calibri"/>
        </w:rPr>
      </w:pPr>
      <w:r w:rsidRPr="00650FF1">
        <w:rPr>
          <w:rFonts w:ascii="Calibri" w:hAnsi="Calibri"/>
        </w:rPr>
        <w:t>In 2017, the most serious accidents as regards MGHP were four accidents at level crossings, each involving two fatalities:</w:t>
      </w:r>
    </w:p>
    <w:p w:rsidR="005C6E47" w:rsidRPr="00650FF1" w:rsidP="005C6E47">
      <w:pPr>
        <w:pStyle w:val="StandardText"/>
        <w:numPr>
          <w:ilvl w:val="0"/>
          <w:numId w:val="24"/>
        </w:numPr>
        <w:spacing w:before="240" w:after="120" w:line="240" w:lineRule="auto"/>
        <w:rPr>
          <w:rFonts w:ascii="Calibri" w:hAnsi="Calibri"/>
        </w:rPr>
      </w:pPr>
      <w:r w:rsidRPr="00650FF1">
        <w:rPr>
          <w:rFonts w:ascii="Calibri" w:hAnsi="Calibri"/>
        </w:rPr>
        <w:t xml:space="preserve">Accident at type-C level crossing (protection with SBE semi-barriers). Collision with a road vehicle passing through the barriers when </w:t>
      </w:r>
      <w:r w:rsidRPr="00650FF1">
        <w:rPr>
          <w:rFonts w:ascii="Calibri" w:hAnsi="Calibri"/>
        </w:rPr>
        <w:t>closed,</w:t>
      </w:r>
      <w:r w:rsidRPr="00650FF1">
        <w:rPr>
          <w:rFonts w:ascii="Calibri" w:hAnsi="Calibri"/>
        </w:rPr>
        <w:t xml:space="preserve"> occurred on 07/02/2017 in </w:t>
      </w:r>
      <w:r w:rsidRPr="00650FF1">
        <w:rPr>
          <w:rFonts w:ascii="Calibri" w:hAnsi="Calibri"/>
        </w:rPr>
        <w:t>Monzón</w:t>
      </w:r>
      <w:r w:rsidRPr="00650FF1">
        <w:rPr>
          <w:rFonts w:ascii="Calibri" w:hAnsi="Calibri"/>
        </w:rPr>
        <w:t xml:space="preserve"> de Campos, km 308+906 of line 160, Santander to Palencia.</w:t>
      </w:r>
    </w:p>
    <w:p w:rsidR="005C6E47" w:rsidRPr="00650FF1" w:rsidP="005C6E47">
      <w:pPr>
        <w:pStyle w:val="StandardText"/>
        <w:numPr>
          <w:ilvl w:val="0"/>
          <w:numId w:val="24"/>
        </w:numPr>
        <w:spacing w:before="240" w:after="120" w:line="240" w:lineRule="auto"/>
        <w:rPr>
          <w:rFonts w:ascii="Calibri" w:hAnsi="Calibri"/>
        </w:rPr>
      </w:pPr>
      <w:r w:rsidRPr="00650FF1">
        <w:rPr>
          <w:rFonts w:ascii="Calibri" w:hAnsi="Calibri"/>
        </w:rPr>
        <w:t xml:space="preserve">Accident at type-A level crossing. Collision with road </w:t>
      </w:r>
      <w:r w:rsidRPr="00650FF1">
        <w:rPr>
          <w:rFonts w:ascii="Calibri" w:hAnsi="Calibri"/>
        </w:rPr>
        <w:t>vehicle,</w:t>
      </w:r>
      <w:r w:rsidRPr="00650FF1">
        <w:rPr>
          <w:rFonts w:ascii="Calibri" w:hAnsi="Calibri"/>
        </w:rPr>
        <w:t xml:space="preserve"> occurred on 14/08/2017 in </w:t>
      </w:r>
      <w:r w:rsidRPr="00650FF1">
        <w:rPr>
          <w:rFonts w:ascii="Calibri" w:hAnsi="Calibri"/>
        </w:rPr>
        <w:t>Almagro</w:t>
      </w:r>
      <w:r w:rsidRPr="00650FF1">
        <w:rPr>
          <w:rFonts w:ascii="Calibri" w:hAnsi="Calibri"/>
        </w:rPr>
        <w:t xml:space="preserve">, km 237+810 of line 522, </w:t>
      </w:r>
      <w:r w:rsidRPr="00650FF1">
        <w:rPr>
          <w:rFonts w:ascii="Calibri" w:hAnsi="Calibri"/>
        </w:rPr>
        <w:t>Manzanares</w:t>
      </w:r>
      <w:r w:rsidRPr="00650FF1">
        <w:rPr>
          <w:rFonts w:ascii="Calibri" w:hAnsi="Calibri"/>
        </w:rPr>
        <w:t xml:space="preserve"> to Ciudad Real.</w:t>
      </w:r>
    </w:p>
    <w:p w:rsidR="005C6E47" w:rsidRPr="00650FF1" w:rsidP="005C6E47">
      <w:pPr>
        <w:pStyle w:val="StandardText"/>
        <w:numPr>
          <w:ilvl w:val="0"/>
          <w:numId w:val="24"/>
        </w:numPr>
        <w:spacing w:before="240" w:after="120" w:line="240" w:lineRule="auto"/>
        <w:rPr>
          <w:rFonts w:ascii="Calibri" w:hAnsi="Calibri"/>
        </w:rPr>
      </w:pPr>
      <w:r w:rsidRPr="00650FF1">
        <w:rPr>
          <w:rFonts w:ascii="Calibri" w:hAnsi="Calibri"/>
        </w:rPr>
        <w:t xml:space="preserve">Accident at type-A level crossing. Collision with road </w:t>
      </w:r>
      <w:r w:rsidRPr="00650FF1">
        <w:rPr>
          <w:rFonts w:ascii="Calibri" w:hAnsi="Calibri"/>
        </w:rPr>
        <w:t>vehicle,</w:t>
      </w:r>
      <w:r w:rsidRPr="00650FF1">
        <w:rPr>
          <w:rFonts w:ascii="Calibri" w:hAnsi="Calibri"/>
        </w:rPr>
        <w:t xml:space="preserve"> occurred on 22/10/2017 in </w:t>
      </w:r>
      <w:r w:rsidRPr="00650FF1">
        <w:rPr>
          <w:rFonts w:ascii="Calibri" w:hAnsi="Calibri"/>
        </w:rPr>
        <w:t>Huéneja</w:t>
      </w:r>
      <w:r w:rsidRPr="00650FF1">
        <w:rPr>
          <w:rFonts w:ascii="Calibri" w:hAnsi="Calibri"/>
        </w:rPr>
        <w:t xml:space="preserve">, km 169+528 of line 410, Linares to </w:t>
      </w:r>
      <w:r w:rsidRPr="00650FF1">
        <w:rPr>
          <w:rFonts w:ascii="Calibri" w:hAnsi="Calibri"/>
        </w:rPr>
        <w:t>Baeza</w:t>
      </w:r>
      <w:r w:rsidRPr="00650FF1">
        <w:rPr>
          <w:rFonts w:ascii="Calibri" w:hAnsi="Calibri"/>
        </w:rPr>
        <w:t>.</w:t>
      </w:r>
    </w:p>
    <w:p w:rsidR="005C6E47" w:rsidRPr="00650FF1" w:rsidP="005C6E47">
      <w:pPr>
        <w:pStyle w:val="StandardText"/>
        <w:numPr>
          <w:ilvl w:val="0"/>
          <w:numId w:val="24"/>
        </w:numPr>
        <w:spacing w:before="240" w:after="120" w:line="240" w:lineRule="auto"/>
        <w:rPr>
          <w:rFonts w:ascii="Calibri" w:hAnsi="Calibri"/>
        </w:rPr>
      </w:pPr>
      <w:r w:rsidRPr="00650FF1">
        <w:rPr>
          <w:rFonts w:ascii="Calibri" w:hAnsi="Calibri"/>
        </w:rPr>
        <w:t xml:space="preserve">Accident at type-A level crossing. Collision with road </w:t>
      </w:r>
      <w:r w:rsidRPr="00650FF1">
        <w:rPr>
          <w:rFonts w:ascii="Calibri" w:hAnsi="Calibri"/>
        </w:rPr>
        <w:t>vehicle,</w:t>
      </w:r>
      <w:r w:rsidRPr="00650FF1">
        <w:rPr>
          <w:rFonts w:ascii="Calibri" w:hAnsi="Calibri"/>
        </w:rPr>
        <w:t xml:space="preserve"> occurred on 16/11/2017 in </w:t>
      </w:r>
      <w:r w:rsidRPr="00650FF1">
        <w:rPr>
          <w:rFonts w:ascii="Calibri" w:hAnsi="Calibri"/>
        </w:rPr>
        <w:t>Almagro</w:t>
      </w:r>
      <w:r w:rsidRPr="00650FF1">
        <w:rPr>
          <w:rFonts w:ascii="Calibri" w:hAnsi="Calibri"/>
        </w:rPr>
        <w:t xml:space="preserve">, km 237+810 of line 522, </w:t>
      </w:r>
      <w:r w:rsidRPr="00650FF1">
        <w:rPr>
          <w:rFonts w:ascii="Calibri" w:hAnsi="Calibri"/>
        </w:rPr>
        <w:t>Manzanares</w:t>
      </w:r>
      <w:r w:rsidRPr="00650FF1">
        <w:rPr>
          <w:rFonts w:ascii="Calibri" w:hAnsi="Calibri"/>
        </w:rPr>
        <w:t xml:space="preserve"> to Ciudad Real.</w:t>
      </w:r>
    </w:p>
    <w:p w:rsidR="005C6E47" w:rsidRPr="00650FF1" w:rsidP="005C6E47">
      <w:pPr>
        <w:pStyle w:val="StandardText"/>
        <w:spacing w:before="240" w:after="120" w:line="240" w:lineRule="auto"/>
        <w:rPr>
          <w:rFonts w:ascii="Calibri" w:hAnsi="Calibri"/>
          <w:color w:val="FF0000"/>
          <w:lang w:val="es-ES_tradnl"/>
        </w:rPr>
      </w:pPr>
    </w:p>
    <w:p w:rsidR="005C6E47" w:rsidRPr="00650FF1" w:rsidP="005C6E47">
      <w:pPr>
        <w:pStyle w:val="StandardText"/>
        <w:keepNext/>
        <w:spacing w:before="240" w:after="120" w:line="240" w:lineRule="auto"/>
      </w:pPr>
      <w:r w:rsidRPr="00650FF1">
        <w:rPr>
          <w:noProof/>
          <w:lang w:val="fr-FR" w:eastAsia="fr-FR"/>
        </w:rPr>
        <w:drawing>
          <wp:inline distT="0" distB="0" distL="0" distR="0">
            <wp:extent cx="6210300" cy="176141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64607" name="Picture 17"/>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1761412"/>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10</w:t>
      </w:r>
      <w:r w:rsidRPr="00650FF1">
        <w:fldChar w:fldCharType="end"/>
      </w:r>
      <w:r w:rsidRPr="00650FF1">
        <w:t>. Number of fatalities (excluding suicides) according to type of user</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Fallecidos</w:t>
            </w:r>
          </w:p>
        </w:tc>
        <w:tc>
          <w:tcPr>
            <w:tcW w:w="4998" w:type="dxa"/>
          </w:tcPr>
          <w:p w:rsidR="005C6E47" w:rsidRPr="00650FF1" w:rsidP="002F2972">
            <w:r w:rsidRPr="00650FF1">
              <w:t>Fatalities</w:t>
            </w:r>
          </w:p>
        </w:tc>
      </w:tr>
      <w:tr w:rsidTr="002F2972">
        <w:tblPrEx>
          <w:tblW w:w="9996" w:type="dxa"/>
          <w:tblLook w:val="04A0"/>
        </w:tblPrEx>
        <w:tc>
          <w:tcPr>
            <w:tcW w:w="4998" w:type="dxa"/>
          </w:tcPr>
          <w:p w:rsidR="005C6E47" w:rsidRPr="00650FF1" w:rsidP="002F2972">
            <w:r w:rsidRPr="00650FF1">
              <w:rPr>
                <w:lang w:val="es-ES_tradnl"/>
              </w:rPr>
              <w:t>Empleados</w:t>
            </w:r>
          </w:p>
        </w:tc>
        <w:tc>
          <w:tcPr>
            <w:tcW w:w="4998" w:type="dxa"/>
          </w:tcPr>
          <w:p w:rsidR="005C6E47" w:rsidRPr="00650FF1" w:rsidP="002F2972">
            <w:r w:rsidRPr="00650FF1">
              <w:t>Employees</w:t>
            </w:r>
          </w:p>
        </w:tc>
      </w:tr>
      <w:tr w:rsidTr="002F2972">
        <w:tblPrEx>
          <w:tblW w:w="9996" w:type="dxa"/>
          <w:tblLook w:val="04A0"/>
        </w:tblPrEx>
        <w:tc>
          <w:tcPr>
            <w:tcW w:w="4998" w:type="dxa"/>
          </w:tcPr>
          <w:p w:rsidR="005C6E47" w:rsidRPr="00650FF1" w:rsidP="002F2972">
            <w:r w:rsidRPr="00650FF1">
              <w:rPr>
                <w:lang w:val="es-ES_tradnl"/>
              </w:rPr>
              <w:t>Viajeros</w:t>
            </w:r>
          </w:p>
        </w:tc>
        <w:tc>
          <w:tcPr>
            <w:tcW w:w="4998" w:type="dxa"/>
          </w:tcPr>
          <w:p w:rsidR="005C6E47" w:rsidRPr="00650FF1" w:rsidP="002F2972">
            <w:r w:rsidRPr="00650FF1">
              <w:t>Passengers</w:t>
            </w:r>
          </w:p>
        </w:tc>
      </w:tr>
      <w:tr w:rsidTr="002F2972">
        <w:tblPrEx>
          <w:tblW w:w="9996" w:type="dxa"/>
          <w:tblLook w:val="04A0"/>
        </w:tblPrEx>
        <w:tc>
          <w:tcPr>
            <w:tcW w:w="4998" w:type="dxa"/>
          </w:tcPr>
          <w:p w:rsidR="005C6E47" w:rsidRPr="00650FF1" w:rsidP="002F2972">
            <w:r w:rsidRPr="00650FF1">
              <w:rPr>
                <w:lang w:val="es-ES_tradnl"/>
              </w:rPr>
              <w:t>Usuarios pasos a nivel</w:t>
            </w:r>
          </w:p>
        </w:tc>
        <w:tc>
          <w:tcPr>
            <w:tcW w:w="4998" w:type="dxa"/>
          </w:tcPr>
          <w:p w:rsidR="005C6E47" w:rsidRPr="00650FF1" w:rsidP="002F2972">
            <w:r w:rsidRPr="00650FF1">
              <w:t>Level crossing users</w:t>
            </w:r>
          </w:p>
        </w:tc>
      </w:tr>
      <w:tr w:rsidTr="002F2972">
        <w:tblPrEx>
          <w:tblW w:w="9996" w:type="dxa"/>
          <w:tblLook w:val="04A0"/>
        </w:tblPrEx>
        <w:tc>
          <w:tcPr>
            <w:tcW w:w="4998" w:type="dxa"/>
          </w:tcPr>
          <w:p w:rsidR="005C6E47" w:rsidRPr="00650FF1" w:rsidP="002F2972">
            <w:r w:rsidRPr="00650FF1">
              <w:rPr>
                <w:lang w:val="es-ES_tradnl"/>
              </w:rPr>
              <w:t>Intrusos</w:t>
            </w:r>
          </w:p>
        </w:tc>
        <w:tc>
          <w:tcPr>
            <w:tcW w:w="4998" w:type="dxa"/>
          </w:tcPr>
          <w:p w:rsidR="005C6E47" w:rsidRPr="00650FF1" w:rsidP="002F2972">
            <w:r w:rsidRPr="00650FF1">
              <w:t>Trespassers</w:t>
            </w:r>
          </w:p>
        </w:tc>
      </w:tr>
      <w:tr w:rsidTr="002F2972">
        <w:tblPrEx>
          <w:tblW w:w="9996" w:type="dxa"/>
          <w:tblLook w:val="04A0"/>
        </w:tblPrEx>
        <w:tc>
          <w:tcPr>
            <w:tcW w:w="4998" w:type="dxa"/>
          </w:tcPr>
          <w:p w:rsidR="005C6E47" w:rsidRPr="00650FF1" w:rsidP="002F2972">
            <w:r w:rsidRPr="00650FF1">
              <w:rPr>
                <w:lang w:val="es-ES_tradnl"/>
              </w:rPr>
              <w:t>Otros en andén</w:t>
            </w:r>
          </w:p>
        </w:tc>
        <w:tc>
          <w:tcPr>
            <w:tcW w:w="4998" w:type="dxa"/>
          </w:tcPr>
          <w:p w:rsidR="005C6E47" w:rsidRPr="00650FF1" w:rsidP="002F2972">
            <w:r w:rsidRPr="00650FF1">
              <w:t>Others on platform</w:t>
            </w:r>
          </w:p>
        </w:tc>
      </w:tr>
      <w:tr w:rsidTr="002F2972">
        <w:tblPrEx>
          <w:tblW w:w="9996" w:type="dxa"/>
          <w:tblLook w:val="04A0"/>
        </w:tblPrEx>
        <w:tc>
          <w:tcPr>
            <w:tcW w:w="4998" w:type="dxa"/>
          </w:tcPr>
          <w:p w:rsidR="005C6E47" w:rsidRPr="00650FF1" w:rsidP="002F2972">
            <w:r w:rsidRPr="00650FF1">
              <w:rPr>
                <w:lang w:val="es-ES_tradnl"/>
              </w:rPr>
              <w:t>Otros fuera de andén</w:t>
            </w:r>
          </w:p>
        </w:tc>
        <w:tc>
          <w:tcPr>
            <w:tcW w:w="4998" w:type="dxa"/>
          </w:tcPr>
          <w:p w:rsidR="005C6E47" w:rsidRPr="00650FF1" w:rsidP="002F2972">
            <w:r w:rsidRPr="00650FF1">
              <w:t>Others away from platform</w:t>
            </w:r>
          </w:p>
        </w:tc>
      </w:tr>
      <w:tr w:rsidTr="002F2972">
        <w:tblPrEx>
          <w:tblW w:w="9996" w:type="dxa"/>
          <w:tblLook w:val="04A0"/>
        </w:tblPrEx>
        <w:tc>
          <w:tcPr>
            <w:tcW w:w="4998" w:type="dxa"/>
          </w:tcPr>
          <w:p w:rsidR="005C6E47" w:rsidRPr="00650FF1" w:rsidP="002F2972">
            <w:r w:rsidRPr="00650FF1">
              <w:rPr>
                <w:lang w:val="es-ES_tradnl"/>
              </w:rPr>
              <w:t>Total</w:t>
            </w:r>
          </w:p>
        </w:tc>
        <w:tc>
          <w:tcPr>
            <w:tcW w:w="4998" w:type="dxa"/>
          </w:tcPr>
          <w:p w:rsidR="005C6E47" w:rsidRPr="00650FF1" w:rsidP="002F2972">
            <w:r w:rsidRPr="00650FF1">
              <w:t>Total</w:t>
            </w:r>
          </w:p>
        </w:tc>
      </w:tr>
    </w:tbl>
    <w:p w:rsidR="005C6E47" w:rsidRPr="00650FF1" w:rsidP="005C6E47">
      <w:pPr>
        <w:rPr>
          <w:lang w:val="es-ES_tradnl"/>
        </w:rPr>
      </w:pPr>
    </w:p>
    <w:p w:rsidR="005C6E47" w:rsidRPr="00650FF1" w:rsidP="005C6E47">
      <w:pPr>
        <w:pStyle w:val="StandardText"/>
        <w:keepNext/>
        <w:spacing w:before="240" w:after="120" w:line="240" w:lineRule="auto"/>
      </w:pPr>
      <w:r w:rsidRPr="00650FF1">
        <w:rPr>
          <w:noProof/>
          <w:lang w:val="fr-FR" w:eastAsia="fr-FR"/>
        </w:rPr>
        <w:drawing>
          <wp:inline distT="0" distB="0" distL="0" distR="0">
            <wp:extent cx="6210300" cy="1767861"/>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83012" name="Picture 18"/>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1767861"/>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11</w:t>
      </w:r>
      <w:r w:rsidRPr="00650FF1">
        <w:fldChar w:fldCharType="end"/>
      </w:r>
      <w:r w:rsidRPr="00650FF1">
        <w:t>. Number of serious injuries (excluding suicide attempts) according to type of user</w:t>
      </w:r>
    </w:p>
    <w:tbl>
      <w:tblPr>
        <w:tblStyle w:val="TableGrid"/>
        <w:tblW w:w="0" w:type="auto"/>
        <w:tblLook w:val="04A0"/>
      </w:tblPr>
      <w:tblGrid>
        <w:gridCol w:w="4884"/>
        <w:gridCol w:w="4886"/>
      </w:tblGrid>
      <w:tr w:rsidTr="002F2972">
        <w:tblPrEx>
          <w:tblW w:w="0" w:type="auto"/>
          <w:tblLook w:val="04A0"/>
        </w:tblPrEx>
        <w:tc>
          <w:tcPr>
            <w:tcW w:w="4998" w:type="dxa"/>
          </w:tcPr>
          <w:p w:rsidR="005C6E47" w:rsidRPr="00650FF1" w:rsidP="002F2972">
            <w:r w:rsidRPr="00650FF1">
              <w:rPr>
                <w:lang w:val="es-ES_tradnl"/>
              </w:rPr>
              <w:t>Heridos graves</w:t>
            </w:r>
          </w:p>
        </w:tc>
        <w:tc>
          <w:tcPr>
            <w:tcW w:w="4998" w:type="dxa"/>
          </w:tcPr>
          <w:p w:rsidR="005C6E47" w:rsidRPr="00650FF1" w:rsidP="002F2972">
            <w:r w:rsidRPr="00650FF1">
              <w:t>Serious injuries</w:t>
            </w:r>
          </w:p>
        </w:tc>
      </w:tr>
      <w:tr w:rsidTr="002F2972">
        <w:tblPrEx>
          <w:tblW w:w="0" w:type="auto"/>
          <w:tblLook w:val="04A0"/>
        </w:tblPrEx>
        <w:tc>
          <w:tcPr>
            <w:tcW w:w="4998" w:type="dxa"/>
          </w:tcPr>
          <w:p w:rsidR="005C6E47" w:rsidRPr="00650FF1" w:rsidP="002F2972">
            <w:r w:rsidRPr="00650FF1">
              <w:rPr>
                <w:lang w:val="es-ES_tradnl"/>
              </w:rPr>
              <w:t>Empleados</w:t>
            </w:r>
          </w:p>
        </w:tc>
        <w:tc>
          <w:tcPr>
            <w:tcW w:w="4998" w:type="dxa"/>
          </w:tcPr>
          <w:p w:rsidR="005C6E47" w:rsidRPr="00650FF1" w:rsidP="002F2972">
            <w:r w:rsidRPr="00650FF1">
              <w:t>Employees</w:t>
            </w:r>
          </w:p>
        </w:tc>
      </w:tr>
      <w:tr w:rsidTr="002F2972">
        <w:tblPrEx>
          <w:tblW w:w="0" w:type="auto"/>
          <w:tblLook w:val="04A0"/>
        </w:tblPrEx>
        <w:tc>
          <w:tcPr>
            <w:tcW w:w="4998" w:type="dxa"/>
          </w:tcPr>
          <w:p w:rsidR="005C6E47" w:rsidRPr="00650FF1" w:rsidP="002F2972">
            <w:r w:rsidRPr="00650FF1">
              <w:rPr>
                <w:lang w:val="es-ES_tradnl"/>
              </w:rPr>
              <w:t>Viajeros</w:t>
            </w:r>
          </w:p>
        </w:tc>
        <w:tc>
          <w:tcPr>
            <w:tcW w:w="4998" w:type="dxa"/>
          </w:tcPr>
          <w:p w:rsidR="005C6E47" w:rsidRPr="00650FF1" w:rsidP="002F2972">
            <w:r w:rsidRPr="00650FF1">
              <w:t>Passengers</w:t>
            </w:r>
          </w:p>
        </w:tc>
      </w:tr>
      <w:tr w:rsidTr="002F2972">
        <w:tblPrEx>
          <w:tblW w:w="0" w:type="auto"/>
          <w:tblLook w:val="04A0"/>
        </w:tblPrEx>
        <w:tc>
          <w:tcPr>
            <w:tcW w:w="4998" w:type="dxa"/>
          </w:tcPr>
          <w:p w:rsidR="005C6E47" w:rsidRPr="00650FF1" w:rsidP="002F2972">
            <w:r w:rsidRPr="00650FF1">
              <w:rPr>
                <w:lang w:val="es-ES_tradnl"/>
              </w:rPr>
              <w:t>Usuarios pasos a nivel</w:t>
            </w:r>
          </w:p>
        </w:tc>
        <w:tc>
          <w:tcPr>
            <w:tcW w:w="4998" w:type="dxa"/>
          </w:tcPr>
          <w:p w:rsidR="005C6E47" w:rsidRPr="00650FF1" w:rsidP="002F2972">
            <w:r w:rsidRPr="00650FF1">
              <w:t>Level crossing users</w:t>
            </w:r>
          </w:p>
        </w:tc>
      </w:tr>
      <w:tr w:rsidTr="002F2972">
        <w:tblPrEx>
          <w:tblW w:w="0" w:type="auto"/>
          <w:tblLook w:val="04A0"/>
        </w:tblPrEx>
        <w:tc>
          <w:tcPr>
            <w:tcW w:w="4998" w:type="dxa"/>
          </w:tcPr>
          <w:p w:rsidR="005C6E47" w:rsidRPr="00650FF1" w:rsidP="002F2972">
            <w:r w:rsidRPr="00650FF1">
              <w:rPr>
                <w:lang w:val="es-ES_tradnl"/>
              </w:rPr>
              <w:t>Intrusos</w:t>
            </w:r>
          </w:p>
        </w:tc>
        <w:tc>
          <w:tcPr>
            <w:tcW w:w="4998" w:type="dxa"/>
          </w:tcPr>
          <w:p w:rsidR="005C6E47" w:rsidRPr="00650FF1" w:rsidP="002F2972">
            <w:r w:rsidRPr="00650FF1">
              <w:t>Trespassers</w:t>
            </w:r>
          </w:p>
        </w:tc>
      </w:tr>
      <w:tr w:rsidTr="002F2972">
        <w:tblPrEx>
          <w:tblW w:w="0" w:type="auto"/>
          <w:tblLook w:val="04A0"/>
        </w:tblPrEx>
        <w:tc>
          <w:tcPr>
            <w:tcW w:w="4998" w:type="dxa"/>
          </w:tcPr>
          <w:p w:rsidR="005C6E47" w:rsidRPr="00650FF1" w:rsidP="002F2972">
            <w:r w:rsidRPr="00650FF1">
              <w:rPr>
                <w:lang w:val="es-ES_tradnl"/>
              </w:rPr>
              <w:t>Otros en andén</w:t>
            </w:r>
          </w:p>
        </w:tc>
        <w:tc>
          <w:tcPr>
            <w:tcW w:w="4998" w:type="dxa"/>
          </w:tcPr>
          <w:p w:rsidR="005C6E47" w:rsidRPr="00650FF1" w:rsidP="002F2972">
            <w:r w:rsidRPr="00650FF1">
              <w:t>Others on platform</w:t>
            </w:r>
          </w:p>
        </w:tc>
      </w:tr>
      <w:tr w:rsidTr="002F2972">
        <w:tblPrEx>
          <w:tblW w:w="0" w:type="auto"/>
          <w:tblLook w:val="04A0"/>
        </w:tblPrEx>
        <w:tc>
          <w:tcPr>
            <w:tcW w:w="4998" w:type="dxa"/>
          </w:tcPr>
          <w:p w:rsidR="005C6E47" w:rsidRPr="00650FF1" w:rsidP="002F2972">
            <w:r w:rsidRPr="00650FF1">
              <w:rPr>
                <w:lang w:val="es-ES_tradnl"/>
              </w:rPr>
              <w:t>Otros fuera de andén</w:t>
            </w:r>
          </w:p>
        </w:tc>
        <w:tc>
          <w:tcPr>
            <w:tcW w:w="4998" w:type="dxa"/>
          </w:tcPr>
          <w:p w:rsidR="005C6E47" w:rsidRPr="00650FF1" w:rsidP="002F2972">
            <w:r w:rsidRPr="00650FF1">
              <w:t>Others away from platform</w:t>
            </w:r>
          </w:p>
        </w:tc>
      </w:tr>
      <w:tr w:rsidTr="002F2972">
        <w:tblPrEx>
          <w:tblW w:w="0" w:type="auto"/>
          <w:tblLook w:val="04A0"/>
        </w:tblPrEx>
        <w:tc>
          <w:tcPr>
            <w:tcW w:w="4998" w:type="dxa"/>
          </w:tcPr>
          <w:p w:rsidR="005C6E47" w:rsidRPr="00650FF1" w:rsidP="002F2972">
            <w:r w:rsidRPr="00650FF1">
              <w:rPr>
                <w:lang w:val="es-ES_tradnl"/>
              </w:rPr>
              <w:t>Total</w:t>
            </w:r>
          </w:p>
        </w:tc>
        <w:tc>
          <w:tcPr>
            <w:tcW w:w="4998" w:type="dxa"/>
          </w:tcPr>
          <w:p w:rsidR="005C6E47" w:rsidRPr="00650FF1" w:rsidP="002F2972">
            <w:r w:rsidRPr="00650FF1">
              <w:t>Total</w:t>
            </w:r>
          </w:p>
        </w:tc>
      </w:tr>
    </w:tbl>
    <w:p w:rsidR="005C6E47" w:rsidRPr="00650FF1" w:rsidP="005C6E47">
      <w:pPr>
        <w:rPr>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 xml:space="preserve">The number of deaths of trespassers and </w:t>
      </w:r>
      <w:r w:rsidRPr="00650FF1">
        <w:rPr>
          <w:rFonts w:ascii="Calibri" w:hAnsi="Calibri"/>
        </w:rPr>
        <w:t>as a result</w:t>
      </w:r>
      <w:r w:rsidRPr="00650FF1">
        <w:rPr>
          <w:rFonts w:ascii="Calibri" w:hAnsi="Calibri"/>
        </w:rPr>
        <w:t xml:space="preserve"> of suicide shows a falling trend for the period from 2007 to 2017. Given that events of this kind are among the most common on the Spanish network, the actions to improve enclosures, remove uncontrolled points from lines and [protect] crossings between platforms may have succeeded, although the data seem to show that new measures are needed to give continued impetus to the positive trend.</w:t>
      </w:r>
    </w:p>
    <w:p w:rsidR="005C6E47" w:rsidRPr="00650FF1" w:rsidP="005C6E47">
      <w:pPr>
        <w:pStyle w:val="StandardText"/>
        <w:keepNext/>
        <w:spacing w:before="240" w:after="120" w:line="240" w:lineRule="auto"/>
        <w:jc w:val="center"/>
        <w:rPr>
          <w:lang w:val="es-ES_tradnl"/>
        </w:rPr>
      </w:pPr>
    </w:p>
    <w:p w:rsidR="005C6E47" w:rsidRPr="00650FF1" w:rsidP="005C6E47">
      <w:pPr>
        <w:pStyle w:val="StandardText"/>
        <w:keepNext/>
        <w:spacing w:before="240" w:after="120" w:line="240" w:lineRule="auto"/>
        <w:jc w:val="center"/>
      </w:pPr>
      <w:r w:rsidRPr="00650FF1">
        <w:rPr>
          <w:noProof/>
          <w:lang w:val="fr-FR" w:eastAsia="fr-FR"/>
        </w:rPr>
        <w:drawing>
          <wp:inline distT="0" distB="0" distL="0" distR="0">
            <wp:extent cx="6210300" cy="2035474"/>
            <wp:effectExtent l="0" t="0" r="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08784" name="Picture 19"/>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2035474"/>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12</w:t>
      </w:r>
      <w:r w:rsidRPr="00650FF1">
        <w:fldChar w:fldCharType="end"/>
      </w:r>
      <w:r w:rsidRPr="00650FF1">
        <w:t xml:space="preserve">. Death of trespassers and </w:t>
      </w:r>
      <w:r w:rsidRPr="00650FF1">
        <w:t>on account</w:t>
      </w:r>
      <w:r w:rsidRPr="00650FF1">
        <w:t xml:space="preserve"> of suicide in the period 2007-2017</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Intrusos</w:t>
            </w:r>
          </w:p>
        </w:tc>
        <w:tc>
          <w:tcPr>
            <w:tcW w:w="4998" w:type="dxa"/>
          </w:tcPr>
          <w:p w:rsidR="005C6E47" w:rsidRPr="00650FF1" w:rsidP="002F2972">
            <w:r w:rsidRPr="00650FF1">
              <w:t>Trespassers</w:t>
            </w:r>
          </w:p>
        </w:tc>
      </w:tr>
      <w:tr w:rsidTr="002F2972">
        <w:tblPrEx>
          <w:tblW w:w="9996" w:type="dxa"/>
          <w:tblLook w:val="04A0"/>
        </w:tblPrEx>
        <w:tc>
          <w:tcPr>
            <w:tcW w:w="4998" w:type="dxa"/>
          </w:tcPr>
          <w:p w:rsidR="005C6E47" w:rsidRPr="00650FF1" w:rsidP="002F2972">
            <w:r w:rsidRPr="00650FF1">
              <w:rPr>
                <w:lang w:val="es-ES_tradnl"/>
              </w:rPr>
              <w:t>Suicidios</w:t>
            </w:r>
          </w:p>
        </w:tc>
        <w:tc>
          <w:tcPr>
            <w:tcW w:w="4998" w:type="dxa"/>
          </w:tcPr>
          <w:p w:rsidR="005C6E47" w:rsidRPr="00650FF1" w:rsidP="002F2972">
            <w:r w:rsidRPr="00650FF1">
              <w:t>Suicides</w:t>
            </w:r>
          </w:p>
        </w:tc>
      </w:tr>
      <w:tr w:rsidTr="002F2972">
        <w:tblPrEx>
          <w:tblW w:w="9996" w:type="dxa"/>
          <w:tblLook w:val="04A0"/>
        </w:tblPrEx>
        <w:tc>
          <w:tcPr>
            <w:tcW w:w="4998" w:type="dxa"/>
          </w:tcPr>
          <w:p w:rsidR="005C6E47" w:rsidRPr="00650FF1" w:rsidP="002F2972">
            <w:r w:rsidRPr="00650FF1">
              <w:rPr>
                <w:lang w:val="es-ES_tradnl"/>
              </w:rPr>
              <w:t>Polinómica (intrusos)</w:t>
            </w:r>
          </w:p>
        </w:tc>
        <w:tc>
          <w:tcPr>
            <w:tcW w:w="4998" w:type="dxa"/>
          </w:tcPr>
          <w:p w:rsidR="005C6E47" w:rsidRPr="00650FF1" w:rsidP="002F2972">
            <w:r w:rsidRPr="00650FF1">
              <w:t>Polynomial (trespassers)</w:t>
            </w:r>
          </w:p>
        </w:tc>
      </w:tr>
      <w:tr w:rsidTr="002F2972">
        <w:tblPrEx>
          <w:tblW w:w="9996" w:type="dxa"/>
          <w:tblLook w:val="04A0"/>
        </w:tblPrEx>
        <w:tc>
          <w:tcPr>
            <w:tcW w:w="4998" w:type="dxa"/>
          </w:tcPr>
          <w:p w:rsidR="005C6E47" w:rsidRPr="00650FF1" w:rsidP="002F2972">
            <w:r w:rsidRPr="00650FF1">
              <w:rPr>
                <w:lang w:val="es-ES_tradnl"/>
              </w:rPr>
              <w:t>Polinómica (suicidios)</w:t>
            </w:r>
          </w:p>
        </w:tc>
        <w:tc>
          <w:tcPr>
            <w:tcW w:w="4998" w:type="dxa"/>
          </w:tcPr>
          <w:p w:rsidR="005C6E47" w:rsidRPr="00650FF1" w:rsidP="002F2972">
            <w:r w:rsidRPr="00650FF1">
              <w:t>Polynomial (suicides)</w:t>
            </w:r>
          </w:p>
        </w:tc>
      </w:tr>
      <w:tr w:rsidTr="002F2972">
        <w:tblPrEx>
          <w:tblW w:w="9996" w:type="dxa"/>
          <w:tblLook w:val="04A0"/>
        </w:tblPrEx>
        <w:tc>
          <w:tcPr>
            <w:tcW w:w="4998" w:type="dxa"/>
          </w:tcPr>
          <w:p w:rsidR="005C6E47" w:rsidRPr="00650FF1" w:rsidP="002F2972">
            <w:r w:rsidRPr="00650FF1">
              <w:rPr>
                <w:lang w:val="es-ES_tradnl"/>
              </w:rPr>
              <w:t>Número de fallecidos</w:t>
            </w:r>
          </w:p>
        </w:tc>
        <w:tc>
          <w:tcPr>
            <w:tcW w:w="4998" w:type="dxa"/>
          </w:tcPr>
          <w:p w:rsidR="005C6E47" w:rsidRPr="00650FF1" w:rsidP="002F2972">
            <w:r w:rsidRPr="00650FF1">
              <w:t>Number of deaths</w:t>
            </w:r>
          </w:p>
        </w:tc>
      </w:tr>
    </w:tbl>
    <w:p w:rsidR="005C6E47" w:rsidRPr="00650FF1" w:rsidP="005C6E47">
      <w:pPr>
        <w:rPr>
          <w:lang w:val="es-ES_tradnl"/>
        </w:rPr>
      </w:pPr>
    </w:p>
    <w:p w:rsidR="005C6E47" w:rsidRPr="00650FF1" w:rsidP="005C6E47">
      <w:pPr>
        <w:pStyle w:val="StandardText"/>
        <w:keepNext/>
        <w:spacing w:before="240" w:after="120" w:line="240" w:lineRule="auto"/>
        <w:jc w:val="center"/>
        <w:rPr>
          <w:rFonts w:ascii="Calibri" w:hAnsi="Calibri"/>
          <w:color w:val="FF0000"/>
        </w:rPr>
      </w:pPr>
      <w:r w:rsidRPr="00650FF1">
        <w:rPr>
          <w:rFonts w:ascii="Calibri" w:hAnsi="Calibri"/>
          <w:color w:val="FF0000"/>
        </w:rPr>
        <w:t xml:space="preserve"> </w:t>
      </w:r>
      <w:r w:rsidRPr="00650FF1">
        <w:rPr>
          <w:noProof/>
          <w:lang w:val="fr-FR" w:eastAsia="fr-FR"/>
        </w:rPr>
        <w:drawing>
          <wp:inline distT="0" distB="0" distL="0" distR="0">
            <wp:extent cx="6210300" cy="2031036"/>
            <wp:effectExtent l="0" t="0" r="0"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44966" name="Picture 20"/>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2031036"/>
                    </a:xfrm>
                    <a:prstGeom prst="rect">
                      <a:avLst/>
                    </a:prstGeom>
                    <a:noFill/>
                    <a:ln>
                      <a:noFill/>
                    </a:ln>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13</w:t>
      </w:r>
      <w:r w:rsidRPr="00650FF1">
        <w:fldChar w:fldCharType="end"/>
      </w:r>
      <w:r w:rsidRPr="00650FF1">
        <w:t xml:space="preserve">. Death of trespassers and </w:t>
      </w:r>
      <w:r w:rsidRPr="00650FF1">
        <w:t>as a result</w:t>
      </w:r>
      <w:r w:rsidRPr="00650FF1">
        <w:t xml:space="preserve"> of suicide in the period 2007-2017 per million train-km</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Suicidios / Millones de tren.km</w:t>
            </w:r>
          </w:p>
        </w:tc>
        <w:tc>
          <w:tcPr>
            <w:tcW w:w="4998" w:type="dxa"/>
          </w:tcPr>
          <w:p w:rsidR="005C6E47" w:rsidRPr="00650FF1" w:rsidP="002F2972">
            <w:r w:rsidRPr="00650FF1">
              <w:t>Suicides / million train-km</w:t>
            </w:r>
          </w:p>
        </w:tc>
      </w:tr>
      <w:tr w:rsidTr="002F2972">
        <w:tblPrEx>
          <w:tblW w:w="9996" w:type="dxa"/>
          <w:tblLook w:val="04A0"/>
        </w:tblPrEx>
        <w:tc>
          <w:tcPr>
            <w:tcW w:w="4998" w:type="dxa"/>
          </w:tcPr>
          <w:p w:rsidR="005C6E47" w:rsidRPr="00650FF1" w:rsidP="002F2972">
            <w:r w:rsidRPr="00650FF1">
              <w:rPr>
                <w:lang w:val="es-ES_tradnl"/>
              </w:rPr>
              <w:t>Intrusos / Millones de tren.km</w:t>
            </w:r>
          </w:p>
        </w:tc>
        <w:tc>
          <w:tcPr>
            <w:tcW w:w="4998" w:type="dxa"/>
          </w:tcPr>
          <w:p w:rsidR="005C6E47" w:rsidRPr="00650FF1" w:rsidP="002F2972">
            <w:r w:rsidRPr="00650FF1">
              <w:t>Trespassers / million train-km</w:t>
            </w:r>
          </w:p>
        </w:tc>
      </w:tr>
    </w:tbl>
    <w:p w:rsidR="005C6E47" w:rsidRPr="00650FF1" w:rsidP="005C6E47">
      <w:pPr>
        <w:rPr>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Finally, with regard to precursors to accidents, in 2017 there was an upturn in the number of precursors of various kinds, especially broken rails, followed by signal overruns, with increases compared to the previous year of 57 % and 24 % respectively. Of the 115 signal overruns recorded in 2017, 6 were near misses, 1 less than in 2016.</w:t>
      </w:r>
    </w:p>
    <w:p w:rsidR="005C6E47" w:rsidRPr="00650FF1" w:rsidP="005C6E47">
      <w:pPr>
        <w:pStyle w:val="StandardText"/>
        <w:keepNext/>
        <w:spacing w:before="240" w:after="120" w:line="240" w:lineRule="auto"/>
        <w:jc w:val="center"/>
      </w:pPr>
      <w:r w:rsidRPr="00650FF1">
        <w:rPr>
          <w:noProof/>
          <w:lang w:val="fr-FR" w:eastAsia="fr-FR"/>
        </w:rPr>
        <w:drawing>
          <wp:inline distT="0" distB="0" distL="0" distR="0">
            <wp:extent cx="6430297" cy="2198468"/>
            <wp:effectExtent l="0" t="0" r="889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4131" name="Picture 1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6431343" cy="2198826"/>
                    </a:xfrm>
                    <a:prstGeom prst="rect">
                      <a:avLst/>
                    </a:prstGeom>
                    <a:noFill/>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14</w:t>
      </w:r>
      <w:r w:rsidRPr="00650FF1">
        <w:fldChar w:fldCharType="end"/>
      </w:r>
      <w:r w:rsidRPr="00650FF1">
        <w:t>. Precursors to accidents between 2013 and 2017</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Rebases de señal</w:t>
            </w:r>
          </w:p>
        </w:tc>
        <w:tc>
          <w:tcPr>
            <w:tcW w:w="4998" w:type="dxa"/>
          </w:tcPr>
          <w:p w:rsidR="005C6E47" w:rsidRPr="00650FF1" w:rsidP="002F2972">
            <w:r w:rsidRPr="00650FF1">
              <w:t>Signal overruns</w:t>
            </w:r>
          </w:p>
        </w:tc>
      </w:tr>
      <w:tr w:rsidTr="002F2972">
        <w:tblPrEx>
          <w:tblW w:w="9996" w:type="dxa"/>
          <w:tblLook w:val="04A0"/>
        </w:tblPrEx>
        <w:tc>
          <w:tcPr>
            <w:tcW w:w="4998" w:type="dxa"/>
          </w:tcPr>
          <w:p w:rsidR="005C6E47" w:rsidRPr="00650FF1" w:rsidP="002F2972">
            <w:r w:rsidRPr="00650FF1">
              <w:rPr>
                <w:lang w:val="es-ES_tradnl"/>
              </w:rPr>
              <w:t>Deformaciones de vía</w:t>
            </w:r>
          </w:p>
        </w:tc>
        <w:tc>
          <w:tcPr>
            <w:tcW w:w="4998" w:type="dxa"/>
          </w:tcPr>
          <w:p w:rsidR="005C6E47" w:rsidRPr="00650FF1" w:rsidP="002F2972">
            <w:r w:rsidRPr="00650FF1">
              <w:t>Warped track</w:t>
            </w:r>
          </w:p>
        </w:tc>
      </w:tr>
      <w:tr w:rsidTr="002F2972">
        <w:tblPrEx>
          <w:tblW w:w="9996" w:type="dxa"/>
          <w:tblLook w:val="04A0"/>
        </w:tblPrEx>
        <w:tc>
          <w:tcPr>
            <w:tcW w:w="4998" w:type="dxa"/>
          </w:tcPr>
          <w:p w:rsidR="005C6E47" w:rsidRPr="00650FF1" w:rsidP="002F2972">
            <w:r w:rsidRPr="00650FF1">
              <w:rPr>
                <w:lang w:val="es-ES_tradnl"/>
              </w:rPr>
              <w:t>Rotura de carril</w:t>
            </w:r>
          </w:p>
        </w:tc>
        <w:tc>
          <w:tcPr>
            <w:tcW w:w="4998" w:type="dxa"/>
          </w:tcPr>
          <w:p w:rsidR="005C6E47" w:rsidRPr="00650FF1" w:rsidP="002F2972">
            <w:r w:rsidRPr="00650FF1">
              <w:t>Broken rails</w:t>
            </w:r>
          </w:p>
        </w:tc>
      </w:tr>
      <w:tr w:rsidTr="002F2972">
        <w:tblPrEx>
          <w:tblW w:w="9996" w:type="dxa"/>
          <w:tblLook w:val="04A0"/>
        </w:tblPrEx>
        <w:tc>
          <w:tcPr>
            <w:tcW w:w="4998" w:type="dxa"/>
          </w:tcPr>
          <w:p w:rsidR="005C6E47" w:rsidRPr="00650FF1" w:rsidP="002F2972">
            <w:r w:rsidRPr="00650FF1">
              <w:rPr>
                <w:lang w:val="es-ES_tradnl"/>
              </w:rPr>
              <w:t>Rotura de eje</w:t>
            </w:r>
          </w:p>
        </w:tc>
        <w:tc>
          <w:tcPr>
            <w:tcW w:w="4998" w:type="dxa"/>
          </w:tcPr>
          <w:p w:rsidR="005C6E47" w:rsidRPr="00650FF1" w:rsidP="002F2972">
            <w:r w:rsidRPr="00650FF1">
              <w:t>Broken axle</w:t>
            </w:r>
          </w:p>
        </w:tc>
      </w:tr>
      <w:tr w:rsidTr="002F2972">
        <w:tblPrEx>
          <w:tblW w:w="9996" w:type="dxa"/>
          <w:tblLook w:val="04A0"/>
        </w:tblPrEx>
        <w:tc>
          <w:tcPr>
            <w:tcW w:w="4998" w:type="dxa"/>
          </w:tcPr>
          <w:p w:rsidR="005C6E47" w:rsidRPr="00650FF1" w:rsidP="002F2972">
            <w:r w:rsidRPr="00650FF1">
              <w:rPr>
                <w:lang w:val="es-ES_tradnl"/>
              </w:rPr>
              <w:t>Rotura de rueda</w:t>
            </w:r>
          </w:p>
        </w:tc>
        <w:tc>
          <w:tcPr>
            <w:tcW w:w="4998" w:type="dxa"/>
          </w:tcPr>
          <w:p w:rsidR="005C6E47" w:rsidRPr="00650FF1" w:rsidP="002F2972">
            <w:r w:rsidRPr="00650FF1">
              <w:t>Broken wheel</w:t>
            </w:r>
          </w:p>
        </w:tc>
      </w:tr>
      <w:tr w:rsidTr="002F2972">
        <w:tblPrEx>
          <w:tblW w:w="9996" w:type="dxa"/>
          <w:tblLook w:val="04A0"/>
        </w:tblPrEx>
        <w:tc>
          <w:tcPr>
            <w:tcW w:w="4998" w:type="dxa"/>
          </w:tcPr>
          <w:p w:rsidR="005C6E47" w:rsidRPr="00650FF1" w:rsidP="002F2972">
            <w:r w:rsidRPr="00650FF1">
              <w:rPr>
                <w:lang w:val="es-ES_tradnl"/>
              </w:rPr>
              <w:t>Fallo de señalización</w:t>
            </w:r>
          </w:p>
        </w:tc>
        <w:tc>
          <w:tcPr>
            <w:tcW w:w="4998" w:type="dxa"/>
          </w:tcPr>
          <w:p w:rsidR="005C6E47" w:rsidRPr="00650FF1" w:rsidP="002F2972">
            <w:r w:rsidRPr="00650FF1">
              <w:t>Signalling failure</w:t>
            </w:r>
          </w:p>
        </w:tc>
      </w:tr>
      <w:tr w:rsidTr="002F2972">
        <w:tblPrEx>
          <w:tblW w:w="9996" w:type="dxa"/>
          <w:tblLook w:val="04A0"/>
        </w:tblPrEx>
        <w:tc>
          <w:tcPr>
            <w:tcW w:w="4998" w:type="dxa"/>
          </w:tcPr>
          <w:p w:rsidR="005C6E47" w:rsidRPr="00650FF1" w:rsidP="002F2972">
            <w:r w:rsidRPr="00650FF1">
              <w:rPr>
                <w:lang w:val="es-ES_tradnl"/>
              </w:rPr>
              <w:t>TOTAL</w:t>
            </w:r>
          </w:p>
        </w:tc>
        <w:tc>
          <w:tcPr>
            <w:tcW w:w="4998" w:type="dxa"/>
          </w:tcPr>
          <w:p w:rsidR="005C6E47" w:rsidRPr="00650FF1" w:rsidP="002F2972">
            <w:r w:rsidRPr="00650FF1">
              <w:t>TOTAL</w:t>
            </w:r>
          </w:p>
        </w:tc>
      </w:tr>
    </w:tbl>
    <w:p w:rsidR="005C6E47" w:rsidRPr="00650FF1" w:rsidP="005C6E47">
      <w:pPr>
        <w:rPr>
          <w:lang w:val="es-ES_tradnl"/>
        </w:rPr>
      </w:pPr>
    </w:p>
    <w:p w:rsidR="005C6E47" w:rsidRPr="00650FF1" w:rsidP="005C6E47">
      <w:pPr>
        <w:keepNext/>
        <w:jc w:val="both"/>
        <w:rPr>
          <w:rFonts w:ascii="Calibri" w:hAnsi="Calibri"/>
          <w:color w:val="FF0000"/>
        </w:rPr>
      </w:pPr>
      <w:r w:rsidRPr="00650FF1">
        <w:rPr>
          <w:rFonts w:ascii="Calibri" w:hAnsi="Calibri"/>
        </w:rPr>
        <w:t>These trends emphasise the need to keep watch on the occurrence of two kinds of precursor: signal overruns (which may be more linked to the human factor) and broken rails (more related to the state of the infrastructure).</w:t>
      </w:r>
    </w:p>
    <w:p w:rsidR="005C6E47" w:rsidRPr="00650FF1" w:rsidP="005C6E47">
      <w:pPr>
        <w:keepNext/>
        <w:jc w:val="both"/>
        <w:rPr>
          <w:rFonts w:ascii="Calibri" w:hAnsi="Calibri"/>
          <w:noProof/>
          <w:snapToGrid/>
          <w:color w:val="FF0000"/>
          <w:lang w:val="es-ES_tradnl" w:eastAsia="en-US"/>
        </w:rPr>
      </w:pPr>
    </w:p>
    <w:p w:rsidR="005C6E47" w:rsidRPr="00650FF1" w:rsidP="005C6E47">
      <w:pPr>
        <w:keepNext/>
        <w:jc w:val="center"/>
      </w:pPr>
      <w:r w:rsidRPr="00650FF1">
        <w:rPr>
          <w:noProof/>
          <w:lang w:val="fr-FR" w:eastAsia="fr-FR"/>
        </w:rPr>
        <w:drawing>
          <wp:inline distT="0" distB="0" distL="0" distR="0">
            <wp:extent cx="5527557" cy="3588774"/>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8198" name="Picture 1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5109" cy="3593677"/>
                    </a:xfrm>
                    <a:prstGeom prst="rect">
                      <a:avLst/>
                    </a:prstGeom>
                    <a:noFill/>
                  </pic:spPr>
                </pic:pic>
              </a:graphicData>
            </a:graphic>
          </wp:inline>
        </w:drawing>
      </w:r>
    </w:p>
    <w:p w:rsidR="005C6E47" w:rsidRPr="00650FF1" w:rsidP="005C6E47">
      <w:pPr>
        <w:pStyle w:val="Caption"/>
      </w:pPr>
      <w:r w:rsidRPr="00650FF1">
        <w:t xml:space="preserve">Figure </w:t>
      </w:r>
      <w:r>
        <w:fldChar w:fldCharType="begin"/>
      </w:r>
      <w:r>
        <w:instrText xml:space="preserve"> SEQ Gráfico_ \* ARABIC </w:instrText>
      </w:r>
      <w:r>
        <w:fldChar w:fldCharType="separate"/>
      </w:r>
      <w:r w:rsidRPr="00650FF1">
        <w:t>15</w:t>
      </w:r>
      <w:r w:rsidRPr="00650FF1">
        <w:fldChar w:fldCharType="end"/>
      </w:r>
      <w:r w:rsidRPr="00650FF1">
        <w:t>. Occurrence of the main precursors from 2006 to 2017 by network</w:t>
      </w:r>
    </w:p>
    <w:tbl>
      <w:tblPr>
        <w:tblStyle w:val="TableGrid"/>
        <w:tblW w:w="9996" w:type="dxa"/>
        <w:tblLook w:val="04A0"/>
      </w:tblPr>
      <w:tblGrid>
        <w:gridCol w:w="4998"/>
        <w:gridCol w:w="4998"/>
      </w:tblGrid>
      <w:tr w:rsidTr="002F2972">
        <w:tblPrEx>
          <w:tblW w:w="9996" w:type="dxa"/>
          <w:tblLook w:val="04A0"/>
        </w:tblPrEx>
        <w:tc>
          <w:tcPr>
            <w:tcW w:w="4998" w:type="dxa"/>
          </w:tcPr>
          <w:p w:rsidR="005C6E47" w:rsidRPr="00650FF1" w:rsidP="002F2972">
            <w:r w:rsidRPr="00650FF1">
              <w:rPr>
                <w:lang w:val="es-ES_tradnl"/>
              </w:rPr>
              <w:t>Número de precursores</w:t>
            </w:r>
          </w:p>
        </w:tc>
        <w:tc>
          <w:tcPr>
            <w:tcW w:w="4998" w:type="dxa"/>
          </w:tcPr>
          <w:p w:rsidR="005C6E47" w:rsidRPr="00650FF1" w:rsidP="002F2972">
            <w:r w:rsidRPr="00650FF1">
              <w:t>Number of passengers</w:t>
            </w:r>
          </w:p>
        </w:tc>
      </w:tr>
      <w:tr w:rsidTr="002F2972">
        <w:tblPrEx>
          <w:tblW w:w="9996" w:type="dxa"/>
          <w:tblLook w:val="04A0"/>
        </w:tblPrEx>
        <w:tc>
          <w:tcPr>
            <w:tcW w:w="4998" w:type="dxa"/>
          </w:tcPr>
          <w:p w:rsidR="005C6E47" w:rsidRPr="00650FF1" w:rsidP="002F2972">
            <w:r w:rsidRPr="00650FF1">
              <w:rPr>
                <w:lang w:val="es-ES_tradnl"/>
              </w:rPr>
              <w:t>Excluida red RAM</w:t>
            </w:r>
          </w:p>
        </w:tc>
        <w:tc>
          <w:tcPr>
            <w:tcW w:w="4998" w:type="dxa"/>
          </w:tcPr>
          <w:p w:rsidR="005C6E47" w:rsidRPr="00650FF1" w:rsidP="002F2972">
            <w:r w:rsidRPr="00650FF1">
              <w:t>Excluding the RAM network</w:t>
            </w:r>
          </w:p>
        </w:tc>
      </w:tr>
      <w:tr w:rsidTr="002F2972">
        <w:tblPrEx>
          <w:tblW w:w="9996" w:type="dxa"/>
          <w:tblLook w:val="04A0"/>
        </w:tblPrEx>
        <w:tc>
          <w:tcPr>
            <w:tcW w:w="4998" w:type="dxa"/>
          </w:tcPr>
          <w:p w:rsidR="005C6E47" w:rsidRPr="00650FF1" w:rsidP="002F2972">
            <w:r w:rsidRPr="00650FF1">
              <w:rPr>
                <w:lang w:val="es-ES_tradnl"/>
              </w:rPr>
              <w:t>Total red</w:t>
            </w:r>
          </w:p>
        </w:tc>
        <w:tc>
          <w:tcPr>
            <w:tcW w:w="4998" w:type="dxa"/>
          </w:tcPr>
          <w:p w:rsidR="005C6E47" w:rsidRPr="00650FF1" w:rsidP="002F2972">
            <w:r w:rsidRPr="00650FF1">
              <w:t>Total network</w:t>
            </w:r>
          </w:p>
        </w:tc>
      </w:tr>
      <w:tr w:rsidTr="002F2972">
        <w:tblPrEx>
          <w:tblW w:w="9996" w:type="dxa"/>
          <w:tblLook w:val="04A0"/>
        </w:tblPrEx>
        <w:tc>
          <w:tcPr>
            <w:tcW w:w="4998" w:type="dxa"/>
          </w:tcPr>
          <w:p w:rsidR="005C6E47" w:rsidRPr="00650FF1" w:rsidP="002F2972">
            <w:r w:rsidRPr="00650FF1">
              <w:rPr>
                <w:lang w:val="es-ES_tradnl"/>
              </w:rPr>
              <w:t>Deformaciones de vía</w:t>
            </w:r>
          </w:p>
        </w:tc>
        <w:tc>
          <w:tcPr>
            <w:tcW w:w="4998" w:type="dxa"/>
          </w:tcPr>
          <w:p w:rsidR="005C6E47" w:rsidRPr="00650FF1" w:rsidP="002F2972">
            <w:r w:rsidRPr="00650FF1">
              <w:t>Warped track</w:t>
            </w:r>
          </w:p>
        </w:tc>
      </w:tr>
      <w:tr w:rsidTr="002F2972">
        <w:tblPrEx>
          <w:tblW w:w="9996" w:type="dxa"/>
          <w:tblLook w:val="04A0"/>
        </w:tblPrEx>
        <w:tc>
          <w:tcPr>
            <w:tcW w:w="4998" w:type="dxa"/>
          </w:tcPr>
          <w:p w:rsidR="005C6E47" w:rsidRPr="00650FF1" w:rsidP="002F2972">
            <w:r w:rsidRPr="00650FF1">
              <w:rPr>
                <w:lang w:val="es-ES_tradnl"/>
              </w:rPr>
              <w:t>Rebases de señal</w:t>
            </w:r>
          </w:p>
        </w:tc>
        <w:tc>
          <w:tcPr>
            <w:tcW w:w="4998" w:type="dxa"/>
          </w:tcPr>
          <w:p w:rsidR="005C6E47" w:rsidRPr="00650FF1" w:rsidP="002F2972">
            <w:r w:rsidRPr="00650FF1">
              <w:t>Signal overruns</w:t>
            </w:r>
          </w:p>
        </w:tc>
      </w:tr>
      <w:tr w:rsidTr="002F2972">
        <w:tblPrEx>
          <w:tblW w:w="9996" w:type="dxa"/>
          <w:tblLook w:val="04A0"/>
        </w:tblPrEx>
        <w:tc>
          <w:tcPr>
            <w:tcW w:w="4998" w:type="dxa"/>
          </w:tcPr>
          <w:p w:rsidR="005C6E47" w:rsidRPr="00650FF1" w:rsidP="002F2972">
            <w:r w:rsidRPr="00650FF1">
              <w:rPr>
                <w:lang w:val="es-ES_tradnl"/>
              </w:rPr>
              <w:t>Rotura de carril</w:t>
            </w:r>
          </w:p>
        </w:tc>
        <w:tc>
          <w:tcPr>
            <w:tcW w:w="4998" w:type="dxa"/>
          </w:tcPr>
          <w:p w:rsidR="005C6E47" w:rsidRPr="00650FF1" w:rsidP="002F2972">
            <w:r w:rsidRPr="00650FF1">
              <w:t>Broken rails</w:t>
            </w:r>
          </w:p>
        </w:tc>
      </w:tr>
    </w:tbl>
    <w:p w:rsidR="005C6E47" w:rsidRPr="00650FF1" w:rsidP="005C6E47">
      <w:pPr>
        <w:rPr>
          <w:lang w:val="es-ES_tradnl"/>
        </w:rPr>
      </w:pPr>
    </w:p>
    <w:p w:rsidR="005C6E47" w:rsidRPr="00650FF1" w:rsidP="005C6E47">
      <w:pPr>
        <w:keepNext/>
        <w:jc w:val="both"/>
        <w:rPr>
          <w:rFonts w:ascii="Calibri" w:hAnsi="Calibri"/>
        </w:rPr>
      </w:pPr>
      <w:r w:rsidRPr="00650FF1">
        <w:rPr>
          <w:rFonts w:ascii="Calibri" w:hAnsi="Calibri"/>
        </w:rPr>
        <w:t xml:space="preserve">As a general conclusion, 2017 was a year without remarkable accidents and one in which accidents at level crossings (especially crossings on lines with low traffic levels and crossings without protection) have been particularly significant on account of their consequences, breaking the improving trend of the last few years. Nevertheless, certain rising trends in the number of precursors and in the total number of significant accidents show </w:t>
      </w:r>
      <w:r w:rsidRPr="00650FF1">
        <w:rPr>
          <w:rFonts w:ascii="Calibri" w:hAnsi="Calibri"/>
        </w:rPr>
        <w:t>signs which</w:t>
      </w:r>
      <w:r w:rsidRPr="00650FF1">
        <w:rPr>
          <w:rFonts w:ascii="Calibri" w:hAnsi="Calibri"/>
        </w:rPr>
        <w:t xml:space="preserve"> will have to be monitored in the coming years, to confirm that the 2017 results do not represent changes in trends and are only isolated data in a fairly stable series.</w:t>
      </w:r>
    </w:p>
    <w:p w:rsidR="005C6E47" w:rsidRPr="00650FF1" w:rsidP="005C6E47">
      <w:r w:rsidRPr="00650FF1">
        <w:br w:type="page"/>
      </w:r>
    </w:p>
    <w:tbl>
      <w:tblPr>
        <w:tblW w:w="10065" w:type="dxa"/>
        <w:tblInd w:w="-34" w:type="dxa"/>
        <w:tblLook w:val="04A0"/>
      </w:tblPr>
      <w:tblGrid>
        <w:gridCol w:w="4868"/>
        <w:gridCol w:w="5197"/>
      </w:tblGrid>
      <w:tr w:rsidTr="002F2972">
        <w:tblPrEx>
          <w:tblW w:w="10065" w:type="dxa"/>
          <w:tblInd w:w="-34" w:type="dxa"/>
          <w:tblLook w:val="04A0"/>
        </w:tblPrEx>
        <w:trPr>
          <w:trHeight w:val="1703"/>
        </w:trPr>
        <w:tc>
          <w:tcPr>
            <w:tcW w:w="10065" w:type="dxa"/>
            <w:gridSpan w:val="2"/>
            <w:shd w:val="clear" w:color="auto" w:fill="auto"/>
          </w:tcPr>
          <w:p w:rsidR="005C6E47" w:rsidRPr="00650FF1" w:rsidP="002F2972">
            <w:pPr>
              <w:pStyle w:val="StandardText"/>
              <w:spacing w:before="240" w:after="120" w:line="240" w:lineRule="auto"/>
              <w:rPr>
                <w:rFonts w:ascii="Calibri" w:hAnsi="Calibri"/>
                <w:noProof/>
                <w:snapToGrid/>
              </w:rPr>
            </w:pPr>
            <w:r w:rsidRPr="00650FF1">
              <w:rPr>
                <w:rFonts w:ascii="Calibri" w:hAnsi="Calibri"/>
                <w:noProof/>
                <w:snapToGrid/>
                <w:lang w:val="fr-FR" w:eastAsia="fr-FR"/>
              </w:rPr>
              <w:drawing>
                <wp:anchor distT="0" distB="0" distL="114300" distR="114300" simplePos="0" relativeHeight="251663360" behindDoc="1" locked="0" layoutInCell="1" allowOverlap="1">
                  <wp:simplePos x="0" y="0"/>
                  <wp:positionH relativeFrom="column">
                    <wp:posOffset>447675</wp:posOffset>
                  </wp:positionH>
                  <wp:positionV relativeFrom="paragraph">
                    <wp:posOffset>863913</wp:posOffset>
                  </wp:positionV>
                  <wp:extent cx="6054090" cy="2590800"/>
                  <wp:effectExtent l="0" t="0" r="381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58817"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tc>
      </w:tr>
      <w:tr w:rsidTr="002F2972">
        <w:tblPrEx>
          <w:tblW w:w="10065" w:type="dxa"/>
          <w:tblInd w:w="-34" w:type="dxa"/>
          <w:tblLook w:val="04A0"/>
        </w:tblPrEx>
        <w:trPr>
          <w:trHeight w:val="3966"/>
        </w:trPr>
        <w:tc>
          <w:tcPr>
            <w:tcW w:w="4868" w:type="dxa"/>
            <w:shd w:val="clear" w:color="auto" w:fill="auto"/>
          </w:tcPr>
          <w:p w:rsidR="005C6E47" w:rsidRPr="00650FF1" w:rsidP="002F2972">
            <w:pPr>
              <w:pStyle w:val="StandardText"/>
              <w:spacing w:before="240" w:after="120" w:line="240" w:lineRule="auto"/>
              <w:rPr>
                <w:rFonts w:ascii="Calibri" w:hAnsi="Calibri"/>
                <w:lang w:val="es-ES_tradnl"/>
              </w:rPr>
            </w:pPr>
          </w:p>
          <w:p w:rsidR="005C6E47" w:rsidRPr="00650FF1" w:rsidP="002F2972">
            <w:pPr>
              <w:pStyle w:val="Title"/>
              <w:numPr>
                <w:ilvl w:val="0"/>
                <w:numId w:val="0"/>
              </w:numPr>
              <w:ind w:left="360"/>
              <w:jc w:val="center"/>
            </w:pPr>
          </w:p>
        </w:tc>
        <w:tc>
          <w:tcPr>
            <w:tcW w:w="5197" w:type="dxa"/>
            <w:shd w:val="clear" w:color="auto" w:fill="auto"/>
            <w:vAlign w:val="center"/>
          </w:tcPr>
          <w:p w:rsidR="005C6E47" w:rsidRPr="00650FF1" w:rsidP="00637CB5">
            <w:pPr>
              <w:pStyle w:val="Title"/>
              <w:rPr>
                <w:sz w:val="52"/>
                <w:szCs w:val="54"/>
              </w:rPr>
            </w:pPr>
            <w:bookmarkStart w:id="5" w:name="_Toc532285980"/>
            <w:r w:rsidRPr="00650FF1">
              <w:rPr>
                <w:sz w:val="52"/>
                <w:szCs w:val="54"/>
              </w:rPr>
              <w:t>Safety certificates and authorisations</w:t>
            </w:r>
            <w:bookmarkEnd w:id="5"/>
          </w:p>
        </w:tc>
      </w:tr>
    </w:tbl>
    <w:p w:rsidR="005C6E47" w:rsidRPr="00650FF1" w:rsidP="005C6E47">
      <w:pPr>
        <w:ind w:left="874"/>
        <w:rPr>
          <w:lang w:val="es-ES_tradnl"/>
        </w:rPr>
      </w:pPr>
    </w:p>
    <w:p w:rsidR="005C6E47" w:rsidRPr="00650FF1" w:rsidP="005C6E47">
      <w:pPr>
        <w:ind w:left="874"/>
        <w:rPr>
          <w:lang w:val="es-ES_tradnl"/>
        </w:rPr>
      </w:pPr>
    </w:p>
    <w:p w:rsidR="005C6E47" w:rsidRPr="00637CB5" w:rsidP="00637CB5">
      <w:pPr>
        <w:pStyle w:val="Subtitulo1"/>
        <w:numPr>
          <w:ilvl w:val="0"/>
          <w:numId w:val="11"/>
        </w:numPr>
        <w:tabs>
          <w:tab w:val="num" w:pos="284"/>
        </w:tabs>
        <w:ind w:left="426"/>
        <w:rPr>
          <w:lang w:val="es-ES_tradnl"/>
        </w:rPr>
      </w:pPr>
      <w:r w:rsidRPr="00637CB5">
        <w:rPr>
          <w:lang w:val="es-ES_tradnl"/>
        </w:rPr>
        <w:t>Reference framework for issuing certificates and authorisations</w:t>
      </w:r>
    </w:p>
    <w:p w:rsidR="005C6E47" w:rsidRPr="00650FF1" w:rsidP="005C6E47">
      <w:pPr>
        <w:pStyle w:val="NumPar1"/>
        <w:tabs>
          <w:tab w:val="num" w:pos="284"/>
          <w:tab w:val="clear" w:pos="480"/>
          <w:tab w:val="left" w:pos="3810"/>
        </w:tabs>
        <w:spacing w:after="120"/>
        <w:ind w:left="0" w:firstLine="0"/>
        <w:rPr>
          <w:rFonts w:ascii="Calibri" w:hAnsi="Calibri"/>
          <w:szCs w:val="24"/>
        </w:rPr>
      </w:pPr>
      <w:r w:rsidRPr="00650FF1">
        <w:rPr>
          <w:rFonts w:ascii="Calibri" w:hAnsi="Calibri"/>
          <w:szCs w:val="24"/>
        </w:rPr>
        <w:t xml:space="preserve">Commission Regulation (EU) No 1158/2010 of 9 December 2010, on a common safety method for assessing conformity with the requirements for obtaining railway safety certificates, </w:t>
      </w:r>
      <w:r w:rsidRPr="00650FF1">
        <w:rPr>
          <w:rFonts w:ascii="Calibri" w:hAnsi="Calibri"/>
          <w:szCs w:val="24"/>
        </w:rPr>
        <w:t>has been used</w:t>
      </w:r>
      <w:r w:rsidRPr="00650FF1">
        <w:rPr>
          <w:rFonts w:ascii="Calibri" w:hAnsi="Calibri"/>
          <w:szCs w:val="24"/>
        </w:rPr>
        <w:t xml:space="preserve"> as a reference for the assessment process prior to issuing safety certificates to railway undertakings.</w:t>
      </w:r>
    </w:p>
    <w:p w:rsidR="005C6E47" w:rsidRPr="00650FF1" w:rsidP="005C6E47">
      <w:pPr>
        <w:pStyle w:val="Text1"/>
        <w:tabs>
          <w:tab w:val="num" w:pos="284"/>
        </w:tabs>
        <w:spacing w:before="240" w:after="120"/>
        <w:ind w:left="0"/>
        <w:rPr>
          <w:rFonts w:ascii="Calibri" w:hAnsi="Calibri"/>
          <w:szCs w:val="24"/>
        </w:rPr>
      </w:pPr>
      <w:r w:rsidRPr="00650FF1">
        <w:rPr>
          <w:rFonts w:ascii="Calibri" w:hAnsi="Calibri"/>
          <w:szCs w:val="24"/>
        </w:rPr>
        <w:t xml:space="preserve">The AESF considers it essential that safety management systems </w:t>
      </w:r>
      <w:r w:rsidRPr="00650FF1">
        <w:rPr>
          <w:rFonts w:ascii="Calibri" w:hAnsi="Calibri"/>
          <w:szCs w:val="24"/>
        </w:rPr>
        <w:t>be conceived</w:t>
      </w:r>
      <w:r w:rsidRPr="00650FF1">
        <w:rPr>
          <w:rFonts w:ascii="Calibri" w:hAnsi="Calibri"/>
          <w:szCs w:val="24"/>
        </w:rPr>
        <w:t xml:space="preserve"> from the outset taking into account Regulations 1158/2010 and 1169/2010, as well as Regulation 402/2013 on risk assessment, Regulation 445/2011 on a certification system for entities in charge of maintenance of freight wagons, and Regulation 1078/2012 on internal monitoring.</w:t>
      </w:r>
    </w:p>
    <w:p w:rsidR="005C6E47" w:rsidRPr="00650FF1" w:rsidP="005C6E47">
      <w:pPr>
        <w:pStyle w:val="Text1"/>
        <w:tabs>
          <w:tab w:val="num" w:pos="284"/>
        </w:tabs>
        <w:spacing w:before="240" w:after="120"/>
        <w:ind w:left="0"/>
        <w:rPr>
          <w:rFonts w:ascii="Calibri" w:hAnsi="Calibri"/>
          <w:szCs w:val="24"/>
        </w:rPr>
      </w:pPr>
      <w:r w:rsidRPr="00650FF1">
        <w:rPr>
          <w:rFonts w:ascii="Calibri" w:hAnsi="Calibri"/>
          <w:szCs w:val="24"/>
        </w:rPr>
        <w:t>The background documents for processing safety certificates / authorisations are contained in the AESF application guides, available on its website</w:t>
      </w:r>
      <w:r>
        <w:rPr>
          <w:rFonts w:ascii="Calibri" w:hAnsi="Calibri"/>
          <w:szCs w:val="24"/>
          <w:vertAlign w:val="superscript"/>
          <w:lang w:val="es-ES_tradnl"/>
        </w:rPr>
        <w:footnoteReference w:id="14"/>
      </w:r>
      <w:r w:rsidRPr="00650FF1">
        <w:rPr>
          <w:rFonts w:ascii="Calibri" w:hAnsi="Calibri"/>
          <w:szCs w:val="24"/>
        </w:rPr>
        <w:t>.</w:t>
      </w:r>
    </w:p>
    <w:p w:rsidR="005C6E47" w:rsidRPr="00650FF1" w:rsidP="005C6E47">
      <w:pPr>
        <w:pStyle w:val="Text1"/>
        <w:tabs>
          <w:tab w:val="num" w:pos="284"/>
        </w:tabs>
        <w:spacing w:before="240" w:after="120"/>
        <w:ind w:left="0"/>
        <w:rPr>
          <w:rFonts w:ascii="Calibri" w:hAnsi="Calibri"/>
          <w:szCs w:val="24"/>
        </w:rPr>
      </w:pPr>
      <w:r w:rsidRPr="00650FF1">
        <w:rPr>
          <w:rFonts w:ascii="Calibri" w:hAnsi="Calibri"/>
          <w:szCs w:val="24"/>
        </w:rPr>
        <w:t>Therefore, and in order to facilitate the process of obtaining certificates, the AESF is carrying out advisory work – directly with railway undertakings, or consultant companies that provide such undertakings with support – during the drafting phase of their SMSs, and even prior to submission of a formal application. This work procedure is facilitating subsequent assessment.</w:t>
      </w:r>
    </w:p>
    <w:p w:rsidR="005C6E47" w:rsidRPr="00650FF1" w:rsidP="005C6E47">
      <w:pPr>
        <w:pStyle w:val="Text1"/>
        <w:tabs>
          <w:tab w:val="num" w:pos="284"/>
        </w:tabs>
        <w:spacing w:before="240" w:after="120"/>
        <w:ind w:left="0"/>
        <w:rPr>
          <w:rFonts w:ascii="Calibri" w:hAnsi="Calibri"/>
          <w:szCs w:val="24"/>
        </w:rPr>
      </w:pPr>
      <w:r w:rsidRPr="00650FF1">
        <w:rPr>
          <w:rFonts w:ascii="Calibri" w:hAnsi="Calibri"/>
          <w:szCs w:val="24"/>
        </w:rPr>
        <w:t xml:space="preserve">Throughout the process of obtaining their certificates and at any point within the annual safety reports submitted by undertakings and managers, there is the opportunity to express opinions </w:t>
      </w:r>
      <w:r w:rsidRPr="00650FF1">
        <w:rPr>
          <w:rFonts w:ascii="Calibri" w:hAnsi="Calibri"/>
          <w:szCs w:val="24"/>
        </w:rPr>
        <w:t>regarding the procedures and practices for issuing safety certificates/authorisations, and other possible improvements to the system.</w:t>
      </w:r>
    </w:p>
    <w:p w:rsidR="005C6E47" w:rsidRPr="00650FF1" w:rsidP="005C6E47">
      <w:pPr>
        <w:pStyle w:val="NumPar1"/>
        <w:tabs>
          <w:tab w:val="clear" w:pos="480"/>
          <w:tab w:val="left" w:pos="3810"/>
        </w:tabs>
        <w:spacing w:after="120"/>
        <w:ind w:left="874" w:firstLine="0"/>
        <w:rPr>
          <w:rFonts w:ascii="Calibri" w:hAnsi="Calibri"/>
          <w:color w:val="00B050"/>
          <w:szCs w:val="24"/>
          <w:lang w:val="es-ES_tradnl"/>
        </w:rPr>
      </w:pPr>
    </w:p>
    <w:p w:rsidR="005C6E47" w:rsidRPr="00637CB5" w:rsidP="00637CB5">
      <w:pPr>
        <w:pStyle w:val="Subtitulo1"/>
        <w:numPr>
          <w:ilvl w:val="0"/>
          <w:numId w:val="11"/>
        </w:numPr>
        <w:tabs>
          <w:tab w:val="num" w:pos="284"/>
        </w:tabs>
        <w:ind w:left="426"/>
        <w:rPr>
          <w:lang w:val="es-ES_tradnl"/>
        </w:rPr>
      </w:pPr>
      <w:r w:rsidRPr="00637CB5">
        <w:rPr>
          <w:lang w:val="es-ES_tradnl"/>
        </w:rPr>
        <w:t>Certificates and authorisations issued during 2017</w:t>
      </w:r>
    </w:p>
    <w:p w:rsidR="005C6E47" w:rsidRPr="00650FF1" w:rsidP="005C6E47">
      <w:pPr>
        <w:pStyle w:val="NumPar1"/>
        <w:tabs>
          <w:tab w:val="clear" w:pos="480"/>
          <w:tab w:val="left" w:pos="3810"/>
        </w:tabs>
        <w:spacing w:after="120"/>
        <w:ind w:left="874" w:firstLine="0"/>
        <w:rPr>
          <w:rFonts w:ascii="Calibri" w:hAnsi="Calibri"/>
          <w:color w:val="00B050"/>
          <w:szCs w:val="24"/>
          <w:lang w:val="es-ES_tradnl"/>
        </w:rPr>
      </w:pPr>
    </w:p>
    <w:p w:rsidR="005C6E47" w:rsidRPr="00650FF1" w:rsidP="005C6E47">
      <w:pPr>
        <w:pStyle w:val="Text1"/>
        <w:numPr>
          <w:ilvl w:val="1"/>
          <w:numId w:val="2"/>
        </w:numPr>
        <w:tabs>
          <w:tab w:val="num" w:pos="878"/>
          <w:tab w:val="num" w:pos="1075"/>
          <w:tab w:val="num" w:pos="1223"/>
          <w:tab w:val="num" w:pos="1980"/>
        </w:tabs>
        <w:spacing w:after="120"/>
        <w:ind w:left="567" w:hanging="567"/>
        <w:rPr>
          <w:rFonts w:ascii="Calibri" w:hAnsi="Calibri"/>
          <w:b/>
          <w:smallCaps/>
          <w:sz w:val="32"/>
          <w:szCs w:val="24"/>
        </w:rPr>
      </w:pPr>
      <w:r w:rsidRPr="00650FF1">
        <w:rPr>
          <w:rFonts w:ascii="Calibri" w:hAnsi="Calibri"/>
          <w:b/>
          <w:smallCaps/>
          <w:sz w:val="32"/>
          <w:szCs w:val="24"/>
        </w:rPr>
        <w:t>Part A safety certificates</w:t>
      </w:r>
    </w:p>
    <w:p w:rsidR="005C6E47" w:rsidRPr="00650FF1" w:rsidP="005C6E47">
      <w:pPr>
        <w:pStyle w:val="NumPar1"/>
        <w:tabs>
          <w:tab w:val="clear" w:pos="480"/>
          <w:tab w:val="left" w:pos="3810"/>
        </w:tabs>
        <w:ind w:left="567" w:firstLine="0"/>
        <w:rPr>
          <w:rFonts w:ascii="Calibri" w:hAnsi="Calibri"/>
        </w:rPr>
      </w:pPr>
      <w:r w:rsidRPr="00650FF1">
        <w:rPr>
          <w:rFonts w:ascii="Calibri" w:hAnsi="Calibri"/>
        </w:rPr>
        <w:t xml:space="preserve">In 2017, six part A safety certificates </w:t>
      </w:r>
      <w:r w:rsidRPr="00650FF1">
        <w:rPr>
          <w:rFonts w:ascii="Calibri" w:hAnsi="Calibri"/>
        </w:rPr>
        <w:t>were issued</w:t>
      </w:r>
      <w:r w:rsidRPr="00650FF1">
        <w:rPr>
          <w:rFonts w:ascii="Calibri" w:hAnsi="Calibri"/>
        </w:rPr>
        <w:t>:</w:t>
      </w:r>
    </w:p>
    <w:tbl>
      <w:tblPr>
        <w:tblW w:w="0" w:type="auto"/>
        <w:jc w:val="center"/>
        <w:tblBorders>
          <w:top w:val="single" w:sz="8" w:space="0" w:color="4F81BD"/>
          <w:bottom w:val="single" w:sz="8" w:space="0" w:color="4F81BD"/>
        </w:tblBorders>
        <w:tblLayout w:type="fixed"/>
        <w:tblLook w:val="04A0"/>
      </w:tblPr>
      <w:tblGrid>
        <w:gridCol w:w="2784"/>
        <w:gridCol w:w="1865"/>
        <w:gridCol w:w="1711"/>
      </w:tblGrid>
      <w:tr w:rsidTr="002F2972">
        <w:tblPrEx>
          <w:tblW w:w="0" w:type="auto"/>
          <w:jc w:val="center"/>
          <w:tblBorders>
            <w:top w:val="single" w:sz="8" w:space="0" w:color="4F81BD"/>
            <w:bottom w:val="single" w:sz="8" w:space="0" w:color="4F81BD"/>
          </w:tblBorders>
          <w:tblLayout w:type="fixed"/>
          <w:tblLook w:val="04A0"/>
        </w:tblPrEx>
        <w:trPr>
          <w:jc w:val="center"/>
        </w:trPr>
        <w:tc>
          <w:tcPr>
            <w:tcW w:w="2784" w:type="dxa"/>
            <w:tcBorders>
              <w:top w:val="single" w:sz="8" w:space="0" w:color="4F81BD"/>
              <w:bottom w:val="single" w:sz="8" w:space="0" w:color="4F81BD"/>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mallCaps/>
                <w:sz w:val="22"/>
              </w:rPr>
            </w:pPr>
            <w:r w:rsidRPr="00650FF1">
              <w:rPr>
                <w:rFonts w:ascii="Calibri" w:hAnsi="Calibri"/>
                <w:b/>
                <w:bCs/>
                <w:smallCaps/>
                <w:sz w:val="22"/>
              </w:rPr>
              <w:t>Railway Undertaking</w:t>
            </w:r>
          </w:p>
        </w:tc>
        <w:tc>
          <w:tcPr>
            <w:tcW w:w="1865" w:type="dxa"/>
            <w:tcBorders>
              <w:top w:val="single" w:sz="8" w:space="0" w:color="4F81BD"/>
              <w:bottom w:val="single" w:sz="8" w:space="0" w:color="4F81BD"/>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mallCaps/>
                <w:sz w:val="22"/>
              </w:rPr>
            </w:pPr>
            <w:r w:rsidRPr="00650FF1">
              <w:rPr>
                <w:rFonts w:ascii="Calibri" w:hAnsi="Calibri"/>
                <w:b/>
                <w:bCs/>
                <w:smallCaps/>
                <w:sz w:val="22"/>
              </w:rPr>
              <w:t>Type of Certificate</w:t>
            </w:r>
          </w:p>
        </w:tc>
        <w:tc>
          <w:tcPr>
            <w:tcW w:w="1711" w:type="dxa"/>
            <w:tcBorders>
              <w:top w:val="single" w:sz="8" w:space="0" w:color="4F81BD"/>
              <w:bottom w:val="single" w:sz="8" w:space="0" w:color="4F81BD"/>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mallCaps/>
                <w:sz w:val="22"/>
              </w:rPr>
            </w:pPr>
            <w:r w:rsidRPr="00650FF1">
              <w:rPr>
                <w:rFonts w:ascii="Calibri" w:hAnsi="Calibri"/>
                <w:b/>
                <w:bCs/>
                <w:smallCaps/>
                <w:sz w:val="22"/>
              </w:rPr>
              <w:t>Issue Date</w:t>
            </w:r>
          </w:p>
        </w:tc>
      </w:tr>
      <w:tr w:rsidTr="002F2972">
        <w:tblPrEx>
          <w:tblW w:w="0" w:type="auto"/>
          <w:jc w:val="center"/>
          <w:tblLayout w:type="fixed"/>
          <w:tblLook w:val="04A0"/>
        </w:tblPrEx>
        <w:trPr>
          <w:jc w:val="center"/>
        </w:trPr>
        <w:tc>
          <w:tcPr>
            <w:tcW w:w="2784"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LOW COST RAIL</w:t>
            </w:r>
          </w:p>
        </w:tc>
        <w:tc>
          <w:tcPr>
            <w:tcW w:w="1865" w:type="dxa"/>
            <w:tcBorders>
              <w:left w:val="nil"/>
              <w:right w:val="nil"/>
            </w:tcBorders>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New</w:t>
            </w:r>
          </w:p>
        </w:tc>
        <w:tc>
          <w:tcPr>
            <w:tcW w:w="1711"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23/03/2017</w:t>
            </w:r>
          </w:p>
        </w:tc>
      </w:tr>
      <w:tr w:rsidTr="002F2972">
        <w:tblPrEx>
          <w:tblW w:w="0" w:type="auto"/>
          <w:jc w:val="center"/>
          <w:tblLayout w:type="fixed"/>
          <w:tblLook w:val="04A0"/>
        </w:tblPrEx>
        <w:trPr>
          <w:jc w:val="center"/>
        </w:trPr>
        <w:tc>
          <w:tcPr>
            <w:tcW w:w="2784"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ALSA FERROCARRILES</w:t>
            </w:r>
          </w:p>
        </w:tc>
        <w:tc>
          <w:tcPr>
            <w:tcW w:w="1865"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Renewal</w:t>
            </w:r>
          </w:p>
        </w:tc>
        <w:tc>
          <w:tcPr>
            <w:tcW w:w="1711"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26/06/2017</w:t>
            </w:r>
          </w:p>
        </w:tc>
      </w:tr>
      <w:tr w:rsidTr="002F2972">
        <w:tblPrEx>
          <w:tblW w:w="0" w:type="auto"/>
          <w:jc w:val="center"/>
          <w:tblLayout w:type="fixed"/>
          <w:tblLook w:val="04A0"/>
        </w:tblPrEx>
        <w:trPr>
          <w:jc w:val="center"/>
        </w:trPr>
        <w:tc>
          <w:tcPr>
            <w:tcW w:w="2784"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SOCIBUS</w:t>
            </w:r>
          </w:p>
        </w:tc>
        <w:tc>
          <w:tcPr>
            <w:tcW w:w="1865" w:type="dxa"/>
            <w:tcBorders>
              <w:left w:val="nil"/>
              <w:right w:val="nil"/>
            </w:tcBorders>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New</w:t>
            </w:r>
          </w:p>
        </w:tc>
        <w:tc>
          <w:tcPr>
            <w:tcW w:w="1711"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28/07/2017</w:t>
            </w:r>
          </w:p>
        </w:tc>
      </w:tr>
      <w:tr w:rsidTr="002F2972">
        <w:tblPrEx>
          <w:tblW w:w="0" w:type="auto"/>
          <w:jc w:val="center"/>
          <w:tblLayout w:type="fixed"/>
          <w:tblLook w:val="04A0"/>
        </w:tblPrEx>
        <w:trPr>
          <w:jc w:val="center"/>
        </w:trPr>
        <w:tc>
          <w:tcPr>
            <w:tcW w:w="2784"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FERROVIAL RAILWAY</w:t>
            </w:r>
          </w:p>
        </w:tc>
        <w:tc>
          <w:tcPr>
            <w:tcW w:w="1865" w:type="dxa"/>
            <w:tcBorders>
              <w:left w:val="nil"/>
              <w:right w:val="nil"/>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Renewal</w:t>
            </w:r>
          </w:p>
        </w:tc>
        <w:tc>
          <w:tcPr>
            <w:tcW w:w="1711"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18/10/2017</w:t>
            </w:r>
          </w:p>
        </w:tc>
      </w:tr>
      <w:tr w:rsidTr="002F2972">
        <w:tblPrEx>
          <w:tblW w:w="0" w:type="auto"/>
          <w:jc w:val="center"/>
          <w:tblLayout w:type="fixed"/>
          <w:tblLook w:val="04A0"/>
        </w:tblPrEx>
        <w:trPr>
          <w:jc w:val="center"/>
        </w:trPr>
        <w:tc>
          <w:tcPr>
            <w:tcW w:w="2784" w:type="dxa"/>
            <w:shd w:val="clear" w:color="auto" w:fill="DBE5F1" w:themeFill="accent1" w:themeFillTint="33"/>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SAGALÉS RAIL</w:t>
            </w:r>
          </w:p>
        </w:tc>
        <w:tc>
          <w:tcPr>
            <w:tcW w:w="1865" w:type="dxa"/>
            <w:tcBorders>
              <w:left w:val="nil"/>
              <w:right w:val="nil"/>
            </w:tcBorders>
            <w:shd w:val="clear" w:color="auto" w:fill="DBE5F1" w:themeFill="accent1" w:themeFillTint="33"/>
          </w:tcPr>
          <w:p w:rsidR="005C6E47" w:rsidRPr="00650FF1" w:rsidP="002F2972">
            <w:pPr>
              <w:pStyle w:val="NumPar1"/>
              <w:tabs>
                <w:tab w:val="clear" w:pos="480"/>
                <w:tab w:val="left" w:pos="3810"/>
              </w:tabs>
              <w:spacing w:before="60" w:after="60"/>
              <w:ind w:left="0" w:firstLine="0"/>
              <w:jc w:val="center"/>
              <w:rPr>
                <w:rFonts w:ascii="Calibri" w:hAnsi="Calibri"/>
                <w:bCs/>
                <w:sz w:val="22"/>
              </w:rPr>
            </w:pPr>
            <w:r w:rsidRPr="00650FF1">
              <w:rPr>
                <w:rFonts w:ascii="Calibri" w:hAnsi="Calibri"/>
                <w:bCs/>
                <w:sz w:val="22"/>
              </w:rPr>
              <w:t>New</w:t>
            </w:r>
          </w:p>
        </w:tc>
        <w:tc>
          <w:tcPr>
            <w:tcW w:w="1711" w:type="dxa"/>
            <w:shd w:val="clear" w:color="auto" w:fill="DBE5F1" w:themeFill="accent1" w:themeFillTint="33"/>
          </w:tcPr>
          <w:p w:rsidR="005C6E47" w:rsidRPr="00650FF1" w:rsidP="002F2972">
            <w:pPr>
              <w:pStyle w:val="NumPar1"/>
              <w:tabs>
                <w:tab w:val="clear" w:pos="480"/>
                <w:tab w:val="left" w:pos="3810"/>
              </w:tabs>
              <w:spacing w:before="60" w:after="60"/>
              <w:ind w:left="0" w:firstLine="0"/>
              <w:jc w:val="center"/>
              <w:rPr>
                <w:rFonts w:ascii="Calibri" w:hAnsi="Calibri"/>
                <w:bCs/>
                <w:sz w:val="22"/>
              </w:rPr>
            </w:pPr>
            <w:r w:rsidRPr="00650FF1">
              <w:rPr>
                <w:rFonts w:ascii="Calibri" w:hAnsi="Calibri"/>
                <w:bCs/>
                <w:sz w:val="22"/>
              </w:rPr>
              <w:t>06/11/2017</w:t>
            </w:r>
          </w:p>
        </w:tc>
      </w:tr>
      <w:tr w:rsidTr="002F2972">
        <w:tblPrEx>
          <w:tblW w:w="0" w:type="auto"/>
          <w:jc w:val="center"/>
          <w:tblLayout w:type="fixed"/>
          <w:tblLook w:val="04A0"/>
        </w:tblPrEx>
        <w:trPr>
          <w:jc w:val="center"/>
        </w:trPr>
        <w:tc>
          <w:tcPr>
            <w:tcW w:w="2784"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CONTINENTAL RAIL</w:t>
            </w:r>
          </w:p>
        </w:tc>
        <w:tc>
          <w:tcPr>
            <w:tcW w:w="1865" w:type="dxa"/>
            <w:tcBorders>
              <w:left w:val="nil"/>
              <w:right w:val="nil"/>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Renewal</w:t>
            </w:r>
          </w:p>
        </w:tc>
        <w:tc>
          <w:tcPr>
            <w:tcW w:w="1711"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23/11/2017</w:t>
            </w:r>
          </w:p>
        </w:tc>
      </w:tr>
    </w:tbl>
    <w:p w:rsidR="005C6E47" w:rsidRPr="00650FF1" w:rsidP="005C6E47">
      <w:pPr>
        <w:pStyle w:val="NumPar1"/>
        <w:tabs>
          <w:tab w:val="clear" w:pos="480"/>
          <w:tab w:val="left" w:pos="3810"/>
        </w:tabs>
        <w:spacing w:after="0"/>
        <w:ind w:left="1952" w:firstLine="0"/>
        <w:rPr>
          <w:rFonts w:ascii="Calibri" w:hAnsi="Calibri"/>
          <w:color w:val="FF0000"/>
          <w:lang w:val="es-ES_tradnl"/>
        </w:rPr>
      </w:pPr>
    </w:p>
    <w:p w:rsidR="005C6E47" w:rsidRPr="00650FF1" w:rsidP="005C6E47">
      <w:pPr>
        <w:pStyle w:val="NumPar1"/>
        <w:tabs>
          <w:tab w:val="clear" w:pos="480"/>
          <w:tab w:val="left" w:pos="3810"/>
        </w:tabs>
        <w:spacing w:after="0"/>
        <w:ind w:left="1952" w:firstLine="0"/>
        <w:rPr>
          <w:rFonts w:ascii="Calibri" w:hAnsi="Calibri"/>
          <w:color w:val="FF0000"/>
          <w:lang w:val="es-ES_tradnl"/>
        </w:rPr>
      </w:pPr>
    </w:p>
    <w:p w:rsidR="005C6E47" w:rsidRPr="00650FF1" w:rsidP="005C6E47">
      <w:pPr>
        <w:pStyle w:val="NumPar1"/>
        <w:tabs>
          <w:tab w:val="clear" w:pos="480"/>
          <w:tab w:val="left" w:pos="3810"/>
        </w:tabs>
        <w:ind w:left="567" w:firstLine="0"/>
        <w:rPr>
          <w:rFonts w:ascii="Calibri" w:hAnsi="Calibri"/>
        </w:rPr>
      </w:pPr>
      <w:r w:rsidRPr="00650FF1">
        <w:rPr>
          <w:rFonts w:ascii="Calibri" w:hAnsi="Calibri"/>
        </w:rPr>
        <w:t>As at 31 December 2017, there were a further six safety certificate files being processed.</w:t>
      </w:r>
    </w:p>
    <w:p w:rsidR="005C6E47" w:rsidRPr="00650FF1" w:rsidP="005C6E47">
      <w:pPr>
        <w:pStyle w:val="NumPar1"/>
        <w:tabs>
          <w:tab w:val="clear" w:pos="480"/>
          <w:tab w:val="left" w:pos="3810"/>
        </w:tabs>
        <w:spacing w:after="0"/>
        <w:ind w:left="1952" w:firstLine="0"/>
        <w:rPr>
          <w:rFonts w:ascii="Calibri" w:hAnsi="Calibri"/>
          <w:color w:val="FF0000"/>
          <w:lang w:val="es-ES_tradnl"/>
        </w:rPr>
      </w:pPr>
    </w:p>
    <w:p w:rsidR="005C6E47" w:rsidRPr="00650FF1" w:rsidP="005C6E47">
      <w:pPr>
        <w:pStyle w:val="Text1"/>
        <w:numPr>
          <w:ilvl w:val="1"/>
          <w:numId w:val="2"/>
        </w:numPr>
        <w:tabs>
          <w:tab w:val="num" w:pos="878"/>
          <w:tab w:val="num" w:pos="1075"/>
          <w:tab w:val="num" w:pos="1223"/>
          <w:tab w:val="num" w:pos="1980"/>
        </w:tabs>
        <w:spacing w:after="120"/>
        <w:ind w:left="567" w:hanging="567"/>
        <w:rPr>
          <w:rFonts w:ascii="Calibri" w:hAnsi="Calibri"/>
          <w:b/>
          <w:smallCaps/>
          <w:sz w:val="32"/>
          <w:szCs w:val="24"/>
        </w:rPr>
      </w:pPr>
      <w:r w:rsidRPr="00650FF1">
        <w:rPr>
          <w:rFonts w:ascii="Calibri" w:hAnsi="Calibri"/>
          <w:b/>
          <w:smallCaps/>
          <w:sz w:val="32"/>
          <w:szCs w:val="24"/>
        </w:rPr>
        <w:t>Part B safety certificates</w:t>
      </w:r>
    </w:p>
    <w:p w:rsidR="005C6E47" w:rsidRPr="00650FF1" w:rsidP="005C6E47">
      <w:pPr>
        <w:pStyle w:val="NumPar1"/>
        <w:tabs>
          <w:tab w:val="clear" w:pos="480"/>
          <w:tab w:val="left" w:pos="3810"/>
        </w:tabs>
        <w:ind w:left="567" w:firstLine="0"/>
        <w:rPr>
          <w:rFonts w:ascii="Calibri" w:hAnsi="Calibri"/>
        </w:rPr>
      </w:pPr>
      <w:r w:rsidRPr="00650FF1">
        <w:rPr>
          <w:rFonts w:ascii="Calibri" w:hAnsi="Calibri"/>
        </w:rPr>
        <w:t xml:space="preserve">The part B safety certificates issued in 2017 </w:t>
      </w:r>
      <w:r w:rsidRPr="00650FF1">
        <w:rPr>
          <w:rFonts w:ascii="Calibri" w:hAnsi="Calibri"/>
        </w:rPr>
        <w:t>are shown</w:t>
      </w:r>
      <w:r w:rsidRPr="00650FF1">
        <w:rPr>
          <w:rFonts w:ascii="Calibri" w:hAnsi="Calibri"/>
        </w:rPr>
        <w:t xml:space="preserve"> below:</w:t>
      </w:r>
    </w:p>
    <w:tbl>
      <w:tblPr>
        <w:tblW w:w="5246" w:type="dxa"/>
        <w:jc w:val="center"/>
        <w:tblBorders>
          <w:top w:val="single" w:sz="8" w:space="0" w:color="4F81BD"/>
          <w:bottom w:val="single" w:sz="8" w:space="0" w:color="4F81BD"/>
        </w:tblBorders>
        <w:tblLayout w:type="fixed"/>
        <w:tblLook w:val="04A0"/>
      </w:tblPr>
      <w:tblGrid>
        <w:gridCol w:w="2268"/>
        <w:gridCol w:w="1560"/>
        <w:gridCol w:w="1418"/>
      </w:tblGrid>
      <w:tr w:rsidTr="002F2972">
        <w:tblPrEx>
          <w:tblW w:w="5246" w:type="dxa"/>
          <w:jc w:val="center"/>
          <w:tblBorders>
            <w:top w:val="single" w:sz="8" w:space="0" w:color="4F81BD"/>
            <w:bottom w:val="single" w:sz="8" w:space="0" w:color="4F81BD"/>
          </w:tblBorders>
          <w:tblLayout w:type="fixed"/>
          <w:tblLook w:val="04A0"/>
        </w:tblPrEx>
        <w:trPr>
          <w:cantSplit/>
          <w:tblHeader/>
          <w:jc w:val="center"/>
        </w:trPr>
        <w:tc>
          <w:tcPr>
            <w:tcW w:w="2268" w:type="dxa"/>
            <w:tcBorders>
              <w:top w:val="single" w:sz="8" w:space="0" w:color="4F81BD"/>
              <w:bottom w:val="single" w:sz="8" w:space="0" w:color="4F81BD"/>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mallCaps/>
                <w:sz w:val="22"/>
              </w:rPr>
            </w:pPr>
            <w:r w:rsidRPr="00650FF1">
              <w:rPr>
                <w:rFonts w:ascii="Calibri" w:hAnsi="Calibri"/>
                <w:b/>
                <w:bCs/>
                <w:smallCaps/>
                <w:sz w:val="22"/>
              </w:rPr>
              <w:t>Railway Undertaking</w:t>
            </w:r>
          </w:p>
        </w:tc>
        <w:tc>
          <w:tcPr>
            <w:tcW w:w="1560" w:type="dxa"/>
            <w:tcBorders>
              <w:top w:val="single" w:sz="8" w:space="0" w:color="4F81BD"/>
              <w:bottom w:val="single" w:sz="8" w:space="0" w:color="4F81BD"/>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mallCaps/>
                <w:sz w:val="22"/>
              </w:rPr>
            </w:pPr>
            <w:r w:rsidRPr="00650FF1">
              <w:rPr>
                <w:rFonts w:ascii="Calibri" w:hAnsi="Calibri"/>
                <w:b/>
                <w:bCs/>
                <w:smallCaps/>
                <w:sz w:val="22"/>
              </w:rPr>
              <w:t>Type of Certificate</w:t>
            </w:r>
          </w:p>
        </w:tc>
        <w:tc>
          <w:tcPr>
            <w:tcW w:w="1418" w:type="dxa"/>
            <w:tcBorders>
              <w:top w:val="single" w:sz="8" w:space="0" w:color="4F81BD"/>
              <w:bottom w:val="single" w:sz="8" w:space="0" w:color="4F81BD"/>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mallCaps/>
                <w:sz w:val="22"/>
              </w:rPr>
            </w:pPr>
            <w:r w:rsidRPr="00650FF1">
              <w:rPr>
                <w:rFonts w:ascii="Calibri" w:hAnsi="Calibri"/>
                <w:b/>
                <w:bCs/>
                <w:smallCaps/>
                <w:sz w:val="22"/>
              </w:rPr>
              <w:t>Issue Date</w:t>
            </w:r>
          </w:p>
        </w:tc>
      </w:tr>
      <w:tr w:rsidTr="002F2972">
        <w:tblPrEx>
          <w:tblW w:w="5246" w:type="dxa"/>
          <w:jc w:val="center"/>
          <w:tblLayout w:type="fixed"/>
          <w:tblLook w:val="04A0"/>
        </w:tblPrEx>
        <w:trPr>
          <w:jc w:val="center"/>
        </w:trPr>
        <w:tc>
          <w:tcPr>
            <w:tcW w:w="2268"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LOW COST RAIL</w:t>
            </w:r>
          </w:p>
        </w:tc>
        <w:tc>
          <w:tcPr>
            <w:tcW w:w="1560" w:type="dxa"/>
            <w:tcBorders>
              <w:left w:val="nil"/>
              <w:right w:val="nil"/>
            </w:tcBorders>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New</w:t>
            </w:r>
          </w:p>
        </w:tc>
        <w:tc>
          <w:tcPr>
            <w:tcW w:w="1418"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23/03/2017</w:t>
            </w:r>
          </w:p>
        </w:tc>
      </w:tr>
      <w:tr w:rsidTr="002F2972">
        <w:tblPrEx>
          <w:tblW w:w="5246" w:type="dxa"/>
          <w:jc w:val="center"/>
          <w:tblLayout w:type="fixed"/>
          <w:tblLook w:val="04A0"/>
        </w:tblPrEx>
        <w:trPr>
          <w:jc w:val="center"/>
        </w:trPr>
        <w:tc>
          <w:tcPr>
            <w:tcW w:w="2268"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 xml:space="preserve">SNCF </w:t>
            </w:r>
            <w:r w:rsidRPr="00650FF1">
              <w:rPr>
                <w:rFonts w:ascii="Calibri" w:hAnsi="Calibri"/>
                <w:b/>
                <w:bCs/>
                <w:sz w:val="22"/>
              </w:rPr>
              <w:t>Mobilités</w:t>
            </w:r>
          </w:p>
        </w:tc>
        <w:tc>
          <w:tcPr>
            <w:tcW w:w="1560"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Renewal</w:t>
            </w:r>
          </w:p>
        </w:tc>
        <w:tc>
          <w:tcPr>
            <w:tcW w:w="1418"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25/05/2017</w:t>
            </w:r>
          </w:p>
        </w:tc>
      </w:tr>
      <w:tr w:rsidTr="002F2972">
        <w:tblPrEx>
          <w:tblW w:w="5246" w:type="dxa"/>
          <w:jc w:val="center"/>
          <w:tblLayout w:type="fixed"/>
          <w:tblLook w:val="04A0"/>
        </w:tblPrEx>
        <w:trPr>
          <w:jc w:val="center"/>
        </w:trPr>
        <w:tc>
          <w:tcPr>
            <w:tcW w:w="2268"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ALSA FERROCARRILES</w:t>
            </w:r>
          </w:p>
        </w:tc>
        <w:tc>
          <w:tcPr>
            <w:tcW w:w="1560" w:type="dxa"/>
            <w:tcBorders>
              <w:left w:val="nil"/>
              <w:right w:val="nil"/>
            </w:tcBorders>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Renewal</w:t>
            </w:r>
          </w:p>
        </w:tc>
        <w:tc>
          <w:tcPr>
            <w:tcW w:w="1418"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26/06/2017</w:t>
            </w:r>
          </w:p>
        </w:tc>
      </w:tr>
      <w:tr w:rsidTr="002F2972">
        <w:tblPrEx>
          <w:tblW w:w="5246" w:type="dxa"/>
          <w:jc w:val="center"/>
          <w:tblLayout w:type="fixed"/>
          <w:tblLook w:val="04A0"/>
        </w:tblPrEx>
        <w:trPr>
          <w:jc w:val="center"/>
        </w:trPr>
        <w:tc>
          <w:tcPr>
            <w:tcW w:w="2268"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SOCIBUS</w:t>
            </w:r>
          </w:p>
        </w:tc>
        <w:tc>
          <w:tcPr>
            <w:tcW w:w="1560"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New</w:t>
            </w:r>
          </w:p>
        </w:tc>
        <w:tc>
          <w:tcPr>
            <w:tcW w:w="1418"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28/07/2017</w:t>
            </w:r>
          </w:p>
        </w:tc>
      </w:tr>
      <w:tr w:rsidTr="002F2972">
        <w:tblPrEx>
          <w:tblW w:w="5246" w:type="dxa"/>
          <w:jc w:val="center"/>
          <w:tblLayout w:type="fixed"/>
          <w:tblLook w:val="04A0"/>
        </w:tblPrEx>
        <w:trPr>
          <w:jc w:val="center"/>
        </w:trPr>
        <w:tc>
          <w:tcPr>
            <w:tcW w:w="2268"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FERROVIAL RAILWAY</w:t>
            </w:r>
          </w:p>
        </w:tc>
        <w:tc>
          <w:tcPr>
            <w:tcW w:w="1560" w:type="dxa"/>
            <w:tcBorders>
              <w:left w:val="nil"/>
              <w:right w:val="nil"/>
            </w:tcBorders>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bCs/>
                <w:sz w:val="22"/>
              </w:rPr>
            </w:pPr>
            <w:r w:rsidRPr="00650FF1">
              <w:rPr>
                <w:rFonts w:ascii="Calibri" w:hAnsi="Calibri"/>
                <w:bCs/>
                <w:sz w:val="22"/>
              </w:rPr>
              <w:t>Renewal</w:t>
            </w:r>
          </w:p>
        </w:tc>
        <w:tc>
          <w:tcPr>
            <w:tcW w:w="1418" w:type="dxa"/>
            <w:shd w:val="clear" w:color="auto" w:fill="D3DFEE"/>
          </w:tcPr>
          <w:p w:rsidR="005C6E47" w:rsidRPr="00650FF1" w:rsidP="002F2972">
            <w:pPr>
              <w:pStyle w:val="NumPar1"/>
              <w:tabs>
                <w:tab w:val="clear" w:pos="480"/>
                <w:tab w:val="left" w:pos="3810"/>
              </w:tabs>
              <w:spacing w:before="60" w:after="60"/>
              <w:ind w:left="0" w:firstLine="0"/>
              <w:jc w:val="center"/>
              <w:rPr>
                <w:rFonts w:ascii="Calibri" w:hAnsi="Calibri"/>
                <w:bCs/>
                <w:sz w:val="22"/>
              </w:rPr>
            </w:pPr>
            <w:r w:rsidRPr="00650FF1">
              <w:rPr>
                <w:rFonts w:ascii="Calibri" w:hAnsi="Calibri"/>
                <w:bCs/>
                <w:sz w:val="22"/>
              </w:rPr>
              <w:t>18/10/2017</w:t>
            </w:r>
          </w:p>
        </w:tc>
      </w:tr>
      <w:tr w:rsidTr="002F2972">
        <w:tblPrEx>
          <w:tblW w:w="5246" w:type="dxa"/>
          <w:jc w:val="center"/>
          <w:tblLayout w:type="fixed"/>
          <w:tblLook w:val="04A0"/>
        </w:tblPrEx>
        <w:trPr>
          <w:jc w:val="center"/>
        </w:trPr>
        <w:tc>
          <w:tcPr>
            <w:tcW w:w="2268"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SAGALÉS RAIL</w:t>
            </w:r>
          </w:p>
        </w:tc>
        <w:tc>
          <w:tcPr>
            <w:tcW w:w="1560" w:type="dxa"/>
            <w:tcBorders>
              <w:left w:val="nil"/>
              <w:right w:val="nil"/>
            </w:tcBorders>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New</w:t>
            </w:r>
          </w:p>
        </w:tc>
        <w:tc>
          <w:tcPr>
            <w:tcW w:w="1418" w:type="dxa"/>
            <w:shd w:val="clear" w:color="auto" w:fill="auto"/>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06/11/2017</w:t>
            </w:r>
          </w:p>
        </w:tc>
      </w:tr>
      <w:tr w:rsidTr="002F2972">
        <w:tblPrEx>
          <w:tblW w:w="5246" w:type="dxa"/>
          <w:jc w:val="center"/>
          <w:tblLayout w:type="fixed"/>
          <w:tblLook w:val="04A0"/>
        </w:tblPrEx>
        <w:trPr>
          <w:jc w:val="center"/>
        </w:trPr>
        <w:tc>
          <w:tcPr>
            <w:tcW w:w="2268" w:type="dxa"/>
            <w:shd w:val="clear" w:color="auto" w:fill="DBE5F1" w:themeFill="accent1" w:themeFillTint="33"/>
          </w:tcPr>
          <w:p w:rsidR="005C6E47" w:rsidRPr="00650FF1" w:rsidP="002F2972">
            <w:pPr>
              <w:pStyle w:val="NumPar1"/>
              <w:tabs>
                <w:tab w:val="clear" w:pos="480"/>
                <w:tab w:val="left" w:pos="3810"/>
              </w:tabs>
              <w:spacing w:before="60" w:after="60"/>
              <w:ind w:left="0" w:firstLine="0"/>
              <w:jc w:val="center"/>
              <w:rPr>
                <w:rFonts w:ascii="Calibri" w:hAnsi="Calibri"/>
                <w:b/>
                <w:bCs/>
                <w:sz w:val="22"/>
              </w:rPr>
            </w:pPr>
            <w:r w:rsidRPr="00650FF1">
              <w:rPr>
                <w:rFonts w:ascii="Calibri" w:hAnsi="Calibri"/>
                <w:b/>
                <w:bCs/>
                <w:sz w:val="22"/>
              </w:rPr>
              <w:t>CONTINENTAL RAIL</w:t>
            </w:r>
          </w:p>
        </w:tc>
        <w:tc>
          <w:tcPr>
            <w:tcW w:w="1560" w:type="dxa"/>
            <w:tcBorders>
              <w:left w:val="nil"/>
              <w:right w:val="nil"/>
            </w:tcBorders>
            <w:shd w:val="clear" w:color="auto" w:fill="DBE5F1" w:themeFill="accent1" w:themeFillTint="33"/>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Renewal</w:t>
            </w:r>
          </w:p>
        </w:tc>
        <w:tc>
          <w:tcPr>
            <w:tcW w:w="1418" w:type="dxa"/>
            <w:shd w:val="clear" w:color="auto" w:fill="DBE5F1" w:themeFill="accent1" w:themeFillTint="33"/>
          </w:tcPr>
          <w:p w:rsidR="005C6E47" w:rsidRPr="00650FF1" w:rsidP="002F2972">
            <w:pPr>
              <w:pStyle w:val="NumPar1"/>
              <w:tabs>
                <w:tab w:val="clear" w:pos="480"/>
                <w:tab w:val="left" w:pos="3810"/>
              </w:tabs>
              <w:spacing w:before="60" w:after="60"/>
              <w:ind w:left="0" w:firstLine="0"/>
              <w:jc w:val="center"/>
              <w:rPr>
                <w:rFonts w:ascii="Calibri" w:hAnsi="Calibri"/>
                <w:sz w:val="22"/>
              </w:rPr>
            </w:pPr>
            <w:r w:rsidRPr="00650FF1">
              <w:rPr>
                <w:rFonts w:ascii="Calibri" w:hAnsi="Calibri"/>
                <w:sz w:val="22"/>
              </w:rPr>
              <w:t>23/11/2017</w:t>
            </w:r>
          </w:p>
        </w:tc>
      </w:tr>
    </w:tbl>
    <w:p w:rsidR="005C6E47" w:rsidRPr="00650FF1" w:rsidP="005C6E47">
      <w:pPr>
        <w:pStyle w:val="NumPar1"/>
        <w:tabs>
          <w:tab w:val="clear" w:pos="480"/>
          <w:tab w:val="left" w:pos="3810"/>
        </w:tabs>
        <w:spacing w:after="0"/>
        <w:ind w:left="1952" w:firstLine="0"/>
        <w:rPr>
          <w:rFonts w:ascii="Calibri" w:hAnsi="Calibri"/>
          <w:lang w:val="es-ES_tradnl"/>
        </w:rPr>
      </w:pPr>
    </w:p>
    <w:p w:rsidR="005C6E47" w:rsidRPr="00650FF1" w:rsidP="005C6E47">
      <w:pPr>
        <w:rPr>
          <w:rFonts w:ascii="Calibri" w:hAnsi="Calibri"/>
          <w:lang w:val="es-ES_tradnl"/>
        </w:rPr>
      </w:pPr>
    </w:p>
    <w:p w:rsidR="005C6E47" w:rsidRPr="00650FF1" w:rsidP="005C6E47">
      <w:pPr>
        <w:pStyle w:val="Text1"/>
        <w:numPr>
          <w:ilvl w:val="1"/>
          <w:numId w:val="2"/>
        </w:numPr>
        <w:tabs>
          <w:tab w:val="num" w:pos="878"/>
          <w:tab w:val="num" w:pos="1075"/>
          <w:tab w:val="num" w:pos="1223"/>
          <w:tab w:val="num" w:pos="1980"/>
        </w:tabs>
        <w:spacing w:after="120"/>
        <w:ind w:left="567" w:hanging="567"/>
        <w:rPr>
          <w:rFonts w:ascii="Calibri" w:hAnsi="Calibri"/>
          <w:b/>
          <w:smallCaps/>
          <w:sz w:val="32"/>
          <w:szCs w:val="24"/>
        </w:rPr>
      </w:pPr>
      <w:r w:rsidRPr="00650FF1">
        <w:rPr>
          <w:rFonts w:ascii="Calibri" w:hAnsi="Calibri"/>
          <w:b/>
          <w:smallCaps/>
          <w:sz w:val="32"/>
          <w:szCs w:val="24"/>
        </w:rPr>
        <w:t>Safety authorisations</w:t>
      </w:r>
    </w:p>
    <w:p w:rsidR="005C6E47" w:rsidRPr="00650FF1" w:rsidP="005C6E47">
      <w:pPr>
        <w:pStyle w:val="NumPar1"/>
        <w:tabs>
          <w:tab w:val="clear" w:pos="480"/>
          <w:tab w:val="left" w:pos="3810"/>
        </w:tabs>
        <w:ind w:left="567" w:firstLine="0"/>
        <w:rPr>
          <w:rFonts w:ascii="Calibri" w:hAnsi="Calibri"/>
        </w:rPr>
      </w:pPr>
      <w:r w:rsidRPr="00650FF1">
        <w:rPr>
          <w:rFonts w:ascii="Calibri" w:hAnsi="Calibri"/>
        </w:rPr>
        <w:t xml:space="preserve">In 2017, no new safety authorisations </w:t>
      </w:r>
      <w:r w:rsidRPr="00650FF1">
        <w:rPr>
          <w:rFonts w:ascii="Calibri" w:hAnsi="Calibri"/>
        </w:rPr>
        <w:t>were issued</w:t>
      </w:r>
      <w:r w:rsidRPr="00650FF1">
        <w:rPr>
          <w:rFonts w:ascii="Calibri" w:hAnsi="Calibri"/>
        </w:rPr>
        <w:t xml:space="preserve">, following the renewal of the authorisations of </w:t>
      </w:r>
      <w:r w:rsidRPr="00650FF1">
        <w:rPr>
          <w:rFonts w:ascii="Calibri" w:hAnsi="Calibri"/>
        </w:rPr>
        <w:t>Adif</w:t>
      </w:r>
      <w:r w:rsidRPr="00650FF1">
        <w:rPr>
          <w:rFonts w:ascii="Calibri" w:hAnsi="Calibri"/>
        </w:rPr>
        <w:t xml:space="preserve">, </w:t>
      </w:r>
      <w:r w:rsidRPr="00650FF1">
        <w:rPr>
          <w:rFonts w:ascii="Calibri" w:hAnsi="Calibri"/>
        </w:rPr>
        <w:t>Adif</w:t>
      </w:r>
      <w:r w:rsidRPr="00650FF1">
        <w:rPr>
          <w:rFonts w:ascii="Calibri" w:hAnsi="Calibri"/>
        </w:rPr>
        <w:t xml:space="preserve"> Alta </w:t>
      </w:r>
      <w:r w:rsidRPr="00650FF1">
        <w:rPr>
          <w:rFonts w:ascii="Calibri" w:hAnsi="Calibri"/>
        </w:rPr>
        <w:t>Velocidad</w:t>
      </w:r>
      <w:r w:rsidRPr="00650FF1">
        <w:rPr>
          <w:rFonts w:ascii="Calibri" w:hAnsi="Calibri"/>
        </w:rPr>
        <w:t xml:space="preserve"> and the company managing the </w:t>
      </w:r>
      <w:r w:rsidRPr="00650FF1">
        <w:rPr>
          <w:rFonts w:ascii="Calibri" w:hAnsi="Calibri"/>
        </w:rPr>
        <w:t>Figueres</w:t>
      </w:r>
      <w:r w:rsidRPr="00650FF1">
        <w:rPr>
          <w:rFonts w:ascii="Calibri" w:hAnsi="Calibri"/>
        </w:rPr>
        <w:t>-Perpignan Line in previous years.</w:t>
      </w:r>
    </w:p>
    <w:p w:rsidR="005C6E47" w:rsidRPr="00650FF1" w:rsidP="005C6E47">
      <w:pPr>
        <w:pStyle w:val="NumPar1"/>
        <w:tabs>
          <w:tab w:val="clear" w:pos="480"/>
          <w:tab w:val="left" w:pos="3810"/>
        </w:tabs>
        <w:ind w:left="567" w:firstLine="0"/>
        <w:rPr>
          <w:rFonts w:ascii="Calibri" w:hAnsi="Calibri"/>
          <w:lang w:val="es-ES_tradnl"/>
        </w:rPr>
      </w:pPr>
    </w:p>
    <w:p w:rsidR="005C6E47" w:rsidRPr="00650FF1" w:rsidP="005C6E47">
      <w:pPr>
        <w:pStyle w:val="Text1"/>
        <w:numPr>
          <w:ilvl w:val="1"/>
          <w:numId w:val="2"/>
        </w:numPr>
        <w:tabs>
          <w:tab w:val="num" w:pos="878"/>
          <w:tab w:val="num" w:pos="1075"/>
          <w:tab w:val="num" w:pos="1223"/>
          <w:tab w:val="num" w:pos="1980"/>
        </w:tabs>
        <w:spacing w:after="120"/>
        <w:ind w:left="567" w:hanging="567"/>
        <w:rPr>
          <w:rFonts w:ascii="Calibri" w:hAnsi="Calibri"/>
          <w:b/>
          <w:smallCaps/>
          <w:sz w:val="32"/>
          <w:szCs w:val="24"/>
        </w:rPr>
      </w:pPr>
      <w:r w:rsidRPr="00650FF1">
        <w:rPr>
          <w:rFonts w:ascii="Calibri" w:hAnsi="Calibri"/>
          <w:b/>
          <w:smallCaps/>
          <w:sz w:val="32"/>
          <w:szCs w:val="24"/>
        </w:rPr>
        <w:t>Relations with other safety authorities</w:t>
      </w:r>
    </w:p>
    <w:p w:rsidR="005C6E47" w:rsidRPr="00650FF1" w:rsidP="005C6E47">
      <w:pPr>
        <w:pStyle w:val="NumPar1"/>
        <w:tabs>
          <w:tab w:val="clear" w:pos="480"/>
          <w:tab w:val="left" w:pos="3810"/>
        </w:tabs>
        <w:ind w:left="567" w:firstLine="0"/>
        <w:rPr>
          <w:rFonts w:ascii="Calibri" w:hAnsi="Calibri"/>
        </w:rPr>
      </w:pPr>
      <w:r w:rsidRPr="00650FF1">
        <w:rPr>
          <w:rFonts w:ascii="Calibri" w:hAnsi="Calibri"/>
        </w:rPr>
        <w:t>In order to issue these certificates in 2017 it was not necessary to make contact with national authorities in other EU Member States.</w:t>
      </w:r>
    </w:p>
    <w:p w:rsidR="005C6E47" w:rsidRPr="00650FF1" w:rsidP="005C6E47">
      <w:pPr>
        <w:pStyle w:val="NumPar1"/>
        <w:tabs>
          <w:tab w:val="clear" w:pos="480"/>
          <w:tab w:val="left" w:pos="3810"/>
        </w:tabs>
        <w:ind w:left="567" w:firstLine="0"/>
        <w:rPr>
          <w:rFonts w:ascii="Calibri" w:hAnsi="Calibri"/>
          <w:lang w:val="es-ES_tradnl"/>
        </w:rPr>
      </w:pPr>
    </w:p>
    <w:p w:rsidR="005C6E47" w:rsidRPr="00637CB5" w:rsidP="00637CB5">
      <w:pPr>
        <w:pStyle w:val="Subtitulo1"/>
        <w:numPr>
          <w:ilvl w:val="0"/>
          <w:numId w:val="11"/>
        </w:numPr>
        <w:tabs>
          <w:tab w:val="num" w:pos="284"/>
        </w:tabs>
        <w:ind w:left="426"/>
        <w:rPr>
          <w:lang w:val="es-ES_tradnl"/>
        </w:rPr>
      </w:pPr>
      <w:r w:rsidRPr="00637CB5">
        <w:rPr>
          <w:lang w:val="es-ES_tradnl"/>
        </w:rPr>
        <w:t>Results and conclusions from 2017</w:t>
      </w:r>
    </w:p>
    <w:p w:rsidR="005C6E47" w:rsidRPr="00650FF1" w:rsidP="005C6E47">
      <w:pPr>
        <w:pStyle w:val="Text1"/>
        <w:tabs>
          <w:tab w:val="num" w:pos="284"/>
        </w:tabs>
        <w:spacing w:before="240" w:after="120"/>
        <w:ind w:left="0"/>
        <w:rPr>
          <w:rFonts w:ascii="Calibri" w:hAnsi="Calibri"/>
          <w:szCs w:val="24"/>
        </w:rPr>
      </w:pPr>
      <w:r w:rsidRPr="00650FF1">
        <w:rPr>
          <w:rFonts w:ascii="Calibri" w:hAnsi="Calibri"/>
          <w:szCs w:val="24"/>
        </w:rPr>
        <w:t>The AESF’s experience in this area in 2017 yielded the following notable conclusions:</w:t>
      </w:r>
    </w:p>
    <w:p w:rsidR="005C6E47" w:rsidRPr="00650FF1" w:rsidP="005C6E47">
      <w:pPr>
        <w:pStyle w:val="PUNTOS"/>
        <w:numPr>
          <w:ilvl w:val="0"/>
          <w:numId w:val="23"/>
        </w:numPr>
      </w:pPr>
      <w:r w:rsidRPr="00650FF1">
        <w:t>Some of the points on which the AESF has been placing the most emphasis in its assessments in 2017 – and which will continue to be key points in coming years – are as follows:</w:t>
      </w:r>
    </w:p>
    <w:p w:rsidR="005C6E47" w:rsidRPr="00650FF1" w:rsidP="005C6E47">
      <w:pPr>
        <w:pStyle w:val="PUNTOS"/>
        <w:numPr>
          <w:ilvl w:val="1"/>
          <w:numId w:val="23"/>
        </w:numPr>
      </w:pPr>
      <w:r w:rsidRPr="00650FF1">
        <w:t>The application of Regulation 402/2013, including aspects such as the management of hazard records.</w:t>
      </w:r>
    </w:p>
    <w:p w:rsidR="005C6E47" w:rsidRPr="00650FF1" w:rsidP="005C6E47">
      <w:pPr>
        <w:pStyle w:val="PUNTOS"/>
        <w:numPr>
          <w:ilvl w:val="1"/>
          <w:numId w:val="23"/>
        </w:numPr>
      </w:pPr>
      <w:r w:rsidRPr="00650FF1">
        <w:t>The application of internal surveillance processes and their relationship with indicators and objectives.</w:t>
      </w:r>
    </w:p>
    <w:p w:rsidR="005C6E47" w:rsidRPr="00650FF1" w:rsidP="005C6E47">
      <w:pPr>
        <w:pStyle w:val="PUNTOS"/>
        <w:numPr>
          <w:ilvl w:val="1"/>
          <w:numId w:val="23"/>
        </w:numPr>
      </w:pPr>
      <w:r w:rsidRPr="00650FF1">
        <w:t xml:space="preserve">The establishment of systems for managing staff skills, especially those of </w:t>
      </w:r>
      <w:r w:rsidRPr="00650FF1">
        <w:t>staff which</w:t>
      </w:r>
      <w:r w:rsidRPr="00650FF1">
        <w:t xml:space="preserve"> are not authorised and, therefore, are not expressly identified in national legislation.</w:t>
      </w:r>
    </w:p>
    <w:p w:rsidR="005C6E47" w:rsidRPr="00650FF1" w:rsidP="005C6E47">
      <w:pPr>
        <w:pStyle w:val="PUNTOS"/>
        <w:numPr>
          <w:ilvl w:val="1"/>
          <w:numId w:val="23"/>
        </w:numPr>
      </w:pPr>
      <w:r w:rsidRPr="00650FF1">
        <w:t>The manner in which operating procedures derived from national legislation or from the operation and traffic management technical specification for interoperability (OPE TSI) are implemented in the SMSs, such as, for example, those relating to train driver rule books and checks prior to setting off.</w:t>
      </w:r>
    </w:p>
    <w:p w:rsidR="005C6E47" w:rsidRPr="00650FF1" w:rsidP="005C6E47">
      <w:pPr>
        <w:pStyle w:val="PUNTOS"/>
        <w:numPr>
          <w:ilvl w:val="0"/>
          <w:numId w:val="0"/>
        </w:numPr>
        <w:ind w:left="720"/>
      </w:pPr>
    </w:p>
    <w:p w:rsidR="005C6E47" w:rsidRPr="00650FF1" w:rsidP="005C6E47">
      <w:pPr>
        <w:pStyle w:val="PUNTOS"/>
        <w:numPr>
          <w:ilvl w:val="0"/>
          <w:numId w:val="23"/>
        </w:numPr>
      </w:pPr>
      <w:r w:rsidRPr="00650FF1">
        <w:t>The instances of collaboration between railway undertakings to establish synergies making it possible to develop common procedures, such as that for a ‘unified safety management system’ set in motion by various freight companies of the Association of Private Railway Companies (</w:t>
      </w:r>
      <w:r w:rsidRPr="00650FF1">
        <w:t>Asociación</w:t>
      </w:r>
      <w:r w:rsidRPr="00650FF1">
        <w:t xml:space="preserve"> de </w:t>
      </w:r>
      <w:r w:rsidRPr="00650FF1">
        <w:t>Empresas</w:t>
      </w:r>
      <w:r w:rsidRPr="00650FF1">
        <w:t xml:space="preserve"> </w:t>
      </w:r>
      <w:r w:rsidRPr="00650FF1">
        <w:t>Ferroviarias</w:t>
      </w:r>
      <w:r w:rsidRPr="00650FF1">
        <w:t xml:space="preserve"> </w:t>
      </w:r>
      <w:r w:rsidRPr="00650FF1">
        <w:t>Privadas</w:t>
      </w:r>
      <w:r w:rsidRPr="00650FF1">
        <w:t xml:space="preserve">) are, from the point of view of the AESF, very positive. </w:t>
      </w:r>
    </w:p>
    <w:p w:rsidR="005C6E47" w:rsidRPr="00650FF1" w:rsidP="005C6E47">
      <w:pPr>
        <w:pStyle w:val="PUNTOS"/>
        <w:numPr>
          <w:ilvl w:val="0"/>
          <w:numId w:val="0"/>
        </w:numPr>
        <w:ind w:left="720"/>
      </w:pPr>
      <w:r w:rsidRPr="00650FF1">
        <w:t xml:space="preserve">While always respecting companies’ freedom to have their own documents, these procedures, developed through cooperation between various undertakings and in direct consultation with the AESF, make it possible to incorporate and exchange experiences and best practice within the sector, </w:t>
      </w:r>
      <w:r w:rsidRPr="00650FF1">
        <w:t>provided that</w:t>
      </w:r>
      <w:r w:rsidRPr="00650FF1">
        <w:t xml:space="preserve"> they are properly adapted to the particular situation of each company.</w:t>
      </w:r>
    </w:p>
    <w:p w:rsidR="005C6E47" w:rsidRPr="00650FF1" w:rsidP="005C6E47">
      <w:pPr>
        <w:pStyle w:val="PUNTOS"/>
        <w:numPr>
          <w:ilvl w:val="0"/>
          <w:numId w:val="0"/>
        </w:numPr>
        <w:ind w:left="720"/>
      </w:pPr>
      <w:r w:rsidRPr="00650FF1">
        <w:t>The AESF encourages the sector to continue working on similar experiences, showing its willingness to collaborate, as it has done up to now.</w:t>
      </w:r>
    </w:p>
    <w:p w:rsidR="005C6E47" w:rsidRPr="00650FF1" w:rsidP="005C6E47">
      <w:pPr>
        <w:pStyle w:val="PUNTOS"/>
        <w:numPr>
          <w:ilvl w:val="0"/>
          <w:numId w:val="0"/>
        </w:numPr>
        <w:ind w:left="720"/>
      </w:pPr>
    </w:p>
    <w:p w:rsidR="005C6E47" w:rsidRPr="00650FF1" w:rsidP="005C6E47">
      <w:pPr>
        <w:pStyle w:val="PUNTOS"/>
        <w:numPr>
          <w:ilvl w:val="0"/>
          <w:numId w:val="23"/>
        </w:numPr>
      </w:pPr>
      <w:r w:rsidRPr="00650FF1">
        <w:t xml:space="preserve">Notwithstanding what is set out in the preceding point, the AESF continues to perceive certain deficiencies in the adaptation of the SMSs to the scope and type of operation and to the size of the undertaking. At times, companies are equipped with management systems more in keeping with </w:t>
      </w:r>
      <w:r w:rsidRPr="00650FF1">
        <w:t>larger companies and which may require higher levels of use than an SMS adapted to the real size of the company may require</w:t>
      </w:r>
      <w:r w:rsidRPr="00650FF1">
        <w:t xml:space="preserve">. As the AESF has been insisting, it is </w:t>
      </w:r>
      <w:r w:rsidRPr="00650FF1">
        <w:t>essential that companies properly assess such aspects when designing and reviewing their SMSs.</w:t>
      </w:r>
    </w:p>
    <w:p w:rsidR="005C6E47" w:rsidRPr="00650FF1" w:rsidP="005C6E47">
      <w:pPr>
        <w:pStyle w:val="PUNTOS"/>
        <w:numPr>
          <w:ilvl w:val="0"/>
          <w:numId w:val="0"/>
        </w:numPr>
        <w:ind w:left="720"/>
      </w:pPr>
    </w:p>
    <w:p w:rsidR="005C6E47" w:rsidRPr="00650FF1" w:rsidP="005C6E47">
      <w:pPr>
        <w:pStyle w:val="PUNTOS"/>
        <w:numPr>
          <w:ilvl w:val="0"/>
          <w:numId w:val="23"/>
        </w:numPr>
      </w:pPr>
      <w:r w:rsidRPr="00650FF1">
        <w:t>The AESF also wishes to emphasise the importance, after a certificate/authorisation has been issued, of entities resolving those matters which, while they did not prevent it being issued, may still be outstanding, providing action plans and documentary evidence to show that the relevant actions are being taken in the agreed time frame.</w:t>
      </w:r>
    </w:p>
    <w:p w:rsidR="005C6E47" w:rsidRPr="00650FF1" w:rsidP="005C6E47">
      <w:pPr>
        <w:pStyle w:val="PUNTOS"/>
        <w:numPr>
          <w:ilvl w:val="0"/>
          <w:numId w:val="0"/>
        </w:numPr>
        <w:ind w:left="720"/>
      </w:pPr>
      <w:r w:rsidRPr="00650FF1">
        <w:t xml:space="preserve">The AESF understands that there may be </w:t>
      </w:r>
      <w:r w:rsidRPr="00650FF1">
        <w:t>points which</w:t>
      </w:r>
      <w:r w:rsidRPr="00650FF1">
        <w:t xml:space="preserve"> are not regarded as preventing certificates/authorisations being issued. That is necessary to avoid imposing unnecessary limitations on the market. Nevertheless, for the supervision functions of the AESF, it is necessary for the entities concerned to show that they are resolving those matters, complying with the conditions of the certificates/authorisations.</w:t>
      </w:r>
    </w:p>
    <w:p w:rsidR="005C6E47" w:rsidRPr="00650FF1" w:rsidP="005C6E47">
      <w:pPr>
        <w:pStyle w:val="PUNTOS"/>
        <w:numPr>
          <w:ilvl w:val="0"/>
          <w:numId w:val="0"/>
        </w:numPr>
        <w:ind w:left="720"/>
      </w:pPr>
      <w:r w:rsidRPr="00650FF1">
        <w:t xml:space="preserve">The same occurs with those </w:t>
      </w:r>
      <w:r w:rsidRPr="00650FF1">
        <w:t>documents which</w:t>
      </w:r>
      <w:r w:rsidRPr="00650FF1">
        <w:t xml:space="preserve"> undertakings must review and send to the AESF just as commercial operation begins, which finalise certain matters which still may not have been settled at the time when the certificate was issued.</w:t>
      </w:r>
    </w:p>
    <w:p w:rsidR="005C6E47" w:rsidRPr="00650FF1" w:rsidP="005C6E47">
      <w:pPr>
        <w:pStyle w:val="PUNTOS"/>
        <w:numPr>
          <w:ilvl w:val="0"/>
          <w:numId w:val="0"/>
        </w:numPr>
        <w:ind w:left="720"/>
      </w:pPr>
    </w:p>
    <w:p w:rsidR="005C6E47" w:rsidRPr="00650FF1" w:rsidP="005C6E47">
      <w:pPr>
        <w:pStyle w:val="PUNTOS"/>
        <w:numPr>
          <w:ilvl w:val="0"/>
          <w:numId w:val="23"/>
        </w:numPr>
      </w:pPr>
      <w:r w:rsidRPr="00650FF1">
        <w:t xml:space="preserve">In any event, the AESF urges </w:t>
      </w:r>
      <w:r w:rsidRPr="00650FF1">
        <w:t>companies which</w:t>
      </w:r>
      <w:r w:rsidRPr="00650FF1">
        <w:t xml:space="preserve"> are new entrants to the sector to think about the appropriate time to apply for the safety certificate, if they do not expect to begin operating immediately. Such companies need to consider realistically the timescales required for the operation and for obtaining the certificate, as well as their business plans.</w:t>
      </w:r>
    </w:p>
    <w:p w:rsidR="005C6E47" w:rsidRPr="00650FF1" w:rsidP="005C6E47">
      <w:pPr>
        <w:pStyle w:val="PUNTOS"/>
        <w:numPr>
          <w:ilvl w:val="0"/>
          <w:numId w:val="0"/>
        </w:numPr>
        <w:ind w:left="720"/>
      </w:pPr>
      <w:r w:rsidRPr="00650FF1">
        <w:t xml:space="preserve">In the experience of the AESF, obtaining the certificate </w:t>
      </w:r>
      <w:r w:rsidRPr="00650FF1">
        <w:t>is considered</w:t>
      </w:r>
      <w:r w:rsidRPr="00650FF1">
        <w:t xml:space="preserve"> a necessary milestone in the business process. </w:t>
      </w:r>
      <w:r w:rsidRPr="00650FF1">
        <w:t>That means an additional workload for the AESF – which has to process and assess the management systems of companies which are not sufficiently mature – and for the companies themselves, which develop management systems containing major uncertainties which will have to be checked in great detail before the start of the operation, or which may even be revoked if the operation does not begin within the established time frame.</w:t>
      </w:r>
    </w:p>
    <w:p w:rsidR="005C6E47" w:rsidRPr="00650FF1" w:rsidP="005C6E47">
      <w:pPr>
        <w:pStyle w:val="PUNTOS"/>
        <w:numPr>
          <w:ilvl w:val="0"/>
          <w:numId w:val="0"/>
        </w:numPr>
        <w:ind w:left="720"/>
      </w:pPr>
    </w:p>
    <w:p w:rsidR="005C6E47" w:rsidRPr="00650FF1" w:rsidP="005C6E47">
      <w:pPr>
        <w:pStyle w:val="PUNTOS"/>
        <w:numPr>
          <w:ilvl w:val="0"/>
          <w:numId w:val="23"/>
        </w:numPr>
      </w:pPr>
      <w:r w:rsidRPr="00650FF1">
        <w:t xml:space="preserve">Another </w:t>
      </w:r>
      <w:r w:rsidRPr="00650FF1">
        <w:t>point which the AESF has observed in some specific cases</w:t>
      </w:r>
      <w:r w:rsidRPr="00650FF1">
        <w:t xml:space="preserve"> is a certain instability in the documents for the SMSs, which are comprehensively and very frequently revised, which does not allow for their full implementation and the return of experience.</w:t>
      </w:r>
    </w:p>
    <w:p w:rsidR="005C6E47" w:rsidRPr="00650FF1" w:rsidP="005C6E47">
      <w:pPr>
        <w:pStyle w:val="PUNTOS"/>
        <w:numPr>
          <w:ilvl w:val="0"/>
          <w:numId w:val="0"/>
        </w:numPr>
        <w:ind w:left="720"/>
      </w:pPr>
      <w:r w:rsidRPr="00650FF1">
        <w:t xml:space="preserve">Such revisions </w:t>
      </w:r>
      <w:r w:rsidRPr="00650FF1">
        <w:t>may be carried out</w:t>
      </w:r>
      <w:r w:rsidRPr="00650FF1">
        <w:t xml:space="preserve"> for different reasons, such as the renewal of the certificate, extensions or changes to scope, action plans following AESF audits or the incorporation of new national legislation. In such cases, some companies take advantage of the need to revise certain procedures of the SMSs to make changes to the model of the SMS. Such changes, which go beyond the </w:t>
      </w:r>
      <w:r w:rsidRPr="00650FF1">
        <w:t>revision</w:t>
      </w:r>
      <w:r w:rsidRPr="00650FF1">
        <w:t xml:space="preserve"> required by the return of experience, changes in the company or continuous improvement, are usually the result of changes in the criteria of the drafters or managers of the SMSs.</w:t>
      </w:r>
    </w:p>
    <w:p w:rsidR="005C6E47" w:rsidRPr="00650FF1" w:rsidP="005C6E47">
      <w:pPr>
        <w:pStyle w:val="PUNTOS"/>
        <w:numPr>
          <w:ilvl w:val="0"/>
          <w:numId w:val="0"/>
        </w:numPr>
        <w:ind w:left="720"/>
      </w:pPr>
      <w:r w:rsidRPr="00650FF1">
        <w:t xml:space="preserve">In the opinion of the AESF, very frequent and drastic changes to procedural models are not positive, as it makes them difficult to apply and it makes it difficult for the AESF </w:t>
      </w:r>
      <w:r w:rsidRPr="00650FF1">
        <w:t>to subsequently supervise</w:t>
      </w:r>
      <w:r w:rsidRPr="00650FF1">
        <w:t xml:space="preserve"> them.</w:t>
      </w:r>
    </w:p>
    <w:p w:rsidR="005C6E47" w:rsidRPr="00650FF1" w:rsidP="005C6E47">
      <w:pPr>
        <w:pStyle w:val="PUNTOS"/>
        <w:numPr>
          <w:ilvl w:val="0"/>
          <w:numId w:val="0"/>
        </w:numPr>
        <w:ind w:left="720"/>
      </w:pPr>
    </w:p>
    <w:p w:rsidR="005C6E47" w:rsidRPr="00650FF1" w:rsidP="005C6E47">
      <w:pPr>
        <w:pStyle w:val="PUNTOS"/>
        <w:numPr>
          <w:ilvl w:val="0"/>
          <w:numId w:val="23"/>
        </w:numPr>
      </w:pPr>
      <w:r w:rsidRPr="00650FF1">
        <w:t xml:space="preserve">Finally, the AESF also wishes to emphasise the importance of the phase prior to the formal application for </w:t>
      </w:r>
      <w:r w:rsidRPr="00650FF1">
        <w:t>companies which</w:t>
      </w:r>
      <w:r w:rsidRPr="00650FF1">
        <w:t xml:space="preserve"> are in operation and decide to renew their certificate. Experience shows us that it is advisable to begin that process sufficiently far in advance (8 to 10 months would be advisable), to avoid any delay jeopardising the continuity of the railway operation. It should be borne in mind that such renewals </w:t>
      </w:r>
      <w:r w:rsidRPr="00650FF1">
        <w:t>are usually used</w:t>
      </w:r>
      <w:r w:rsidRPr="00650FF1">
        <w:t xml:space="preserve"> as an opportunity to carry out a comprehensive and more in-depth review of the SMSs.</w:t>
      </w:r>
    </w:p>
    <w:p w:rsidR="005C6E47" w:rsidRPr="00650FF1" w:rsidP="005C6E47">
      <w:pPr>
        <w:ind w:left="360"/>
      </w:pPr>
    </w:p>
    <w:p w:rsidR="005C6E47" w:rsidRPr="00650FF1" w:rsidP="005C6E47">
      <w:pPr>
        <w:sectPr w:rsidSect="00EB2A0B">
          <w:pgSz w:w="11906" w:h="16838"/>
          <w:pgMar w:top="1418" w:right="992" w:bottom="1418" w:left="1134" w:header="709" w:footer="6" w:gutter="0"/>
          <w:cols w:space="708"/>
          <w:titlePg/>
          <w:docGrid w:linePitch="360"/>
        </w:sectPr>
      </w:pPr>
    </w:p>
    <w:tbl>
      <w:tblPr>
        <w:tblW w:w="10065" w:type="dxa"/>
        <w:tblInd w:w="-34" w:type="dxa"/>
        <w:tblLook w:val="04A0"/>
      </w:tblPr>
      <w:tblGrid>
        <w:gridCol w:w="4868"/>
        <w:gridCol w:w="5197"/>
      </w:tblGrid>
      <w:tr w:rsidTr="002F2972">
        <w:tblPrEx>
          <w:tblW w:w="10065" w:type="dxa"/>
          <w:tblInd w:w="-34" w:type="dxa"/>
          <w:tblLook w:val="04A0"/>
        </w:tblPrEx>
        <w:trPr>
          <w:trHeight w:val="1566"/>
        </w:trPr>
        <w:tc>
          <w:tcPr>
            <w:tcW w:w="10065" w:type="dxa"/>
            <w:gridSpan w:val="2"/>
            <w:shd w:val="clear" w:color="auto" w:fill="auto"/>
          </w:tcPr>
          <w:p w:rsidR="005C6E47" w:rsidRPr="00650FF1" w:rsidP="002F2972">
            <w:pPr>
              <w:pStyle w:val="StandardText"/>
              <w:spacing w:before="240" w:after="120" w:line="240" w:lineRule="auto"/>
              <w:rPr>
                <w:rFonts w:ascii="Calibri" w:hAnsi="Calibri"/>
                <w:noProof/>
                <w:snapToGrid/>
                <w:lang w:val="es-ES_tradnl" w:eastAsia="en-US"/>
              </w:rPr>
            </w:pPr>
          </w:p>
        </w:tc>
      </w:tr>
      <w:tr w:rsidTr="002F2972">
        <w:tblPrEx>
          <w:tblW w:w="10065" w:type="dxa"/>
          <w:tblInd w:w="-34" w:type="dxa"/>
          <w:tblLook w:val="04A0"/>
        </w:tblPrEx>
        <w:trPr>
          <w:trHeight w:val="4537"/>
        </w:trPr>
        <w:tc>
          <w:tcPr>
            <w:tcW w:w="4868" w:type="dxa"/>
            <w:shd w:val="clear" w:color="auto" w:fill="auto"/>
          </w:tcPr>
          <w:p w:rsidR="005C6E47" w:rsidRPr="00650FF1" w:rsidP="002F2972">
            <w:pPr>
              <w:pStyle w:val="StandardText"/>
              <w:spacing w:before="240" w:after="120" w:line="240" w:lineRule="auto"/>
              <w:rPr>
                <w:rFonts w:ascii="Calibri" w:hAnsi="Calibri"/>
              </w:rPr>
            </w:pPr>
            <w:r w:rsidRPr="00650FF1">
              <w:rPr>
                <w:rFonts w:ascii="Calibri" w:hAnsi="Calibri"/>
                <w:noProof/>
                <w:lang w:val="fr-FR" w:eastAsia="fr-FR"/>
              </w:rPr>
              <w:drawing>
                <wp:anchor distT="0" distB="0" distL="114300" distR="114300" simplePos="0" relativeHeight="251664384" behindDoc="1" locked="0" layoutInCell="1" allowOverlap="1">
                  <wp:simplePos x="0" y="0"/>
                  <wp:positionH relativeFrom="column">
                    <wp:posOffset>378147</wp:posOffset>
                  </wp:positionH>
                  <wp:positionV relativeFrom="paragraph">
                    <wp:posOffset>208915</wp:posOffset>
                  </wp:positionV>
                  <wp:extent cx="6054090" cy="2590800"/>
                  <wp:effectExtent l="0" t="0" r="381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4669"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p w:rsidR="005C6E47" w:rsidRPr="00650FF1" w:rsidP="002F2972">
            <w:pPr>
              <w:pStyle w:val="Title"/>
              <w:numPr>
                <w:ilvl w:val="0"/>
                <w:numId w:val="0"/>
              </w:numPr>
              <w:ind w:left="360"/>
              <w:jc w:val="left"/>
            </w:pPr>
          </w:p>
        </w:tc>
        <w:tc>
          <w:tcPr>
            <w:tcW w:w="5197" w:type="dxa"/>
            <w:shd w:val="clear" w:color="auto" w:fill="auto"/>
            <w:vAlign w:val="center"/>
          </w:tcPr>
          <w:p w:rsidR="005C6E47" w:rsidRPr="00650FF1" w:rsidP="002F2972">
            <w:pPr>
              <w:pStyle w:val="Title"/>
              <w:rPr>
                <w:sz w:val="52"/>
                <w:szCs w:val="54"/>
              </w:rPr>
            </w:pPr>
            <w:bookmarkStart w:id="6" w:name="_Toc532285981"/>
            <w:r w:rsidRPr="00650FF1">
              <w:rPr>
                <w:sz w:val="52"/>
                <w:szCs w:val="54"/>
              </w:rPr>
              <w:t>Supervision of the railway system</w:t>
            </w:r>
            <w:bookmarkEnd w:id="6"/>
          </w:p>
        </w:tc>
      </w:tr>
    </w:tbl>
    <w:p w:rsidR="005C6E47" w:rsidRPr="00650FF1" w:rsidP="005C6E47">
      <w:pPr>
        <w:ind w:left="874"/>
        <w:rPr>
          <w:lang w:val="es-ES_tradnl"/>
        </w:rPr>
      </w:pPr>
    </w:p>
    <w:p w:rsidR="005C6E47" w:rsidRPr="00650FF1" w:rsidP="005C6E47">
      <w:pPr>
        <w:pStyle w:val="NumPar1"/>
        <w:tabs>
          <w:tab w:val="clear" w:pos="480"/>
          <w:tab w:val="left" w:pos="3810"/>
        </w:tabs>
        <w:spacing w:after="120"/>
        <w:rPr>
          <w:rFonts w:ascii="Calibri" w:hAnsi="Calibri"/>
          <w:szCs w:val="24"/>
          <w:lang w:val="es-ES_tradnl"/>
        </w:rPr>
      </w:pPr>
    </w:p>
    <w:p w:rsidR="005C6E47" w:rsidRPr="00637CB5" w:rsidP="00637CB5">
      <w:pPr>
        <w:pStyle w:val="Subtitulo1"/>
        <w:numPr>
          <w:ilvl w:val="0"/>
          <w:numId w:val="21"/>
        </w:numPr>
        <w:tabs>
          <w:tab w:val="num" w:pos="426"/>
        </w:tabs>
        <w:rPr>
          <w:lang w:val="es-ES_tradnl"/>
        </w:rPr>
      </w:pPr>
      <w:r w:rsidRPr="00637CB5">
        <w:rPr>
          <w:lang w:val="es-ES_tradnl"/>
        </w:rPr>
        <w:t>General lines of supervision</w:t>
      </w:r>
    </w:p>
    <w:p w:rsidR="005C6E47" w:rsidRPr="00650FF1" w:rsidP="005C6E47">
      <w:pPr>
        <w:pStyle w:val="NumPar1"/>
        <w:tabs>
          <w:tab w:val="clear" w:pos="480"/>
          <w:tab w:val="left" w:pos="3810"/>
        </w:tabs>
        <w:spacing w:after="120"/>
        <w:ind w:left="0" w:firstLine="0"/>
        <w:rPr>
          <w:rFonts w:ascii="Calibri" w:hAnsi="Calibri"/>
          <w:szCs w:val="24"/>
        </w:rPr>
      </w:pPr>
      <w:r w:rsidRPr="00650FF1">
        <w:rPr>
          <w:rFonts w:ascii="Calibri" w:hAnsi="Calibri"/>
          <w:szCs w:val="24"/>
        </w:rPr>
        <w:t xml:space="preserve">As in previous years, supervision of correct application of the regulatory framework regarding safety by responsible agents </w:t>
      </w:r>
      <w:r w:rsidRPr="00650FF1">
        <w:rPr>
          <w:rFonts w:ascii="Calibri" w:hAnsi="Calibri"/>
          <w:szCs w:val="24"/>
        </w:rPr>
        <w:t>is carried out</w:t>
      </w:r>
      <w:r w:rsidRPr="00650FF1">
        <w:rPr>
          <w:rFonts w:ascii="Calibri" w:hAnsi="Calibri"/>
          <w:szCs w:val="24"/>
        </w:rPr>
        <w:t xml:space="preserve"> at various levels:</w:t>
      </w:r>
    </w:p>
    <w:p w:rsidR="005C6E47" w:rsidRPr="00650FF1" w:rsidP="005C6E47">
      <w:pPr>
        <w:pStyle w:val="NumPar1"/>
        <w:tabs>
          <w:tab w:val="clear" w:pos="480"/>
          <w:tab w:val="left" w:pos="3810"/>
        </w:tabs>
        <w:spacing w:after="120"/>
        <w:ind w:left="0" w:firstLine="0"/>
        <w:rPr>
          <w:rFonts w:ascii="Calibri" w:hAnsi="Calibri"/>
          <w:szCs w:val="24"/>
          <w:lang w:val="es-ES_tradnl"/>
        </w:rPr>
      </w:pP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In general, the most important variables are monitored using the overall accident rate for the system, through activities such as:</w:t>
      </w:r>
    </w:p>
    <w:p w:rsidR="005C6E47" w:rsidRPr="00650FF1" w:rsidP="005C6E47">
      <w:pPr>
        <w:pStyle w:val="Text1"/>
        <w:numPr>
          <w:ilvl w:val="0"/>
          <w:numId w:val="14"/>
        </w:numPr>
        <w:spacing w:after="120"/>
        <w:rPr>
          <w:rFonts w:ascii="Calibri" w:hAnsi="Calibri"/>
          <w:szCs w:val="24"/>
        </w:rPr>
      </w:pPr>
      <w:r w:rsidRPr="00650FF1">
        <w:rPr>
          <w:rFonts w:ascii="Calibri" w:hAnsi="Calibri"/>
          <w:szCs w:val="24"/>
        </w:rPr>
        <w:t>Continuous monitoring of accident rate statistics and indicators to detect significant deviations.</w:t>
      </w:r>
    </w:p>
    <w:p w:rsidR="005C6E47" w:rsidRPr="00650FF1" w:rsidP="005C6E47">
      <w:pPr>
        <w:pStyle w:val="Text1"/>
        <w:numPr>
          <w:ilvl w:val="0"/>
          <w:numId w:val="14"/>
        </w:numPr>
        <w:spacing w:after="120"/>
        <w:rPr>
          <w:rFonts w:ascii="Calibri" w:hAnsi="Calibri"/>
          <w:szCs w:val="24"/>
        </w:rPr>
      </w:pPr>
      <w:r w:rsidRPr="00650FF1">
        <w:rPr>
          <w:rFonts w:ascii="Calibri" w:hAnsi="Calibri"/>
          <w:szCs w:val="24"/>
        </w:rPr>
        <w:t>Preparation of the AESF annual report.</w:t>
      </w:r>
    </w:p>
    <w:p w:rsidR="005C6E47" w:rsidRPr="00650FF1" w:rsidP="005C6E47">
      <w:pPr>
        <w:pStyle w:val="Text1"/>
        <w:numPr>
          <w:ilvl w:val="0"/>
          <w:numId w:val="14"/>
        </w:numPr>
        <w:spacing w:after="120"/>
        <w:rPr>
          <w:rFonts w:ascii="Calibri" w:hAnsi="Calibri"/>
          <w:szCs w:val="24"/>
        </w:rPr>
      </w:pPr>
      <w:r w:rsidRPr="00650FF1">
        <w:rPr>
          <w:rFonts w:ascii="Calibri" w:hAnsi="Calibri"/>
          <w:szCs w:val="24"/>
        </w:rPr>
        <w:t>Review of the annual safety reports of railway undertakings.</w:t>
      </w:r>
    </w:p>
    <w:p w:rsidR="005C6E47" w:rsidRPr="00650FF1" w:rsidP="005C6E47">
      <w:pPr>
        <w:pStyle w:val="Text1"/>
        <w:numPr>
          <w:ilvl w:val="0"/>
          <w:numId w:val="14"/>
        </w:numPr>
        <w:spacing w:after="120"/>
        <w:rPr>
          <w:rFonts w:ascii="Calibri" w:hAnsi="Calibri"/>
          <w:szCs w:val="24"/>
        </w:rPr>
      </w:pPr>
      <w:r w:rsidRPr="00650FF1">
        <w:rPr>
          <w:rFonts w:ascii="Calibri" w:hAnsi="Calibri"/>
          <w:szCs w:val="24"/>
        </w:rPr>
        <w:t xml:space="preserve">Development of an incident / accident geographic information system as an internal working tool within the AESF, for the purposes </w:t>
      </w:r>
      <w:r w:rsidRPr="00650FF1">
        <w:rPr>
          <w:rFonts w:ascii="Calibri" w:hAnsi="Calibri"/>
          <w:szCs w:val="24"/>
        </w:rPr>
        <w:t>of statistical monitoring and to help with defining supervision plans</w:t>
      </w:r>
      <w:r w:rsidRPr="00650FF1">
        <w:rPr>
          <w:rFonts w:ascii="Calibri" w:hAnsi="Calibri"/>
          <w:szCs w:val="24"/>
        </w:rPr>
        <w:t>.</w:t>
      </w: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 xml:space="preserve">It </w:t>
      </w:r>
      <w:r w:rsidRPr="00650FF1">
        <w:rPr>
          <w:rFonts w:ascii="Calibri" w:hAnsi="Calibri"/>
          <w:szCs w:val="24"/>
        </w:rPr>
        <w:t>is also carried out</w:t>
      </w:r>
      <w:r w:rsidRPr="00650FF1">
        <w:rPr>
          <w:rFonts w:ascii="Calibri" w:hAnsi="Calibri"/>
          <w:szCs w:val="24"/>
        </w:rPr>
        <w:t xml:space="preserve"> through the certification and supervision of railway companies and infrastructure managers, as well as other agents involved in the railway sector and that provide services, such as entities in charge of wagon maintenance, rolling stock maintenance centres, railway personnel training centres and medical examination centres.</w:t>
      </w: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Through audits and inspections of the undertakings and managers themselves, especially for verifying application of the internal follow-up procedures of undertakings.</w:t>
      </w: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By issuing technical recommendations to sector entities regarding procedures for facilitating the implementation of requirements.</w:t>
      </w: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Through training measures and the dissemination of information to undertakings and managers, thereby assuring that they have adequate knowledge of the regulations they must apply.</w:t>
      </w: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 xml:space="preserve">Another area of </w:t>
      </w:r>
      <w:r w:rsidRPr="00650FF1">
        <w:rPr>
          <w:rFonts w:ascii="Calibri" w:hAnsi="Calibri"/>
          <w:szCs w:val="24"/>
        </w:rPr>
        <w:t>supervision which has received attention</w:t>
      </w:r>
      <w:r w:rsidRPr="00650FF1">
        <w:rPr>
          <w:rFonts w:ascii="Calibri" w:hAnsi="Calibri"/>
          <w:szCs w:val="24"/>
        </w:rPr>
        <w:t xml:space="preserve"> is monitoring compliance with recommendations issued by the Railway Accident Investigation Commission as a result of its investigations of accidents or incidents. This </w:t>
      </w:r>
      <w:r w:rsidRPr="00650FF1">
        <w:rPr>
          <w:rFonts w:ascii="Calibri" w:hAnsi="Calibri"/>
          <w:szCs w:val="24"/>
        </w:rPr>
        <w:t>is done</w:t>
      </w:r>
      <w:r w:rsidRPr="00650FF1">
        <w:rPr>
          <w:rFonts w:ascii="Calibri" w:hAnsi="Calibri"/>
          <w:szCs w:val="24"/>
        </w:rPr>
        <w:t xml:space="preserve"> through systematic requests for information from the body to which the recommendation was addressed, relating to the level of compliance, until it is considered that implementation of the recommendation has been sufficiently achieved.</w:t>
      </w: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Following-up complaints received regarding safety.</w:t>
      </w:r>
    </w:p>
    <w:p w:rsidR="005C6E47" w:rsidRPr="00650FF1" w:rsidP="005C6E47">
      <w:pPr>
        <w:pStyle w:val="NumPar1"/>
        <w:numPr>
          <w:ilvl w:val="0"/>
          <w:numId w:val="10"/>
        </w:numPr>
        <w:tabs>
          <w:tab w:val="left" w:pos="709"/>
          <w:tab w:val="left" w:pos="993"/>
        </w:tabs>
        <w:spacing w:after="120"/>
        <w:ind w:left="633" w:hanging="426"/>
        <w:rPr>
          <w:rFonts w:ascii="Calibri" w:hAnsi="Calibri"/>
          <w:szCs w:val="24"/>
        </w:rPr>
      </w:pPr>
      <w:r w:rsidRPr="00650FF1">
        <w:rPr>
          <w:rFonts w:ascii="Calibri" w:hAnsi="Calibri"/>
          <w:szCs w:val="24"/>
        </w:rPr>
        <w:t>Finally, by advising entities on specific subjects on request and through the coordination of work groups and information-sharing meetings.</w:t>
      </w:r>
    </w:p>
    <w:p w:rsidR="005C6E47" w:rsidRPr="00650FF1" w:rsidP="005C6E47">
      <w:pPr>
        <w:pStyle w:val="NumPar1"/>
        <w:tabs>
          <w:tab w:val="clear" w:pos="480"/>
          <w:tab w:val="left" w:pos="3810"/>
        </w:tabs>
        <w:spacing w:after="120"/>
        <w:ind w:left="705" w:firstLine="0"/>
        <w:rPr>
          <w:rFonts w:ascii="Calibri" w:hAnsi="Calibri"/>
          <w:color w:val="FF0000"/>
          <w:szCs w:val="24"/>
          <w:lang w:val="es-ES_tradnl"/>
        </w:rPr>
      </w:pPr>
    </w:p>
    <w:p w:rsidR="005C6E47" w:rsidRPr="00637CB5" w:rsidP="00637CB5">
      <w:pPr>
        <w:pStyle w:val="Subtitulo1"/>
        <w:numPr>
          <w:ilvl w:val="0"/>
          <w:numId w:val="21"/>
        </w:numPr>
        <w:tabs>
          <w:tab w:val="num" w:pos="426"/>
        </w:tabs>
        <w:rPr>
          <w:lang w:val="es-ES_tradnl"/>
        </w:rPr>
      </w:pPr>
      <w:r w:rsidRPr="00637CB5">
        <w:rPr>
          <w:lang w:val="es-ES_tradnl"/>
        </w:rPr>
        <w:t>Supervision of railway system agents</w:t>
      </w:r>
    </w:p>
    <w:p w:rsidR="005C6E47" w:rsidRPr="00650FF1" w:rsidP="005C6E47">
      <w:pPr>
        <w:pStyle w:val="NumPar1"/>
        <w:tabs>
          <w:tab w:val="clear" w:pos="480"/>
          <w:tab w:val="left" w:pos="3810"/>
        </w:tabs>
        <w:spacing w:before="120" w:after="120"/>
        <w:ind w:left="66" w:firstLine="0"/>
        <w:rPr>
          <w:rFonts w:ascii="Calibri" w:hAnsi="Calibri"/>
          <w:szCs w:val="24"/>
        </w:rPr>
      </w:pPr>
      <w:r w:rsidRPr="00650FF1">
        <w:rPr>
          <w:rFonts w:ascii="Calibri" w:hAnsi="Calibri"/>
          <w:szCs w:val="24"/>
        </w:rPr>
        <w:t xml:space="preserve">The various agents of the system are subject to having previously obtained a certificate, authorisation or official approval from the national authority, thereby allowing them to exercise their activities. Once this qualifying certificate </w:t>
      </w:r>
      <w:r w:rsidRPr="00650FF1">
        <w:rPr>
          <w:rFonts w:ascii="Calibri" w:hAnsi="Calibri"/>
          <w:szCs w:val="24"/>
        </w:rPr>
        <w:t>has been issued</w:t>
      </w:r>
      <w:r w:rsidRPr="00650FF1">
        <w:rPr>
          <w:rFonts w:ascii="Calibri" w:hAnsi="Calibri"/>
          <w:szCs w:val="24"/>
        </w:rPr>
        <w:t>, the objectives of supervision actions change:</w:t>
      </w:r>
    </w:p>
    <w:p w:rsidR="005C6E47" w:rsidRPr="00650FF1" w:rsidP="005C6E47">
      <w:pPr>
        <w:pStyle w:val="PUNTOS"/>
        <w:numPr>
          <w:ilvl w:val="0"/>
          <w:numId w:val="13"/>
        </w:numPr>
        <w:tabs>
          <w:tab w:val="num" w:pos="851"/>
          <w:tab w:val="clear" w:pos="922"/>
          <w:tab w:val="left" w:pos="1134"/>
        </w:tabs>
        <w:ind w:left="851"/>
      </w:pPr>
      <w:r w:rsidRPr="00650FF1">
        <w:t>Periodic supervision, whether total or partial, of the conditions for granting the certificate/authorisation/approval.</w:t>
      </w:r>
    </w:p>
    <w:p w:rsidR="005C6E47" w:rsidRPr="00650FF1" w:rsidP="005C6E47">
      <w:pPr>
        <w:pStyle w:val="PUNTOS"/>
        <w:numPr>
          <w:ilvl w:val="0"/>
          <w:numId w:val="13"/>
        </w:numPr>
        <w:tabs>
          <w:tab w:val="num" w:pos="851"/>
          <w:tab w:val="clear" w:pos="922"/>
          <w:tab w:val="left" w:pos="993"/>
          <w:tab w:val="left" w:pos="1134"/>
          <w:tab w:val="num" w:pos="1436"/>
        </w:tabs>
        <w:ind w:left="851"/>
      </w:pPr>
      <w:r w:rsidRPr="00650FF1">
        <w:t xml:space="preserve">Verification of implementation of the actions committed to when the certificate/authorisation/approval </w:t>
      </w:r>
      <w:r w:rsidRPr="00650FF1">
        <w:t>was granted</w:t>
      </w:r>
      <w:r w:rsidRPr="00650FF1">
        <w:t xml:space="preserve"> (non-inhibiting qualifications or non-conformities).</w:t>
      </w:r>
    </w:p>
    <w:p w:rsidR="005C6E47" w:rsidRPr="00650FF1" w:rsidP="005C6E47">
      <w:pPr>
        <w:pStyle w:val="PUNTOS"/>
        <w:numPr>
          <w:ilvl w:val="0"/>
          <w:numId w:val="13"/>
        </w:numPr>
        <w:tabs>
          <w:tab w:val="num" w:pos="851"/>
          <w:tab w:val="clear" w:pos="922"/>
          <w:tab w:val="left" w:pos="993"/>
          <w:tab w:val="left" w:pos="1134"/>
          <w:tab w:val="num" w:pos="1436"/>
        </w:tabs>
        <w:ind w:left="851"/>
      </w:pPr>
      <w:r w:rsidRPr="00650FF1">
        <w:t>Verification in the event of a change in the conditions for having granted the certificate/authorisation/approval.</w:t>
      </w:r>
    </w:p>
    <w:p w:rsidR="005C6E47" w:rsidRPr="00650FF1" w:rsidP="005C6E47">
      <w:pPr>
        <w:pStyle w:val="PUNTOS"/>
        <w:numPr>
          <w:ilvl w:val="0"/>
          <w:numId w:val="13"/>
        </w:numPr>
        <w:tabs>
          <w:tab w:val="num" w:pos="851"/>
          <w:tab w:val="clear" w:pos="922"/>
          <w:tab w:val="left" w:pos="993"/>
          <w:tab w:val="left" w:pos="1134"/>
          <w:tab w:val="num" w:pos="1436"/>
        </w:tabs>
        <w:ind w:left="851"/>
      </w:pPr>
      <w:r w:rsidRPr="00650FF1">
        <w:t>Supervision derived from observation of a possible 'anomalous' situation that could be due to inadequate application of safety rules.</w:t>
      </w:r>
    </w:p>
    <w:p w:rsidR="005C6E47" w:rsidRPr="00650FF1" w:rsidP="005C6E47">
      <w:pPr>
        <w:pStyle w:val="PUNTOS"/>
        <w:numPr>
          <w:ilvl w:val="0"/>
          <w:numId w:val="13"/>
        </w:numPr>
        <w:tabs>
          <w:tab w:val="num" w:pos="851"/>
          <w:tab w:val="clear" w:pos="922"/>
          <w:tab w:val="left" w:pos="993"/>
          <w:tab w:val="left" w:pos="1134"/>
          <w:tab w:val="num" w:pos="1436"/>
        </w:tabs>
        <w:ind w:left="851"/>
      </w:pPr>
      <w:r w:rsidRPr="00650FF1">
        <w:t xml:space="preserve">A revision or update, if applicable, of the safety management system in the event that circumstances arise that may represent added risks that </w:t>
      </w:r>
      <w:r w:rsidRPr="00650FF1">
        <w:t>must be adequately considered</w:t>
      </w:r>
      <w:r w:rsidRPr="00650FF1">
        <w:t xml:space="preserve"> in procedures.</w:t>
      </w:r>
    </w:p>
    <w:p w:rsidR="005C6E47" w:rsidRPr="00650FF1" w:rsidP="005C6E47">
      <w:pPr>
        <w:pStyle w:val="PUNTOS"/>
        <w:numPr>
          <w:ilvl w:val="0"/>
          <w:numId w:val="0"/>
        </w:numPr>
        <w:tabs>
          <w:tab w:val="left" w:pos="567"/>
          <w:tab w:val="left" w:pos="993"/>
        </w:tabs>
        <w:rPr>
          <w:color w:val="FF0000"/>
        </w:rPr>
      </w:pPr>
    </w:p>
    <w:p w:rsidR="005C6E47" w:rsidRPr="00650FF1" w:rsidP="005C6E47">
      <w:pPr>
        <w:pStyle w:val="NumPar1"/>
        <w:tabs>
          <w:tab w:val="clear" w:pos="480"/>
          <w:tab w:val="left" w:pos="3810"/>
        </w:tabs>
        <w:spacing w:before="120" w:after="120"/>
        <w:ind w:left="66" w:firstLine="0"/>
        <w:rPr>
          <w:rFonts w:ascii="Calibri" w:hAnsi="Calibri"/>
          <w:szCs w:val="24"/>
        </w:rPr>
      </w:pPr>
      <w:r w:rsidRPr="00650FF1">
        <w:rPr>
          <w:rFonts w:ascii="Calibri" w:hAnsi="Calibri"/>
          <w:szCs w:val="24"/>
        </w:rPr>
        <w:t xml:space="preserve">Specific supervision activities </w:t>
      </w:r>
      <w:r w:rsidRPr="00650FF1">
        <w:rPr>
          <w:rFonts w:ascii="Calibri" w:hAnsi="Calibri"/>
          <w:szCs w:val="24"/>
        </w:rPr>
        <w:t>are planned</w:t>
      </w:r>
      <w:r w:rsidRPr="00650FF1">
        <w:rPr>
          <w:rFonts w:ascii="Calibri" w:hAnsi="Calibri"/>
          <w:szCs w:val="24"/>
        </w:rPr>
        <w:t xml:space="preserve"> considering the following aspects:</w:t>
      </w:r>
    </w:p>
    <w:p w:rsidR="005C6E47" w:rsidRPr="00650FF1" w:rsidP="005C6E47">
      <w:pPr>
        <w:pStyle w:val="PUNTOS"/>
        <w:numPr>
          <w:ilvl w:val="0"/>
          <w:numId w:val="13"/>
        </w:numPr>
        <w:tabs>
          <w:tab w:val="num" w:pos="851"/>
          <w:tab w:val="clear" w:pos="922"/>
          <w:tab w:val="left" w:pos="1134"/>
        </w:tabs>
        <w:ind w:left="851"/>
      </w:pPr>
      <w:r w:rsidRPr="00650FF1">
        <w:t>General supervision objectives and criteria.</w:t>
      </w:r>
    </w:p>
    <w:p w:rsidR="005C6E47" w:rsidRPr="00650FF1" w:rsidP="005C6E47">
      <w:pPr>
        <w:pStyle w:val="PUNTOS"/>
        <w:numPr>
          <w:ilvl w:val="0"/>
          <w:numId w:val="13"/>
        </w:numPr>
        <w:tabs>
          <w:tab w:val="num" w:pos="851"/>
          <w:tab w:val="clear" w:pos="922"/>
          <w:tab w:val="left" w:pos="1134"/>
        </w:tabs>
        <w:ind w:left="851"/>
      </w:pPr>
      <w:r w:rsidRPr="00650FF1">
        <w:t>All types of activities of the supervised agent and the size of the assessed undertaking.</w:t>
      </w:r>
    </w:p>
    <w:p w:rsidR="005C6E47" w:rsidRPr="00650FF1" w:rsidP="005C6E47">
      <w:pPr>
        <w:pStyle w:val="PUNTOS"/>
        <w:numPr>
          <w:ilvl w:val="0"/>
          <w:numId w:val="13"/>
        </w:numPr>
        <w:tabs>
          <w:tab w:val="num" w:pos="851"/>
          <w:tab w:val="clear" w:pos="922"/>
          <w:tab w:val="left" w:pos="1134"/>
        </w:tabs>
        <w:ind w:left="851"/>
      </w:pPr>
      <w:r w:rsidRPr="00650FF1">
        <w:t>Findings of the assessment process prior to obtaining the certificate/authorisation/approval.</w:t>
      </w:r>
    </w:p>
    <w:p w:rsidR="005C6E47" w:rsidRPr="00650FF1" w:rsidP="005C6E47">
      <w:pPr>
        <w:pStyle w:val="PUNTOS"/>
        <w:numPr>
          <w:ilvl w:val="0"/>
          <w:numId w:val="13"/>
        </w:numPr>
        <w:tabs>
          <w:tab w:val="num" w:pos="851"/>
          <w:tab w:val="clear" w:pos="922"/>
          <w:tab w:val="left" w:pos="1134"/>
        </w:tabs>
        <w:ind w:left="851"/>
      </w:pPr>
      <w:r w:rsidRPr="00650FF1">
        <w:t xml:space="preserve">Activities that are considered capable of generating </w:t>
      </w:r>
      <w:r w:rsidRPr="00650FF1">
        <w:t>more serious risks</w:t>
      </w:r>
      <w:r w:rsidRPr="00650FF1">
        <w:t>.</w:t>
      </w:r>
    </w:p>
    <w:p w:rsidR="005C6E47" w:rsidRPr="00650FF1" w:rsidP="005C6E47">
      <w:pPr>
        <w:pStyle w:val="PUNTOS"/>
        <w:numPr>
          <w:ilvl w:val="0"/>
          <w:numId w:val="13"/>
        </w:numPr>
        <w:tabs>
          <w:tab w:val="num" w:pos="851"/>
          <w:tab w:val="clear" w:pos="922"/>
          <w:tab w:val="left" w:pos="1134"/>
        </w:tabs>
        <w:ind w:left="851"/>
      </w:pPr>
      <w:r w:rsidRPr="00650FF1">
        <w:t xml:space="preserve">Other data and information available to the AESF, such as, for </w:t>
      </w:r>
      <w:r w:rsidRPr="00650FF1">
        <w:t>example:</w:t>
      </w:r>
      <w:r w:rsidRPr="00650FF1">
        <w:t xml:space="preserve"> the results of previous supervisions, the annual safety report prepared by the undertaking/manager, accident rate reports, etc.</w:t>
      </w:r>
    </w:p>
    <w:p w:rsidR="005C6E47" w:rsidRPr="00650FF1" w:rsidP="005C6E47">
      <w:pPr>
        <w:pStyle w:val="NumPar1"/>
        <w:tabs>
          <w:tab w:val="clear" w:pos="480"/>
          <w:tab w:val="left" w:pos="3810"/>
        </w:tabs>
        <w:spacing w:before="120" w:after="120"/>
        <w:ind w:left="66" w:firstLine="0"/>
        <w:rPr>
          <w:rFonts w:ascii="Calibri" w:hAnsi="Calibri"/>
          <w:szCs w:val="24"/>
        </w:rPr>
      </w:pPr>
      <w:r w:rsidRPr="00650FF1">
        <w:rPr>
          <w:rFonts w:ascii="Calibri" w:hAnsi="Calibri"/>
          <w:szCs w:val="24"/>
        </w:rPr>
        <w:t xml:space="preserve">The criteria used by the AESF to define its supervision activities are set out in </w:t>
      </w:r>
      <w:r w:rsidRPr="00650FF1">
        <w:rPr>
          <w:rFonts w:ascii="Calibri" w:hAnsi="Calibri"/>
          <w:szCs w:val="24"/>
        </w:rPr>
        <w:t>greater detail</w:t>
      </w:r>
      <w:r w:rsidRPr="00650FF1">
        <w:rPr>
          <w:rFonts w:ascii="Calibri" w:hAnsi="Calibri"/>
          <w:szCs w:val="24"/>
        </w:rPr>
        <w:t xml:space="preserve"> in its Supervision Strategy, available on its website</w:t>
      </w:r>
      <w:r>
        <w:rPr>
          <w:rFonts w:ascii="Calibri" w:hAnsi="Calibri"/>
          <w:szCs w:val="24"/>
          <w:vertAlign w:val="superscript"/>
          <w:lang w:val="es-ES_tradnl"/>
        </w:rPr>
        <w:footnoteReference w:id="15"/>
      </w:r>
      <w:r w:rsidRPr="00650FF1">
        <w:rPr>
          <w:rFonts w:ascii="Calibri" w:hAnsi="Calibri"/>
          <w:szCs w:val="24"/>
        </w:rPr>
        <w:t>.</w:t>
      </w:r>
    </w:p>
    <w:p w:rsidR="005C6E47" w:rsidRPr="00650FF1" w:rsidP="005C6E47">
      <w:pPr>
        <w:pStyle w:val="NumPar1"/>
        <w:tabs>
          <w:tab w:val="clear" w:pos="480"/>
          <w:tab w:val="left" w:pos="3810"/>
        </w:tabs>
        <w:spacing w:before="120" w:after="120"/>
        <w:ind w:left="66" w:firstLine="0"/>
        <w:rPr>
          <w:rFonts w:ascii="Calibri" w:hAnsi="Calibri"/>
          <w:szCs w:val="24"/>
          <w:lang w:val="es-ES_tradnl"/>
        </w:rPr>
      </w:pPr>
    </w:p>
    <w:p w:rsidR="005C6E47" w:rsidRPr="00650FF1" w:rsidP="005C6E47">
      <w:pPr>
        <w:pStyle w:val="Text1"/>
        <w:numPr>
          <w:ilvl w:val="1"/>
          <w:numId w:val="2"/>
        </w:numPr>
        <w:tabs>
          <w:tab w:val="num" w:pos="567"/>
          <w:tab w:val="num" w:pos="1737"/>
          <w:tab w:val="num" w:pos="1980"/>
          <w:tab w:val="num" w:pos="2977"/>
        </w:tabs>
        <w:spacing w:after="120"/>
        <w:ind w:left="567" w:hanging="567"/>
        <w:rPr>
          <w:rFonts w:ascii="Calibri" w:hAnsi="Calibri"/>
          <w:b/>
          <w:smallCaps/>
          <w:sz w:val="32"/>
          <w:szCs w:val="24"/>
        </w:rPr>
      </w:pPr>
      <w:r w:rsidRPr="00650FF1">
        <w:rPr>
          <w:rFonts w:ascii="Calibri" w:hAnsi="Calibri"/>
          <w:b/>
          <w:smallCaps/>
          <w:sz w:val="32"/>
          <w:szCs w:val="24"/>
        </w:rPr>
        <w:t>Infrastructure managers</w:t>
      </w:r>
    </w:p>
    <w:p w:rsidR="005C6E47" w:rsidRPr="00650FF1" w:rsidP="005C6E47">
      <w:pPr>
        <w:pStyle w:val="PUNTOS"/>
        <w:numPr>
          <w:ilvl w:val="0"/>
          <w:numId w:val="0"/>
        </w:numPr>
        <w:tabs>
          <w:tab w:val="left" w:pos="851"/>
        </w:tabs>
        <w:ind w:left="567"/>
      </w:pPr>
      <w:r w:rsidRPr="00650FF1">
        <w:t xml:space="preserve">With regard to </w:t>
      </w:r>
      <w:r w:rsidRPr="00650FF1">
        <w:rPr>
          <w:b/>
          <w:smallCaps/>
          <w:sz w:val="28"/>
        </w:rPr>
        <w:t>infrastructure managers</w:t>
      </w:r>
      <w:r w:rsidRPr="00650FF1">
        <w:t xml:space="preserve">, a </w:t>
      </w:r>
      <w:r w:rsidRPr="00650FF1">
        <w:rPr>
          <w:b/>
        </w:rPr>
        <w:t>programme of accompaniment and visits</w:t>
      </w:r>
      <w:r w:rsidRPr="00650FF1">
        <w:t xml:space="preserve"> </w:t>
      </w:r>
      <w:r w:rsidRPr="00650FF1">
        <w:t>was initiated</w:t>
      </w:r>
      <w:r w:rsidRPr="00650FF1">
        <w:t xml:space="preserve"> in 2017, with some 80 different visits and inspections of different kinds being carried out:</w:t>
      </w:r>
    </w:p>
    <w:p w:rsidR="005C6E47" w:rsidRPr="00650FF1" w:rsidP="005C6E47">
      <w:pPr>
        <w:pStyle w:val="PUNTOS"/>
        <w:numPr>
          <w:ilvl w:val="0"/>
          <w:numId w:val="13"/>
        </w:numPr>
        <w:tabs>
          <w:tab w:val="left" w:pos="567"/>
          <w:tab w:val="clear" w:pos="922"/>
          <w:tab w:val="left" w:pos="1134"/>
        </w:tabs>
        <w:ind w:left="1152"/>
      </w:pPr>
      <w:r w:rsidRPr="00650FF1">
        <w:t xml:space="preserve">Accompaniment visits on the internal monitoring actions of </w:t>
      </w:r>
      <w:r w:rsidRPr="00650FF1">
        <w:t>Adif</w:t>
      </w:r>
      <w:r w:rsidRPr="00650FF1">
        <w:t xml:space="preserve"> itself, to verify compliance with its internal monitoring actions, in accordance with European Regulation 1078/2012. Such visits also serve as training for AESF technicians for other, independent inspection actions.</w:t>
      </w:r>
    </w:p>
    <w:p w:rsidR="005C6E47" w:rsidRPr="00650FF1" w:rsidP="005C6E47">
      <w:pPr>
        <w:pStyle w:val="PUNTOS"/>
        <w:numPr>
          <w:ilvl w:val="0"/>
          <w:numId w:val="13"/>
        </w:numPr>
        <w:tabs>
          <w:tab w:val="left" w:pos="567"/>
          <w:tab w:val="clear" w:pos="922"/>
          <w:tab w:val="left" w:pos="1134"/>
        </w:tabs>
        <w:ind w:left="1152"/>
      </w:pPr>
      <w:r w:rsidRPr="00650FF1">
        <w:t>Informative inspection visits for an overall examination or for examining particular aspects of one or several facilities of the RFIG, of its functioning and/or of its operation.</w:t>
      </w:r>
    </w:p>
    <w:p w:rsidR="005C6E47" w:rsidRPr="00650FF1" w:rsidP="005C6E47">
      <w:pPr>
        <w:pStyle w:val="PUNTOS"/>
        <w:numPr>
          <w:ilvl w:val="0"/>
          <w:numId w:val="13"/>
        </w:numPr>
        <w:tabs>
          <w:tab w:val="left" w:pos="567"/>
          <w:tab w:val="clear" w:pos="922"/>
          <w:tab w:val="left" w:pos="1134"/>
        </w:tabs>
        <w:ind w:left="1152"/>
      </w:pPr>
      <w:r w:rsidRPr="00650FF1">
        <w:t>Informative visits for authorisations to bring lines into service, carrying out an overall examination or an examination of particular aspects of facilities before they come on stream.</w:t>
      </w:r>
    </w:p>
    <w:p w:rsidR="005C6E47" w:rsidRPr="00650FF1" w:rsidP="005C6E47">
      <w:pPr>
        <w:pStyle w:val="PUNTOS"/>
        <w:numPr>
          <w:ilvl w:val="0"/>
          <w:numId w:val="13"/>
        </w:numPr>
        <w:tabs>
          <w:tab w:val="left" w:pos="567"/>
          <w:tab w:val="clear" w:pos="922"/>
          <w:tab w:val="left" w:pos="1134"/>
        </w:tabs>
        <w:ind w:left="1152"/>
      </w:pPr>
      <w:r w:rsidRPr="00650FF1">
        <w:t>Visits to port railway networks.</w:t>
      </w:r>
    </w:p>
    <w:p w:rsidR="005C6E47" w:rsidRPr="00650FF1" w:rsidP="005C6E47">
      <w:pPr>
        <w:pStyle w:val="PUNTOS"/>
        <w:numPr>
          <w:ilvl w:val="0"/>
          <w:numId w:val="0"/>
        </w:numPr>
        <w:tabs>
          <w:tab w:val="left" w:pos="851"/>
        </w:tabs>
        <w:ind w:left="567"/>
      </w:pPr>
      <w:r w:rsidRPr="00650FF1">
        <w:t xml:space="preserve">Furthermore, ten partial audits on the application of certain processes of the management systems of infrastructure managers or specific activities </w:t>
      </w:r>
      <w:r w:rsidRPr="00650FF1">
        <w:t>were worked on</w:t>
      </w:r>
      <w:r w:rsidRPr="00650FF1">
        <w:t xml:space="preserve"> in 2017.</w:t>
      </w:r>
    </w:p>
    <w:p w:rsidR="005C6E47" w:rsidRPr="00650FF1" w:rsidP="005C6E47">
      <w:pPr>
        <w:pStyle w:val="PUNTOS"/>
        <w:numPr>
          <w:ilvl w:val="0"/>
          <w:numId w:val="0"/>
        </w:numPr>
        <w:tabs>
          <w:tab w:val="left" w:pos="851"/>
        </w:tabs>
        <w:ind w:left="567"/>
      </w:pPr>
      <w:r w:rsidRPr="00650FF1">
        <w:t xml:space="preserve">There was continuing follow-up on the processes of commissioning lines and new infrastructures and of changes in the operating conditions by verifying the adequate application of </w:t>
      </w:r>
      <w:r w:rsidRPr="00650FF1">
        <w:t>Adif's</w:t>
      </w:r>
      <w:r w:rsidRPr="00650FF1">
        <w:t xml:space="preserve"> internal procedures for start-up and for managing changes in safety installations.</w:t>
      </w:r>
    </w:p>
    <w:p w:rsidR="005C6E47" w:rsidRPr="00650FF1" w:rsidP="005C6E47">
      <w:pPr>
        <w:pStyle w:val="NumPar1"/>
        <w:tabs>
          <w:tab w:val="clear" w:pos="480"/>
          <w:tab w:val="left" w:pos="3810"/>
        </w:tabs>
        <w:spacing w:after="120"/>
        <w:ind w:left="705" w:firstLine="0"/>
        <w:rPr>
          <w:rFonts w:ascii="Calibri" w:hAnsi="Calibri"/>
          <w:color w:val="FF0000"/>
          <w:szCs w:val="24"/>
          <w:lang w:val="es-ES_tradnl"/>
        </w:rPr>
      </w:pPr>
    </w:p>
    <w:p w:rsidR="005C6E47" w:rsidRPr="00650FF1" w:rsidP="005C6E47">
      <w:pPr>
        <w:pStyle w:val="Text1"/>
        <w:numPr>
          <w:ilvl w:val="1"/>
          <w:numId w:val="2"/>
        </w:numPr>
        <w:tabs>
          <w:tab w:val="num" w:pos="567"/>
          <w:tab w:val="num" w:pos="1737"/>
          <w:tab w:val="num" w:pos="1980"/>
          <w:tab w:val="num" w:pos="2977"/>
        </w:tabs>
        <w:spacing w:after="120"/>
        <w:ind w:left="567" w:hanging="567"/>
        <w:rPr>
          <w:rFonts w:ascii="Calibri" w:hAnsi="Calibri"/>
          <w:b/>
          <w:smallCaps/>
          <w:sz w:val="32"/>
          <w:szCs w:val="24"/>
        </w:rPr>
      </w:pPr>
      <w:r w:rsidRPr="00650FF1">
        <w:rPr>
          <w:rFonts w:ascii="Calibri" w:hAnsi="Calibri"/>
          <w:b/>
          <w:smallCaps/>
          <w:sz w:val="32"/>
          <w:szCs w:val="24"/>
        </w:rPr>
        <w:t>Railway undertakings</w:t>
      </w:r>
    </w:p>
    <w:p w:rsidR="005C6E47" w:rsidRPr="00650FF1" w:rsidP="005C6E47">
      <w:pPr>
        <w:pStyle w:val="PUNTOS"/>
        <w:numPr>
          <w:ilvl w:val="0"/>
          <w:numId w:val="0"/>
        </w:numPr>
        <w:tabs>
          <w:tab w:val="left" w:pos="851"/>
        </w:tabs>
        <w:ind w:left="567" w:hanging="360"/>
      </w:pPr>
      <w:r w:rsidRPr="00650FF1">
        <w:tab/>
        <w:t xml:space="preserve">With regard to </w:t>
      </w:r>
      <w:r w:rsidRPr="00650FF1">
        <w:rPr>
          <w:b/>
          <w:smallCaps/>
          <w:sz w:val="28"/>
        </w:rPr>
        <w:t>railway undertakings</w:t>
      </w:r>
      <w:r w:rsidRPr="00650FF1">
        <w:t xml:space="preserve">, </w:t>
      </w:r>
      <w:r w:rsidRPr="00650FF1">
        <w:rPr>
          <w:b/>
        </w:rPr>
        <w:t>audits of the application of the safety management systems</w:t>
      </w:r>
      <w:r w:rsidRPr="00650FF1">
        <w:t xml:space="preserve"> of six of the companies in operation </w:t>
      </w:r>
      <w:r w:rsidRPr="00650FF1">
        <w:t>were carried out</w:t>
      </w:r>
      <w:r w:rsidRPr="00650FF1">
        <w:t xml:space="preserve"> in 2017. These audits sought evidence of compliance with the undertakings' own procedures, and they concluded with reports </w:t>
      </w:r>
      <w:r w:rsidRPr="00650FF1">
        <w:t>being issued</w:t>
      </w:r>
      <w:r w:rsidRPr="00650FF1">
        <w:t>, in which the AESF made proposals for improvement and requested, where applicable, the presentation of action plans for implementing these improvements.</w:t>
      </w:r>
    </w:p>
    <w:p w:rsidR="005C6E47" w:rsidRPr="00650FF1" w:rsidP="005C6E47">
      <w:pPr>
        <w:pStyle w:val="PUNTOS"/>
        <w:numPr>
          <w:ilvl w:val="0"/>
          <w:numId w:val="0"/>
        </w:numPr>
        <w:ind w:left="567"/>
      </w:pPr>
      <w:r w:rsidRPr="00650FF1">
        <w:t>One of the above audits also included aspects relating to dangerous goods within its scope.</w:t>
      </w:r>
    </w:p>
    <w:p w:rsidR="005C6E47" w:rsidRPr="00650FF1" w:rsidP="005C6E47">
      <w:pPr>
        <w:pStyle w:val="PUNTOS"/>
        <w:numPr>
          <w:ilvl w:val="0"/>
          <w:numId w:val="0"/>
        </w:numPr>
        <w:ind w:left="567"/>
      </w:pPr>
      <w:r w:rsidRPr="00650FF1">
        <w:t xml:space="preserve">Furthermore, compliance with requirements or the closing of points left open and highlighted by the AESF when the safety certificates </w:t>
      </w:r>
      <w:r w:rsidRPr="00650FF1">
        <w:t>were issued or renewed</w:t>
      </w:r>
      <w:r w:rsidRPr="00650FF1">
        <w:t xml:space="preserve"> was also monitored.</w:t>
      </w:r>
    </w:p>
    <w:p w:rsidR="005C6E47" w:rsidRPr="00650FF1" w:rsidP="005C6E47">
      <w:pPr>
        <w:pStyle w:val="PUNTOS"/>
        <w:numPr>
          <w:ilvl w:val="0"/>
          <w:numId w:val="0"/>
        </w:numPr>
        <w:ind w:left="567"/>
      </w:pPr>
      <w:r w:rsidRPr="00650FF1">
        <w:t>As a result</w:t>
      </w:r>
      <w:r w:rsidRPr="00650FF1">
        <w:t xml:space="preserve"> of anomalies detected, certain railway undertakings have been requested to prepare specific action plans to deal with recurrent failures (breakdowns of a certain type of equipment, certain events or loading failures).</w:t>
      </w:r>
    </w:p>
    <w:p w:rsidR="005C6E47" w:rsidRPr="00650FF1" w:rsidP="005C6E47">
      <w:pPr>
        <w:pStyle w:val="PUNTOS"/>
        <w:numPr>
          <w:ilvl w:val="0"/>
          <w:numId w:val="0"/>
        </w:numPr>
        <w:ind w:left="567"/>
      </w:pPr>
      <w:r w:rsidRPr="00650FF1">
        <w:t xml:space="preserve">Another important supervision element developed in 2017 was the existence of joint coordination mechanisms between AESF and </w:t>
      </w:r>
      <w:r w:rsidRPr="00650FF1">
        <w:t>Adif</w:t>
      </w:r>
      <w:r w:rsidRPr="00650FF1">
        <w:t xml:space="preserve"> to exchange information between the AESF’s supervision activities and the inspection activities carried out by </w:t>
      </w:r>
      <w:r w:rsidRPr="00650FF1">
        <w:t>Adif</w:t>
      </w:r>
      <w:r w:rsidRPr="00650FF1">
        <w:t xml:space="preserve"> on the ground, in implementation of the policing competences relating to activities which may cause damage to infrastructure or traffic, which the railway legislation confers on the manager.</w:t>
      </w:r>
      <w:r w:rsidRPr="00650FF1">
        <w:t xml:space="preserve"> Under these mechanisms, the following inspections </w:t>
      </w:r>
      <w:r w:rsidRPr="00650FF1">
        <w:t>were managed</w:t>
      </w:r>
      <w:r w:rsidRPr="00650FF1">
        <w:t xml:space="preserve"> in 2017:</w:t>
      </w:r>
    </w:p>
    <w:p w:rsidR="005C6E47" w:rsidRPr="00650FF1" w:rsidP="005C6E47">
      <w:pPr>
        <w:rPr>
          <w:i/>
          <w:sz w:val="22"/>
          <w:lang w:val="es-ES_tradnl"/>
        </w:rPr>
      </w:pPr>
    </w:p>
    <w:tbl>
      <w:tblPr>
        <w:tblStyle w:val="TableGrid"/>
        <w:tblW w:w="0" w:type="auto"/>
        <w:jc w:val="center"/>
        <w:tblLook w:val="04A0"/>
      </w:tblPr>
      <w:tblGrid>
        <w:gridCol w:w="2408"/>
        <w:gridCol w:w="1346"/>
        <w:gridCol w:w="2057"/>
        <w:gridCol w:w="1701"/>
        <w:gridCol w:w="1612"/>
      </w:tblGrid>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TYPE OF INSPECTION</w:t>
            </w:r>
          </w:p>
        </w:tc>
        <w:tc>
          <w:tcPr>
            <w:tcW w:w="134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CARRIED OUT</w:t>
            </w:r>
          </w:p>
        </w:tc>
        <w:tc>
          <w:tcPr>
            <w:tcW w:w="2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 OF PLANNED INSPECTIONS CARRIED OUT</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INSPECTIONS WITH ANOMALIES</w:t>
            </w:r>
          </w:p>
        </w:tc>
        <w:tc>
          <w:tcPr>
            <w:tcW w:w="161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ANOMALIES</w:t>
            </w:r>
          </w:p>
        </w:tc>
      </w:tr>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hideMark/>
          </w:tcPr>
          <w:p w:rsidR="005C6E47" w:rsidRPr="00650FF1" w:rsidP="002F2972">
            <w:pPr>
              <w:spacing w:before="60" w:after="60"/>
              <w:rPr>
                <w:rFonts w:asciiTheme="minorHAnsi" w:hAnsiTheme="minorHAnsi" w:cstheme="minorHAnsi"/>
                <w:b/>
                <w:i/>
                <w:sz w:val="22"/>
                <w:szCs w:val="22"/>
              </w:rPr>
            </w:pPr>
            <w:r w:rsidRPr="00650FF1">
              <w:rPr>
                <w:rFonts w:asciiTheme="minorHAnsi" w:hAnsiTheme="minorHAnsi"/>
                <w:b/>
                <w:i/>
                <w:sz w:val="22"/>
                <w:szCs w:val="22"/>
              </w:rPr>
              <w:t>Wagons</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rPr>
              <w:t>1299</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rPr>
              <w:t>105 %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177</w:t>
            </w:r>
          </w:p>
        </w:tc>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232</w:t>
            </w:r>
          </w:p>
        </w:tc>
      </w:tr>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hideMark/>
          </w:tcPr>
          <w:p w:rsidR="005C6E47" w:rsidRPr="00650FF1" w:rsidP="002F2972">
            <w:pPr>
              <w:spacing w:before="60" w:after="60"/>
              <w:rPr>
                <w:rFonts w:asciiTheme="minorHAnsi" w:hAnsiTheme="minorHAnsi" w:cstheme="minorHAnsi"/>
                <w:b/>
                <w:i/>
                <w:sz w:val="22"/>
                <w:szCs w:val="22"/>
              </w:rPr>
            </w:pPr>
            <w:r w:rsidRPr="00650FF1">
              <w:rPr>
                <w:rFonts w:asciiTheme="minorHAnsi" w:hAnsiTheme="minorHAnsi"/>
                <w:b/>
                <w:i/>
                <w:sz w:val="22"/>
                <w:szCs w:val="22"/>
              </w:rPr>
              <w:t>Blood alcohol level</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157</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rPr>
              <w:t>102 %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2</w:t>
            </w:r>
          </w:p>
        </w:tc>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2</w:t>
            </w:r>
          </w:p>
        </w:tc>
      </w:tr>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hideMark/>
          </w:tcPr>
          <w:p w:rsidR="005C6E47" w:rsidRPr="00650FF1" w:rsidP="002F2972">
            <w:pPr>
              <w:spacing w:before="60" w:after="60"/>
              <w:rPr>
                <w:rFonts w:asciiTheme="minorHAnsi" w:hAnsiTheme="minorHAnsi" w:cstheme="minorHAnsi"/>
                <w:b/>
                <w:i/>
                <w:sz w:val="22"/>
                <w:szCs w:val="22"/>
              </w:rPr>
            </w:pPr>
            <w:r w:rsidRPr="00650FF1">
              <w:rPr>
                <w:rFonts w:asciiTheme="minorHAnsi" w:hAnsiTheme="minorHAnsi"/>
                <w:b/>
                <w:i/>
                <w:sz w:val="22"/>
                <w:szCs w:val="22"/>
              </w:rPr>
              <w:t>Dangerous goods</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95</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rPr>
              <w:t>103 %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18</w:t>
            </w:r>
          </w:p>
        </w:tc>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57</w:t>
            </w:r>
          </w:p>
        </w:tc>
      </w:tr>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hideMark/>
          </w:tcPr>
          <w:p w:rsidR="005C6E47" w:rsidRPr="00650FF1" w:rsidP="002F2972">
            <w:pPr>
              <w:spacing w:before="60" w:after="60"/>
              <w:rPr>
                <w:rFonts w:asciiTheme="minorHAnsi" w:hAnsiTheme="minorHAnsi" w:cstheme="minorHAnsi"/>
                <w:b/>
                <w:i/>
                <w:sz w:val="22"/>
                <w:szCs w:val="22"/>
              </w:rPr>
            </w:pPr>
            <w:r w:rsidRPr="00650FF1">
              <w:rPr>
                <w:rFonts w:asciiTheme="minorHAnsi" w:hAnsiTheme="minorHAnsi"/>
                <w:b/>
                <w:i/>
                <w:sz w:val="22"/>
                <w:szCs w:val="22"/>
              </w:rPr>
              <w:t>Freight</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274</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rPr>
              <w:t>100 %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38</w:t>
            </w:r>
          </w:p>
        </w:tc>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272</w:t>
            </w:r>
          </w:p>
        </w:tc>
      </w:tr>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hideMark/>
          </w:tcPr>
          <w:p w:rsidR="005C6E47" w:rsidRPr="00650FF1" w:rsidP="002F2972">
            <w:pPr>
              <w:spacing w:before="60" w:after="60"/>
              <w:rPr>
                <w:rFonts w:asciiTheme="minorHAnsi" w:hAnsiTheme="minorHAnsi" w:cstheme="minorHAnsi"/>
                <w:b/>
                <w:i/>
                <w:sz w:val="22"/>
                <w:szCs w:val="22"/>
              </w:rPr>
            </w:pPr>
            <w:r w:rsidRPr="00650FF1">
              <w:rPr>
                <w:rFonts w:asciiTheme="minorHAnsi" w:hAnsiTheme="minorHAnsi"/>
                <w:b/>
                <w:i/>
                <w:sz w:val="22"/>
                <w:szCs w:val="22"/>
              </w:rPr>
              <w:t>Cab inspection</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295</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rPr>
              <w:t>101 %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40</w:t>
            </w:r>
          </w:p>
        </w:tc>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74</w:t>
            </w:r>
          </w:p>
        </w:tc>
      </w:tr>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hideMark/>
          </w:tcPr>
          <w:p w:rsidR="005C6E47" w:rsidRPr="00650FF1" w:rsidP="002F2972">
            <w:pPr>
              <w:spacing w:before="60" w:after="60"/>
              <w:rPr>
                <w:rFonts w:asciiTheme="minorHAnsi" w:hAnsiTheme="minorHAnsi" w:cstheme="minorHAnsi"/>
                <w:b/>
                <w:i/>
                <w:sz w:val="22"/>
                <w:szCs w:val="22"/>
              </w:rPr>
            </w:pPr>
            <w:r w:rsidRPr="00650FF1">
              <w:rPr>
                <w:rFonts w:asciiTheme="minorHAnsi" w:hAnsiTheme="minorHAnsi"/>
                <w:b/>
                <w:i/>
                <w:sz w:val="22"/>
                <w:szCs w:val="22"/>
              </w:rPr>
              <w:t>Speed records</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281</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rPr>
              <w:t>131 %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37</w:t>
            </w:r>
          </w:p>
        </w:tc>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6E47" w:rsidRPr="00650FF1" w:rsidP="002F2972">
            <w:pPr>
              <w:spacing w:before="60" w:after="60"/>
              <w:jc w:val="center"/>
              <w:rPr>
                <w:rFonts w:asciiTheme="minorHAnsi" w:hAnsiTheme="minorHAnsi" w:cstheme="minorHAnsi"/>
                <w:i/>
                <w:sz w:val="22"/>
                <w:szCs w:val="22"/>
              </w:rPr>
            </w:pPr>
            <w:r w:rsidRPr="00650FF1">
              <w:rPr>
                <w:rFonts w:asciiTheme="minorHAnsi" w:hAnsiTheme="minorHAnsi"/>
                <w:i/>
                <w:sz w:val="22"/>
                <w:szCs w:val="22"/>
                <w:lang w:val="es-ES_tradnl"/>
              </w:rPr>
              <w:t>37</w:t>
            </w:r>
          </w:p>
        </w:tc>
      </w:tr>
      <w:tr w:rsidTr="002F2972">
        <w:tblPrEx>
          <w:tblW w:w="0" w:type="auto"/>
          <w:jc w:val="center"/>
          <w:tblLook w:val="04A0"/>
        </w:tblPrEx>
        <w:trPr>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Total</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2402</w:t>
            </w:r>
          </w:p>
        </w:tc>
        <w:tc>
          <w:tcPr>
            <w:tcW w:w="2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rPr>
              <w:t>106 %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lang w:val="es-ES_tradnl"/>
              </w:rPr>
              <w:t>313</w:t>
            </w:r>
          </w:p>
        </w:tc>
        <w:tc>
          <w:tcPr>
            <w:tcW w:w="1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6E47" w:rsidRPr="00650FF1" w:rsidP="002F2972">
            <w:pPr>
              <w:spacing w:before="60" w:after="60"/>
              <w:jc w:val="center"/>
              <w:rPr>
                <w:rFonts w:asciiTheme="minorHAnsi" w:hAnsiTheme="minorHAnsi" w:cstheme="minorHAnsi"/>
                <w:b/>
                <w:i/>
                <w:sz w:val="22"/>
                <w:szCs w:val="22"/>
              </w:rPr>
            </w:pPr>
            <w:r w:rsidRPr="00650FF1">
              <w:rPr>
                <w:rFonts w:asciiTheme="minorHAnsi" w:hAnsiTheme="minorHAnsi"/>
                <w:b/>
                <w:i/>
                <w:sz w:val="22"/>
                <w:szCs w:val="22"/>
                <w:lang w:val="es-ES_tradnl"/>
              </w:rPr>
              <w:t>685</w:t>
            </w:r>
          </w:p>
        </w:tc>
      </w:tr>
    </w:tbl>
    <w:p w:rsidR="005C6E47" w:rsidRPr="00650FF1" w:rsidP="005C6E47">
      <w:pPr>
        <w:rPr>
          <w:i/>
          <w:sz w:val="22"/>
          <w:lang w:val="es-ES_tradnl"/>
        </w:rPr>
      </w:pPr>
    </w:p>
    <w:p w:rsidR="005C6E47" w:rsidRPr="00650FF1" w:rsidP="005C6E47">
      <w:pPr>
        <w:pStyle w:val="PUNTOS"/>
        <w:numPr>
          <w:ilvl w:val="0"/>
          <w:numId w:val="0"/>
        </w:numPr>
        <w:ind w:left="567"/>
      </w:pPr>
      <w:r w:rsidRPr="00650FF1">
        <w:t xml:space="preserve">Likewise, the results obtained from using </w:t>
      </w:r>
      <w:r w:rsidRPr="00650FF1">
        <w:t>Adif’s</w:t>
      </w:r>
      <w:r w:rsidRPr="00650FF1">
        <w:t xml:space="preserve"> weighing systems (over 30,000 per year) </w:t>
      </w:r>
      <w:r w:rsidRPr="00650FF1">
        <w:t>were also taken</w:t>
      </w:r>
      <w:r w:rsidRPr="00650FF1">
        <w:t xml:space="preserve"> into account to detect the origin of overloads.</w:t>
      </w:r>
    </w:p>
    <w:p w:rsidR="005C6E47" w:rsidRPr="00650FF1" w:rsidP="005C6E47">
      <w:pPr>
        <w:pStyle w:val="PUNTOS"/>
        <w:numPr>
          <w:ilvl w:val="0"/>
          <w:numId w:val="0"/>
        </w:numPr>
        <w:ind w:left="567"/>
      </w:pPr>
      <w:r w:rsidRPr="00650FF1">
        <w:t>In some cases, the results of the supervision involved imposing fines in accordance with the provisions of Law 38/2015 on the railway sector.</w:t>
      </w:r>
    </w:p>
    <w:p w:rsidR="005C6E47" w:rsidRPr="00650FF1" w:rsidP="005C6E47">
      <w:pPr>
        <w:pStyle w:val="Text1"/>
        <w:tabs>
          <w:tab w:val="num" w:pos="1392"/>
          <w:tab w:val="num" w:pos="1589"/>
          <w:tab w:val="num" w:pos="1737"/>
          <w:tab w:val="num" w:pos="1980"/>
        </w:tabs>
        <w:spacing w:after="120"/>
        <w:ind w:left="1568"/>
        <w:rPr>
          <w:rFonts w:ascii="Calibri" w:hAnsi="Calibri"/>
          <w:b/>
          <w:smallCaps/>
          <w:color w:val="FF0000"/>
          <w:sz w:val="32"/>
          <w:szCs w:val="24"/>
          <w:lang w:val="es-ES_tradnl"/>
        </w:rPr>
      </w:pPr>
    </w:p>
    <w:p w:rsidR="005C6E47" w:rsidRPr="00650FF1" w:rsidP="005C6E47">
      <w:pPr>
        <w:pStyle w:val="Text1"/>
        <w:numPr>
          <w:ilvl w:val="1"/>
          <w:numId w:val="2"/>
        </w:numPr>
        <w:tabs>
          <w:tab w:val="num" w:pos="567"/>
          <w:tab w:val="num" w:pos="1737"/>
          <w:tab w:val="num" w:pos="1980"/>
          <w:tab w:val="num" w:pos="2977"/>
        </w:tabs>
        <w:spacing w:after="120"/>
        <w:ind w:left="567" w:hanging="567"/>
        <w:rPr>
          <w:rFonts w:ascii="Calibri" w:hAnsi="Calibri"/>
          <w:b/>
          <w:smallCaps/>
          <w:sz w:val="32"/>
          <w:szCs w:val="24"/>
        </w:rPr>
      </w:pPr>
      <w:r w:rsidRPr="00650FF1">
        <w:rPr>
          <w:rFonts w:ascii="Calibri" w:hAnsi="Calibri"/>
          <w:b/>
          <w:smallCaps/>
          <w:sz w:val="32"/>
          <w:szCs w:val="24"/>
        </w:rPr>
        <w:t>Entities related to rolling stock maintenance</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 xml:space="preserve">Adequate control of the maintenance of railway vehicles, as set out in Spanish legislation, </w:t>
      </w:r>
      <w:r w:rsidRPr="00650FF1">
        <w:rPr>
          <w:rFonts w:ascii="Calibri" w:hAnsi="Calibri"/>
          <w:szCs w:val="24"/>
        </w:rPr>
        <w:t>is still considered</w:t>
      </w:r>
      <w:r w:rsidRPr="00650FF1">
        <w:rPr>
          <w:rFonts w:ascii="Calibri" w:hAnsi="Calibri"/>
          <w:szCs w:val="24"/>
        </w:rPr>
        <w:t xml:space="preserve"> a priority line of action. For that, </w:t>
      </w:r>
      <w:r w:rsidRPr="00650FF1">
        <w:rPr>
          <w:rFonts w:ascii="Calibri" w:hAnsi="Calibri"/>
          <w:b/>
          <w:smallCaps/>
          <w:sz w:val="28"/>
          <w:szCs w:val="24"/>
        </w:rPr>
        <w:t>maintenance centres</w:t>
      </w:r>
      <w:r w:rsidRPr="00650FF1">
        <w:rPr>
          <w:rFonts w:ascii="Calibri" w:hAnsi="Calibri"/>
          <w:szCs w:val="24"/>
        </w:rPr>
        <w:t xml:space="preserve"> </w:t>
      </w:r>
      <w:r w:rsidRPr="00650FF1">
        <w:rPr>
          <w:rFonts w:ascii="Calibri" w:hAnsi="Calibri"/>
          <w:szCs w:val="24"/>
        </w:rPr>
        <w:t>must be officially approved</w:t>
      </w:r>
      <w:r w:rsidRPr="00650FF1">
        <w:rPr>
          <w:rFonts w:ascii="Calibri" w:hAnsi="Calibri"/>
          <w:szCs w:val="24"/>
        </w:rPr>
        <w:t xml:space="preserve"> by the AESF, in accordance with the provisions of Order FOM/233/2006</w:t>
      </w:r>
      <w:r>
        <w:rPr>
          <w:rFonts w:ascii="Calibri" w:hAnsi="Calibri"/>
          <w:szCs w:val="24"/>
          <w:vertAlign w:val="superscript"/>
          <w:lang w:val="es-ES_tradnl"/>
        </w:rPr>
        <w:footnoteReference w:id="16"/>
      </w:r>
      <w:r w:rsidRPr="00650FF1">
        <w:rPr>
          <w:rFonts w:ascii="Calibri" w:hAnsi="Calibri"/>
          <w:szCs w:val="24"/>
        </w:rPr>
        <w:t xml:space="preserve"> for carrying out such tasks.</w:t>
      </w:r>
    </w:p>
    <w:p w:rsidR="005C6E47" w:rsidRPr="00650FF1" w:rsidP="005C6E47">
      <w:pPr>
        <w:pStyle w:val="PUNTOS"/>
        <w:numPr>
          <w:ilvl w:val="0"/>
          <w:numId w:val="13"/>
        </w:numPr>
        <w:tabs>
          <w:tab w:val="left" w:pos="567"/>
          <w:tab w:val="clear" w:pos="922"/>
          <w:tab w:val="left" w:pos="993"/>
          <w:tab w:val="num" w:pos="1436"/>
        </w:tabs>
        <w:ind w:left="1436"/>
      </w:pPr>
      <w:r w:rsidRPr="00650FF1">
        <w:t>Total number of approved maintenance centres: 57</w:t>
      </w:r>
    </w:p>
    <w:p w:rsidR="005C6E47" w:rsidRPr="00650FF1" w:rsidP="005C6E47">
      <w:pPr>
        <w:pStyle w:val="PUNTOS"/>
        <w:numPr>
          <w:ilvl w:val="0"/>
          <w:numId w:val="13"/>
        </w:numPr>
        <w:tabs>
          <w:tab w:val="left" w:pos="567"/>
          <w:tab w:val="clear" w:pos="922"/>
          <w:tab w:val="left" w:pos="993"/>
          <w:tab w:val="num" w:pos="1436"/>
        </w:tabs>
        <w:ind w:left="1436"/>
      </w:pPr>
      <w:r w:rsidRPr="00650FF1">
        <w:t>Number of maintenance centres approved in 2017: 3</w:t>
      </w:r>
    </w:p>
    <w:p w:rsidR="005C6E47" w:rsidRPr="00650FF1" w:rsidP="005C6E47">
      <w:pPr>
        <w:pStyle w:val="PUNTOS"/>
        <w:numPr>
          <w:ilvl w:val="0"/>
          <w:numId w:val="13"/>
        </w:numPr>
        <w:tabs>
          <w:tab w:val="left" w:pos="567"/>
          <w:tab w:val="clear" w:pos="922"/>
          <w:tab w:val="left" w:pos="993"/>
          <w:tab w:val="num" w:pos="1436"/>
        </w:tabs>
        <w:ind w:left="1436"/>
      </w:pPr>
      <w:r w:rsidRPr="00650FF1">
        <w:t>Number of approved facilities: 193</w:t>
      </w:r>
    </w:p>
    <w:p w:rsidR="005C6E47" w:rsidRPr="00650FF1" w:rsidP="005C6E47">
      <w:pPr>
        <w:pStyle w:val="Text1"/>
        <w:spacing w:before="240" w:after="120"/>
        <w:ind w:left="709"/>
        <w:rPr>
          <w:rFonts w:ascii="Calibri" w:hAnsi="Calibri"/>
          <w:szCs w:val="24"/>
        </w:rPr>
      </w:pPr>
      <w:r w:rsidRPr="00650FF1">
        <w:rPr>
          <w:rFonts w:ascii="Calibri" w:hAnsi="Calibri"/>
          <w:szCs w:val="24"/>
        </w:rPr>
        <w:t xml:space="preserve">It must be borne in mind that, as of 31 May 2017, Article 12(5) of Commission Regulation (EU) No 445/2011, regarding the fact that maintenance centres that </w:t>
      </w:r>
      <w:r w:rsidRPr="00650FF1">
        <w:rPr>
          <w:rFonts w:ascii="Calibri" w:hAnsi="Calibri"/>
          <w:szCs w:val="24"/>
        </w:rPr>
        <w:t>are approved and authorised to perform maintenance on freight wagons in accordance with national laws</w:t>
      </w:r>
      <w:r w:rsidRPr="00650FF1">
        <w:rPr>
          <w:rFonts w:ascii="Calibri" w:hAnsi="Calibri"/>
          <w:szCs w:val="24"/>
        </w:rPr>
        <w:t xml:space="preserve"> have, directly, an equivalent certificate for performing the maintenance delivery function, does not apply. Due to the above, the number of approved maintenance centres fell in 2017.</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 xml:space="preserve">The AESF carries out checks and inspections at those centres at least annually whenever there are well-founded doubts regarding possible breaches of requirements. It may also do so randomly, at any moment, to verify that compliance with the requirements for approval </w:t>
      </w:r>
      <w:r w:rsidRPr="00650FF1">
        <w:rPr>
          <w:rFonts w:ascii="Calibri" w:hAnsi="Calibri"/>
          <w:szCs w:val="24"/>
        </w:rPr>
        <w:t>is being maintained</w:t>
      </w:r>
      <w:r w:rsidRPr="00650FF1">
        <w:rPr>
          <w:rFonts w:ascii="Calibri" w:hAnsi="Calibri"/>
          <w:szCs w:val="24"/>
        </w:rPr>
        <w:t>.</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 xml:space="preserve">Specifically, during 2017 </w:t>
      </w:r>
      <w:r w:rsidRPr="00650FF1">
        <w:rPr>
          <w:rFonts w:ascii="Calibri" w:hAnsi="Calibri"/>
          <w:szCs w:val="24"/>
        </w:rPr>
        <w:t>a total of 62</w:t>
      </w:r>
      <w:r w:rsidRPr="00650FF1">
        <w:rPr>
          <w:rFonts w:ascii="Calibri" w:hAnsi="Calibri"/>
          <w:szCs w:val="24"/>
        </w:rPr>
        <w:t xml:space="preserve"> inspections were carried out at the various facilities.</w:t>
      </w:r>
    </w:p>
    <w:p w:rsidR="005C6E47" w:rsidRPr="00650FF1" w:rsidP="005C6E47">
      <w:pPr>
        <w:pStyle w:val="NumPar1"/>
        <w:tabs>
          <w:tab w:val="clear" w:pos="480"/>
          <w:tab w:val="left" w:pos="3810"/>
        </w:tabs>
        <w:spacing w:after="120"/>
        <w:ind w:left="709" w:firstLine="0"/>
        <w:rPr>
          <w:rFonts w:ascii="Calibri" w:hAnsi="Calibri"/>
          <w:szCs w:val="24"/>
          <w:lang w:val="es-ES_tradnl"/>
        </w:rPr>
      </w:pPr>
    </w:p>
    <w:p w:rsidR="005C6E47" w:rsidRPr="00650FF1" w:rsidP="005C6E47">
      <w:pPr>
        <w:pStyle w:val="Text1"/>
        <w:spacing w:before="240" w:after="120"/>
        <w:ind w:left="709"/>
        <w:rPr>
          <w:rFonts w:ascii="Calibri" w:hAnsi="Calibri"/>
          <w:szCs w:val="24"/>
        </w:rPr>
      </w:pPr>
      <w:r w:rsidRPr="00650FF1">
        <w:rPr>
          <w:rFonts w:ascii="Calibri" w:hAnsi="Calibri"/>
          <w:szCs w:val="24"/>
        </w:rPr>
        <w:t xml:space="preserve">With regard to </w:t>
      </w:r>
      <w:r w:rsidRPr="00650FF1">
        <w:rPr>
          <w:rFonts w:ascii="Calibri" w:hAnsi="Calibri"/>
          <w:b/>
          <w:smallCaps/>
          <w:sz w:val="28"/>
          <w:szCs w:val="24"/>
        </w:rPr>
        <w:t>entities in charge of the maintenance of wagons</w:t>
      </w:r>
      <w:r w:rsidRPr="00650FF1">
        <w:rPr>
          <w:rFonts w:ascii="Calibri" w:hAnsi="Calibri"/>
          <w:szCs w:val="24"/>
        </w:rPr>
        <w:t>, certification have continued to be processed, with 14 certifications having been issued in Spain in 2017 among the four certifiable functions, of which 7 were new certifications and 7 were renewals.</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 xml:space="preserve">As regards the task of supervising the ECMs, execution of the improvement plan established for each already certified ECM has been monitored, in order to check that deficiencies detected in audit and inspection processes prior to the issuance of certificates have been rectified. This action </w:t>
      </w:r>
      <w:r w:rsidRPr="00650FF1">
        <w:rPr>
          <w:rFonts w:ascii="Calibri" w:hAnsi="Calibri"/>
          <w:szCs w:val="24"/>
        </w:rPr>
        <w:t>was complemented</w:t>
      </w:r>
      <w:r w:rsidRPr="00650FF1">
        <w:rPr>
          <w:rFonts w:ascii="Calibri" w:hAnsi="Calibri"/>
          <w:szCs w:val="24"/>
        </w:rPr>
        <w:t xml:space="preserve"> by the annual monitoring activities for ECMs whose certification was issued for a period of 5 years and by conducting audits and inspections for renewal of the certificates of ECMs classified as ‘new’, in accordance with the provisions of Commission Regulation (EU) No 445/2011.</w:t>
      </w:r>
    </w:p>
    <w:p w:rsidR="005C6E47" w:rsidRPr="00650FF1" w:rsidP="005C6E47">
      <w:pPr>
        <w:pStyle w:val="Text1"/>
        <w:tabs>
          <w:tab w:val="num" w:pos="878"/>
          <w:tab w:val="num" w:pos="1075"/>
          <w:tab w:val="num" w:pos="1328"/>
          <w:tab w:val="num" w:pos="1980"/>
        </w:tabs>
        <w:spacing w:after="120"/>
        <w:ind w:left="709"/>
        <w:rPr>
          <w:rFonts w:ascii="Calibri" w:hAnsi="Calibri"/>
          <w:szCs w:val="24"/>
        </w:rPr>
      </w:pPr>
      <w:r w:rsidRPr="00650FF1">
        <w:rPr>
          <w:rFonts w:ascii="Calibri" w:hAnsi="Calibri"/>
          <w:szCs w:val="24"/>
        </w:rPr>
        <w:t xml:space="preserve">In 2017, 19 audits were audits with carried out on entities in charge of maintenance. Of those, </w:t>
      </w:r>
      <w:r w:rsidRPr="00650FF1">
        <w:rPr>
          <w:rFonts w:ascii="Calibri" w:hAnsi="Calibri"/>
          <w:szCs w:val="24"/>
        </w:rPr>
        <w:t>7</w:t>
      </w:r>
      <w:r w:rsidRPr="00650FF1">
        <w:rPr>
          <w:rFonts w:ascii="Calibri" w:hAnsi="Calibri"/>
          <w:szCs w:val="24"/>
        </w:rPr>
        <w:t xml:space="preserve"> were for renewal and 12 were to monitor entities which already had the certificate for an entity in charge of maintenance. A further </w:t>
      </w:r>
      <w:r w:rsidRPr="00650FF1">
        <w:rPr>
          <w:rFonts w:ascii="Calibri" w:hAnsi="Calibri"/>
          <w:szCs w:val="24"/>
        </w:rPr>
        <w:t>6</w:t>
      </w:r>
      <w:r w:rsidRPr="00650FF1">
        <w:rPr>
          <w:rFonts w:ascii="Calibri" w:hAnsi="Calibri"/>
          <w:szCs w:val="24"/>
        </w:rPr>
        <w:t xml:space="preserve"> audits were carried out on entities for their initial certification.</w:t>
      </w:r>
    </w:p>
    <w:p w:rsidR="005C6E47" w:rsidRPr="00650FF1" w:rsidP="005C6E47">
      <w:pPr>
        <w:pStyle w:val="Text1"/>
        <w:tabs>
          <w:tab w:val="num" w:pos="878"/>
          <w:tab w:val="num" w:pos="1075"/>
          <w:tab w:val="num" w:pos="1328"/>
          <w:tab w:val="num" w:pos="1980"/>
        </w:tabs>
        <w:spacing w:after="120"/>
        <w:ind w:left="709"/>
        <w:rPr>
          <w:rFonts w:ascii="Calibri" w:hAnsi="Calibri"/>
          <w:szCs w:val="24"/>
          <w:lang w:val="es-ES_tradnl"/>
        </w:rPr>
      </w:pPr>
    </w:p>
    <w:p w:rsidR="005C6E47" w:rsidRPr="00650FF1" w:rsidP="005C6E47">
      <w:pPr>
        <w:pStyle w:val="Text1"/>
        <w:numPr>
          <w:ilvl w:val="1"/>
          <w:numId w:val="2"/>
        </w:numPr>
        <w:tabs>
          <w:tab w:val="num" w:pos="567"/>
          <w:tab w:val="num" w:pos="1737"/>
          <w:tab w:val="num" w:pos="1980"/>
          <w:tab w:val="num" w:pos="2977"/>
        </w:tabs>
        <w:spacing w:after="120"/>
        <w:ind w:left="567" w:hanging="567"/>
        <w:rPr>
          <w:rFonts w:ascii="Calibri" w:hAnsi="Calibri"/>
          <w:b/>
          <w:smallCaps/>
          <w:sz w:val="32"/>
          <w:szCs w:val="24"/>
        </w:rPr>
      </w:pPr>
      <w:r w:rsidRPr="00650FF1">
        <w:rPr>
          <w:rFonts w:ascii="Calibri" w:hAnsi="Calibri"/>
          <w:b/>
          <w:smallCaps/>
          <w:sz w:val="32"/>
          <w:szCs w:val="24"/>
        </w:rPr>
        <w:t>Centres related to railway personnel</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Another, complementary activity of vital importance to the sector is training of personnel. Controlling the centres that conduct such activities is, therefore, also a priority for the AESF.</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Approved centres for the training of railway personnel are inspected in accordance with the provisions of article 53 of Order FOM 2872/2010</w:t>
      </w:r>
      <w:r>
        <w:rPr>
          <w:rFonts w:ascii="Calibri" w:hAnsi="Calibri"/>
          <w:szCs w:val="24"/>
          <w:vertAlign w:val="superscript"/>
          <w:lang w:val="es-ES_tradnl"/>
        </w:rPr>
        <w:footnoteReference w:id="17"/>
      </w:r>
      <w:r w:rsidRPr="00650FF1">
        <w:rPr>
          <w:rFonts w:ascii="Calibri" w:hAnsi="Calibri"/>
          <w:szCs w:val="24"/>
        </w:rPr>
        <w:t>, Title IX, Chapter I, regarding the inspection scheme for approved centres for railway personnel and the functioning of all operations linked to the training of railway personnel for the various certificates established in that Order.</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 xml:space="preserve">Six approved training centres </w:t>
      </w:r>
      <w:r w:rsidRPr="00650FF1">
        <w:rPr>
          <w:rFonts w:ascii="Calibri" w:hAnsi="Calibri"/>
          <w:szCs w:val="24"/>
        </w:rPr>
        <w:t>were inspected</w:t>
      </w:r>
      <w:r w:rsidRPr="00650FF1">
        <w:rPr>
          <w:rFonts w:ascii="Calibri" w:hAnsi="Calibri"/>
          <w:szCs w:val="24"/>
        </w:rPr>
        <w:t xml:space="preserve"> in 2017 and, as at 31 December 2017, there were a total of ten approved training centres. Four of those centres renewed their approval in 2017 and, therefore, it was not necessary to carry out inspections.</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 xml:space="preserve">Similarly, inspection activities </w:t>
      </w:r>
      <w:r w:rsidRPr="00650FF1">
        <w:rPr>
          <w:rFonts w:ascii="Calibri" w:hAnsi="Calibri"/>
          <w:szCs w:val="24"/>
        </w:rPr>
        <w:t>were also carried out</w:t>
      </w:r>
      <w:r w:rsidRPr="00650FF1">
        <w:rPr>
          <w:rFonts w:ascii="Calibri" w:hAnsi="Calibri"/>
          <w:szCs w:val="24"/>
        </w:rPr>
        <w:t xml:space="preserve"> at medical examination centres for railway personnel, which are also regulated under Order FOM/2872/2010. In 2017, 14 inspection activities were carried out (</w:t>
      </w:r>
      <w:r w:rsidRPr="00650FF1">
        <w:rPr>
          <w:rFonts w:ascii="Calibri" w:hAnsi="Calibri"/>
          <w:szCs w:val="24"/>
        </w:rPr>
        <w:t>8</w:t>
      </w:r>
      <w:r w:rsidRPr="00650FF1">
        <w:rPr>
          <w:rFonts w:ascii="Calibri" w:hAnsi="Calibri"/>
          <w:szCs w:val="24"/>
        </w:rPr>
        <w:t xml:space="preserve"> inspections and 6 visits) and, as at 31 December 2017, there were 18 approved medical examination centres. The purpose of the visits is to inform medical examination centres for railway personnel about the amendment to Order FOM/2872/2010 regarding the psychological </w:t>
      </w:r>
      <w:r w:rsidRPr="00650FF1">
        <w:rPr>
          <w:rFonts w:ascii="Calibri" w:hAnsi="Calibri"/>
          <w:szCs w:val="24"/>
        </w:rPr>
        <w:t>tests which</w:t>
      </w:r>
      <w:r w:rsidRPr="00650FF1">
        <w:rPr>
          <w:rFonts w:ascii="Calibri" w:hAnsi="Calibri"/>
          <w:szCs w:val="24"/>
        </w:rPr>
        <w:t xml:space="preserve"> railway personnel must undergo in the medical examinations, with a view to making them aware of the importance of its application.</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The AESF’s objective with regard to inspecting the centres is to conduct at least one annual inspection, as indicated in articles 58(3) and 71(3) of Order FOM/2872/2010, of 5 November.</w:t>
      </w:r>
    </w:p>
    <w:p w:rsidR="005C6E47" w:rsidRPr="00650FF1" w:rsidP="005C6E47">
      <w:pPr>
        <w:pStyle w:val="NumPar1"/>
        <w:tabs>
          <w:tab w:val="clear" w:pos="480"/>
          <w:tab w:val="left" w:pos="3810"/>
        </w:tabs>
        <w:spacing w:after="120"/>
        <w:ind w:left="709" w:firstLine="0"/>
        <w:rPr>
          <w:rFonts w:ascii="Calibri" w:hAnsi="Calibri"/>
          <w:szCs w:val="24"/>
        </w:rPr>
      </w:pPr>
      <w:r w:rsidRPr="00650FF1">
        <w:rPr>
          <w:rFonts w:ascii="Calibri" w:hAnsi="Calibri"/>
          <w:szCs w:val="24"/>
        </w:rPr>
        <w:t>Furthermore, when a training centre or medical examination centre submits an application to expand its facilities, the AESF visits the centre before issuing its decision.</w:t>
      </w:r>
    </w:p>
    <w:p w:rsidR="005C6E47" w:rsidRPr="00650FF1" w:rsidP="005C6E47">
      <w:pPr>
        <w:rPr>
          <w:rFonts w:ascii="Calibri" w:hAnsi="Calibri"/>
          <w:color w:val="FF0000"/>
          <w:lang w:val="es-ES_tradnl"/>
        </w:rPr>
      </w:pPr>
    </w:p>
    <w:p w:rsidR="005C6E47" w:rsidRPr="00637CB5" w:rsidP="00637CB5">
      <w:pPr>
        <w:pStyle w:val="Subtitulo1"/>
        <w:numPr>
          <w:ilvl w:val="0"/>
          <w:numId w:val="21"/>
        </w:numPr>
        <w:tabs>
          <w:tab w:val="num" w:pos="426"/>
        </w:tabs>
        <w:rPr>
          <w:lang w:val="es-ES_tradnl"/>
        </w:rPr>
      </w:pPr>
      <w:r w:rsidRPr="00637CB5">
        <w:rPr>
          <w:lang w:val="es-ES_tradnl"/>
        </w:rPr>
        <w:t>Dissemination and return of experience activities</w:t>
      </w:r>
    </w:p>
    <w:p w:rsidR="005C6E47" w:rsidRPr="00650FF1" w:rsidP="005C6E47">
      <w:pPr>
        <w:pStyle w:val="NumPar1"/>
        <w:tabs>
          <w:tab w:val="clear" w:pos="480"/>
          <w:tab w:val="left" w:pos="3810"/>
        </w:tabs>
        <w:spacing w:before="120" w:after="120"/>
        <w:ind w:left="66" w:firstLine="0"/>
        <w:rPr>
          <w:rFonts w:ascii="Calibri" w:hAnsi="Calibri"/>
          <w:szCs w:val="24"/>
        </w:rPr>
      </w:pPr>
      <w:r w:rsidRPr="00650FF1">
        <w:rPr>
          <w:rFonts w:ascii="Calibri" w:hAnsi="Calibri"/>
          <w:szCs w:val="24"/>
        </w:rPr>
        <w:t>From the AESF's point of view, the dissemination of information to the sector is a support task that complements its supervision role. Its activities in this area include:</w:t>
      </w:r>
    </w:p>
    <w:p w:rsidR="005C6E47" w:rsidRPr="00650FF1" w:rsidP="005C6E47">
      <w:pPr>
        <w:pStyle w:val="PUNTOS"/>
        <w:tabs>
          <w:tab w:val="left" w:pos="851"/>
        </w:tabs>
        <w:ind w:left="851"/>
      </w:pPr>
      <w:r w:rsidRPr="00650FF1">
        <w:t>Issuing technical recommendations, which are an effective means of disseminating information and spreading best practice in the sector.</w:t>
      </w:r>
    </w:p>
    <w:p w:rsidR="005C6E47" w:rsidRPr="00650FF1" w:rsidP="005C6E47">
      <w:pPr>
        <w:pStyle w:val="PUNTOS"/>
        <w:numPr>
          <w:ilvl w:val="0"/>
          <w:numId w:val="0"/>
        </w:numPr>
        <w:tabs>
          <w:tab w:val="left" w:pos="1134"/>
        </w:tabs>
        <w:ind w:left="851"/>
      </w:pPr>
      <w:r w:rsidRPr="00650FF1">
        <w:t xml:space="preserve">In 2017, the following recommendations aimed at different railway sector actors </w:t>
      </w:r>
      <w:r w:rsidRPr="00650FF1">
        <w:t>were issued</w:t>
      </w:r>
      <w:r w:rsidRPr="00650FF1">
        <w:t>:</w:t>
      </w:r>
    </w:p>
    <w:p w:rsidR="005C6E47" w:rsidRPr="00650FF1" w:rsidP="005C6E47">
      <w:pPr>
        <w:pStyle w:val="PUNTOS"/>
        <w:numPr>
          <w:ilvl w:val="1"/>
          <w:numId w:val="13"/>
        </w:numPr>
        <w:tabs>
          <w:tab w:val="left" w:pos="1134"/>
        </w:tabs>
      </w:pPr>
      <w:r w:rsidRPr="00650FF1">
        <w:t>1/2017. Back-to-back gauge of metre-gauge vehicles.</w:t>
      </w:r>
    </w:p>
    <w:p w:rsidR="005C6E47" w:rsidRPr="00650FF1" w:rsidP="005C6E47">
      <w:pPr>
        <w:pStyle w:val="PUNTOS"/>
        <w:numPr>
          <w:ilvl w:val="1"/>
          <w:numId w:val="13"/>
        </w:numPr>
        <w:tabs>
          <w:tab w:val="left" w:pos="1134"/>
        </w:tabs>
      </w:pPr>
      <w:r w:rsidRPr="00650FF1">
        <w:t>2/2017. Driver communications in the event of accidents or incidents.</w:t>
      </w:r>
    </w:p>
    <w:p w:rsidR="005C6E47" w:rsidRPr="00650FF1" w:rsidP="005C6E47">
      <w:pPr>
        <w:pStyle w:val="PUNTOS"/>
        <w:numPr>
          <w:ilvl w:val="1"/>
          <w:numId w:val="13"/>
        </w:numPr>
        <w:tabs>
          <w:tab w:val="left" w:pos="1134"/>
        </w:tabs>
      </w:pPr>
      <w:r w:rsidRPr="00650FF1">
        <w:t>3/2017. Authorisation of placing in service of vehicles not in accordance with the TSIs for rolling stock and the use of uncertified interoperability components.</w:t>
      </w:r>
    </w:p>
    <w:p w:rsidR="005C6E47" w:rsidRPr="00650FF1" w:rsidP="005C6E47">
      <w:pPr>
        <w:pStyle w:val="PUNTOS"/>
        <w:numPr>
          <w:ilvl w:val="1"/>
          <w:numId w:val="13"/>
        </w:numPr>
        <w:tabs>
          <w:tab w:val="left" w:pos="1134"/>
        </w:tabs>
      </w:pPr>
      <w:r w:rsidRPr="00650FF1">
        <w:t>4/2017. Juridical recording units.</w:t>
      </w:r>
    </w:p>
    <w:p w:rsidR="005C6E47" w:rsidRPr="00650FF1" w:rsidP="005C6E47">
      <w:pPr>
        <w:pStyle w:val="PUNTOS"/>
        <w:numPr>
          <w:ilvl w:val="1"/>
          <w:numId w:val="13"/>
        </w:numPr>
        <w:tabs>
          <w:tab w:val="left" w:pos="1134"/>
        </w:tabs>
      </w:pPr>
      <w:r w:rsidRPr="00650FF1">
        <w:t>5/2017. Line crossings between platforms for passengers.</w:t>
      </w:r>
    </w:p>
    <w:p w:rsidR="005C6E47" w:rsidRPr="00650FF1" w:rsidP="005C6E47">
      <w:pPr>
        <w:pStyle w:val="PUNTOS"/>
        <w:numPr>
          <w:ilvl w:val="1"/>
          <w:numId w:val="13"/>
        </w:numPr>
        <w:tabs>
          <w:tab w:val="left" w:pos="1134"/>
        </w:tabs>
      </w:pPr>
      <w:r w:rsidRPr="00650FF1">
        <w:t>6/2017. Psychophysical examinations of railway personnel with a result of ‘temporarily unfit’.</w:t>
      </w:r>
    </w:p>
    <w:p w:rsidR="005C6E47" w:rsidRPr="00650FF1" w:rsidP="005C6E47">
      <w:pPr>
        <w:pStyle w:val="PUNTOS"/>
        <w:numPr>
          <w:ilvl w:val="1"/>
          <w:numId w:val="13"/>
        </w:numPr>
        <w:tabs>
          <w:tab w:val="left" w:pos="1134"/>
        </w:tabs>
      </w:pPr>
      <w:r w:rsidRPr="00650FF1">
        <w:t>7/2017. Communicating safety improvement proposals and information about possible risks within railway undertakings.</w:t>
      </w:r>
    </w:p>
    <w:p w:rsidR="005C6E47" w:rsidRPr="00650FF1" w:rsidP="005C6E47">
      <w:pPr>
        <w:pStyle w:val="PUNTOS"/>
        <w:numPr>
          <w:ilvl w:val="0"/>
          <w:numId w:val="0"/>
        </w:numPr>
        <w:tabs>
          <w:tab w:val="left" w:pos="1134"/>
        </w:tabs>
        <w:ind w:left="1642"/>
      </w:pPr>
    </w:p>
    <w:p w:rsidR="005C6E47" w:rsidRPr="00650FF1" w:rsidP="005C6E47">
      <w:pPr>
        <w:pStyle w:val="PUNTOS"/>
        <w:tabs>
          <w:tab w:val="left" w:pos="851"/>
        </w:tabs>
        <w:ind w:left="851"/>
        <w:rPr>
          <w:b/>
        </w:rPr>
      </w:pPr>
      <w:r w:rsidRPr="00650FF1">
        <w:t>Dissemination of safety alerts notified by the alerts system of the European Union Agency for Railways.</w:t>
      </w:r>
    </w:p>
    <w:p w:rsidR="005C6E47" w:rsidRPr="00650FF1" w:rsidP="005C6E47">
      <w:pPr>
        <w:pStyle w:val="PUNTOS"/>
        <w:numPr>
          <w:ilvl w:val="0"/>
          <w:numId w:val="0"/>
        </w:numPr>
        <w:tabs>
          <w:tab w:val="left" w:pos="851"/>
        </w:tabs>
        <w:ind w:left="426" w:hanging="360"/>
        <w:rPr>
          <w:b/>
        </w:rPr>
      </w:pPr>
    </w:p>
    <w:p w:rsidR="005C6E47" w:rsidRPr="00650FF1" w:rsidP="005C6E47">
      <w:pPr>
        <w:pStyle w:val="PUNTOS"/>
        <w:tabs>
          <w:tab w:val="left" w:pos="851"/>
        </w:tabs>
        <w:ind w:left="851"/>
        <w:rPr>
          <w:b/>
        </w:rPr>
      </w:pPr>
      <w:r w:rsidRPr="00650FF1">
        <w:t xml:space="preserve">Communication activities, providing the sector with training on legislation and aspects of safety, such as the application of Regulation 402/2013 on risk assessment, internal monitoring methods, the new framework resulting from the new 4th Railway Package directives, or the application of the TSIs for telematics applications for passengers or freight. In particular, collaboration with the training programmes for new professionals in the sector </w:t>
      </w:r>
      <w:r w:rsidRPr="00650FF1">
        <w:t>is considered</w:t>
      </w:r>
      <w:r w:rsidRPr="00650FF1">
        <w:t xml:space="preserve"> essential (involvement in master's degrees, university courses, selection courses, etc.).</w:t>
      </w:r>
    </w:p>
    <w:p w:rsidR="005C6E47" w:rsidRPr="00650FF1" w:rsidP="005C6E47">
      <w:pPr>
        <w:rPr>
          <w:rFonts w:ascii="Calibri" w:hAnsi="Calibri"/>
          <w:color w:val="FF0000"/>
          <w:lang w:val="es-ES_tradnl"/>
        </w:rPr>
      </w:pPr>
    </w:p>
    <w:p w:rsidR="005C6E47" w:rsidRPr="00637CB5" w:rsidP="00637CB5">
      <w:pPr>
        <w:pStyle w:val="Subtitulo1"/>
        <w:numPr>
          <w:ilvl w:val="0"/>
          <w:numId w:val="21"/>
        </w:numPr>
        <w:tabs>
          <w:tab w:val="num" w:pos="426"/>
        </w:tabs>
        <w:rPr>
          <w:lang w:val="es-ES_tradnl"/>
        </w:rPr>
      </w:pPr>
      <w:r w:rsidRPr="00637CB5">
        <w:rPr>
          <w:lang w:val="es-ES_tradnl"/>
        </w:rPr>
        <w:t>Safety recommendations</w:t>
      </w:r>
    </w:p>
    <w:p w:rsidR="005C6E47" w:rsidRPr="00650FF1" w:rsidP="005C6E47">
      <w:pPr>
        <w:autoSpaceDE w:val="0"/>
        <w:autoSpaceDN w:val="0"/>
        <w:adjustRightInd w:val="0"/>
        <w:spacing w:after="120"/>
        <w:jc w:val="both"/>
        <w:rPr>
          <w:rFonts w:ascii="Calibri" w:hAnsi="Calibri" w:cs="Arial"/>
          <w:bCs/>
          <w:iCs/>
          <w:snapToGrid/>
        </w:rPr>
      </w:pPr>
      <w:r w:rsidRPr="00650FF1">
        <w:rPr>
          <w:rFonts w:ascii="Calibri" w:hAnsi="Calibri"/>
          <w:bCs/>
          <w:iCs/>
          <w:snapToGrid/>
        </w:rPr>
        <w:t xml:space="preserve">Investigating the accidents and incidents that occur on the network is a fundamental tool for detecting and preventing risks. This type of investigation must include all accidents and precursors of accidents with certain characteristics – such as repetition and when or where they occur, or where the causes </w:t>
      </w:r>
      <w:r w:rsidRPr="00650FF1">
        <w:rPr>
          <w:rFonts w:ascii="Calibri" w:hAnsi="Calibri"/>
          <w:bCs/>
          <w:iCs/>
          <w:snapToGrid/>
        </w:rPr>
        <w:t>can be attributed</w:t>
      </w:r>
      <w:r w:rsidRPr="00650FF1">
        <w:rPr>
          <w:rFonts w:ascii="Calibri" w:hAnsi="Calibri"/>
          <w:bCs/>
          <w:iCs/>
          <w:snapToGrid/>
        </w:rPr>
        <w:t xml:space="preserve"> to railway management – irrespective of whether they have serious personal or financial repercussions.</w:t>
      </w:r>
    </w:p>
    <w:p w:rsidR="005C6E47" w:rsidRPr="00650FF1" w:rsidP="005C6E47">
      <w:pPr>
        <w:autoSpaceDE w:val="0"/>
        <w:autoSpaceDN w:val="0"/>
        <w:adjustRightInd w:val="0"/>
        <w:spacing w:after="120"/>
        <w:jc w:val="both"/>
        <w:rPr>
          <w:rFonts w:ascii="Calibri" w:hAnsi="Calibri" w:cs="Arial"/>
          <w:bCs/>
          <w:iCs/>
          <w:snapToGrid/>
        </w:rPr>
      </w:pPr>
      <w:r w:rsidRPr="00650FF1">
        <w:rPr>
          <w:rFonts w:ascii="Calibri" w:hAnsi="Calibri"/>
          <w:bCs/>
          <w:iCs/>
          <w:snapToGrid/>
        </w:rPr>
        <w:t xml:space="preserve">A report </w:t>
      </w:r>
      <w:r w:rsidRPr="00650FF1">
        <w:rPr>
          <w:rFonts w:ascii="Calibri" w:hAnsi="Calibri"/>
          <w:bCs/>
          <w:iCs/>
          <w:snapToGrid/>
        </w:rPr>
        <w:t>is, therefore, prepared</w:t>
      </w:r>
      <w:r w:rsidRPr="00650FF1">
        <w:rPr>
          <w:rFonts w:ascii="Calibri" w:hAnsi="Calibri"/>
          <w:bCs/>
          <w:iCs/>
          <w:snapToGrid/>
        </w:rPr>
        <w:t xml:space="preserve"> by an entity independent of the AESF for every accident investigated. These reports determine the causes and make particular recommendations with a view to improving the railway installations, searching for patterns of behaviour in the people involved and, in short, seeking to prevent recurrence.</w:t>
      </w:r>
    </w:p>
    <w:p w:rsidR="005C6E47" w:rsidRPr="00650FF1" w:rsidP="005C6E47">
      <w:pPr>
        <w:autoSpaceDE w:val="0"/>
        <w:autoSpaceDN w:val="0"/>
        <w:adjustRightInd w:val="0"/>
        <w:spacing w:after="120"/>
        <w:jc w:val="both"/>
        <w:rPr>
          <w:rFonts w:ascii="Calibri" w:hAnsi="Calibri" w:cs="Arial"/>
          <w:bCs/>
          <w:iCs/>
          <w:snapToGrid/>
        </w:rPr>
      </w:pPr>
      <w:r w:rsidRPr="00650FF1">
        <w:rPr>
          <w:rFonts w:ascii="Calibri" w:hAnsi="Calibri"/>
          <w:bCs/>
          <w:iCs/>
          <w:snapToGrid/>
        </w:rPr>
        <w:t xml:space="preserve">By way of summary, the following are the most important safety recommendations resulting from CIAF's reports on the files relating to events in 2017 (and including 2016) where investigations </w:t>
      </w:r>
      <w:r w:rsidRPr="00650FF1">
        <w:rPr>
          <w:rFonts w:ascii="Calibri" w:hAnsi="Calibri"/>
          <w:bCs/>
          <w:iCs/>
          <w:snapToGrid/>
        </w:rPr>
        <w:t>have been concluded</w:t>
      </w:r>
      <w:r>
        <w:rPr>
          <w:rFonts w:ascii="Calibri" w:hAnsi="Calibri" w:cs="Arial"/>
          <w:bCs/>
          <w:iCs/>
          <w:snapToGrid/>
          <w:vertAlign w:val="superscript"/>
          <w:lang w:val="es-ES_tradnl"/>
        </w:rPr>
        <w:footnoteReference w:id="18"/>
      </w:r>
      <w:r w:rsidRPr="00650FF1">
        <w:rPr>
          <w:rFonts w:ascii="Calibri" w:hAnsi="Calibri"/>
          <w:bCs/>
          <w:iCs/>
          <w:snapToGrid/>
        </w:rPr>
        <w:t xml:space="preserve"> and implementation is already in progress by the different bodies responsible.</w:t>
      </w:r>
    </w:p>
    <w:p w:rsidR="005C6E47" w:rsidRPr="00650FF1" w:rsidP="005C6E47">
      <w:pPr>
        <w:autoSpaceDE w:val="0"/>
        <w:autoSpaceDN w:val="0"/>
        <w:adjustRightInd w:val="0"/>
        <w:spacing w:after="120"/>
        <w:jc w:val="both"/>
        <w:rPr>
          <w:rFonts w:ascii="Calibri" w:hAnsi="Calibri" w:cs="Arial"/>
          <w:bCs/>
          <w:iCs/>
          <w:snapToGrid/>
          <w:lang w:val="es-ES_tradnl"/>
        </w:rPr>
      </w:pPr>
    </w:p>
    <w:p w:rsidR="005C6E47" w:rsidRPr="00650FF1" w:rsidP="005C6E47">
      <w:pPr>
        <w:pStyle w:val="PUNTOS2"/>
        <w:snapToGrid w:val="0"/>
        <w:ind w:left="786"/>
        <w:rPr>
          <w:color w:val="auto"/>
        </w:rPr>
      </w:pPr>
      <w:r w:rsidRPr="00650FF1">
        <w:rPr>
          <w:color w:val="auto"/>
        </w:rPr>
        <w:t>Recipients: National Railway Safety Agency</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 xml:space="preserve">Promote institutional </w:t>
      </w:r>
      <w:r w:rsidRPr="00650FF1">
        <w:rPr>
          <w:rFonts w:ascii="Calibri" w:hAnsi="Calibri"/>
        </w:rPr>
        <w:t>action which</w:t>
      </w:r>
      <w:r w:rsidRPr="00650FF1">
        <w:rPr>
          <w:rFonts w:ascii="Calibri" w:hAnsi="Calibri"/>
        </w:rPr>
        <w:t>, with the participation of provincial councils, autonomous regions or even central government, provides resources for the improvement of municipally owned level crossings, as regards the state of the roads leading to them and their repair.</w:t>
      </w:r>
    </w:p>
    <w:p w:rsidR="005C6E47" w:rsidRPr="00650FF1" w:rsidP="005C6E47">
      <w:pPr>
        <w:snapToGrid w:val="0"/>
        <w:spacing w:before="120" w:after="120"/>
        <w:ind w:left="1276"/>
        <w:jc w:val="both"/>
        <w:rPr>
          <w:rFonts w:ascii="Calibri" w:hAnsi="Calibri"/>
          <w:lang w:val="es-ES_tradnl" w:eastAsia="x-none"/>
        </w:rPr>
      </w:pPr>
    </w:p>
    <w:p w:rsidR="005C6E47" w:rsidRPr="00650FF1" w:rsidP="005C6E47">
      <w:pPr>
        <w:pStyle w:val="PUNTOS2"/>
        <w:snapToGrid w:val="0"/>
        <w:ind w:left="786"/>
        <w:rPr>
          <w:color w:val="auto"/>
        </w:rPr>
      </w:pPr>
      <w:r w:rsidRPr="00650FF1">
        <w:rPr>
          <w:color w:val="auto"/>
        </w:rPr>
        <w:t>Recipients: Infrastructure Managers</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Reconsider a major action to renew the features of the infrastructure (drainage) and superstructure of a section with high levels of freight traffic and a high accident rate.</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Comply rigorously, on the line concerned, with the provisions of the SMS as regards the frequency of track testing and monitoring visits on foot and in the cab, acting accordingly, at least until a major action to improve the section is not required.</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 xml:space="preserve">In refresher courses given to staff involved with operating trains, insist on the need to verify reliably the release of the electrical circuits on </w:t>
      </w:r>
      <w:r w:rsidRPr="00650FF1">
        <w:rPr>
          <w:rFonts w:ascii="Calibri" w:hAnsi="Calibri"/>
        </w:rPr>
        <w:t>tracks which</w:t>
      </w:r>
      <w:r w:rsidRPr="00650FF1">
        <w:rPr>
          <w:rFonts w:ascii="Calibri" w:hAnsi="Calibri"/>
        </w:rPr>
        <w:t xml:space="preserve"> are little used. </w:t>
      </w:r>
      <w:r w:rsidRPr="00650FF1">
        <w:rPr>
          <w:rFonts w:ascii="Calibri" w:hAnsi="Calibri"/>
        </w:rPr>
        <w:t>Also</w:t>
      </w:r>
      <w:r w:rsidRPr="00650FF1">
        <w:rPr>
          <w:rFonts w:ascii="Calibri" w:hAnsi="Calibri"/>
        </w:rPr>
        <w:t xml:space="preserve"> insist on verifying the length of sidings and of the trains when stabled on them.</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 xml:space="preserve">Establish a plan for inspecting the rust on railway network turnouts providing access from general track to diverging track, checking, where necessary, the correct shunting of track circuits and cleaning them, where appropriate, in order to restore conditions allowing traffic to pass safely. </w:t>
      </w:r>
      <w:r w:rsidRPr="00650FF1">
        <w:rPr>
          <w:rFonts w:ascii="Calibri" w:hAnsi="Calibri"/>
        </w:rPr>
        <w:t>And also</w:t>
      </w:r>
      <w:r w:rsidRPr="00650FF1">
        <w:rPr>
          <w:rFonts w:ascii="Calibri" w:hAnsi="Calibri"/>
        </w:rPr>
        <w:t xml:space="preserve"> include excess rust in the SMS procedures as </w:t>
      </w:r>
      <w:r w:rsidRPr="00650FF1">
        <w:rPr>
          <w:rFonts w:ascii="Calibri" w:hAnsi="Calibri"/>
        </w:rPr>
        <w:t>another element to be checked and dealt with, in order to prevent potential shunting faults.</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Include a procedure in the SMS for monitoring and maintaining track circuits, to enable shunting problems to be detected, both when the circuit is unoccupied and when it is occupied (with train shunt applied).</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 xml:space="preserve">In training and refresher courses for traffic managers, insist on the need to know exactly the manoeuvres to </w:t>
      </w:r>
      <w:r w:rsidRPr="00650FF1">
        <w:rPr>
          <w:rFonts w:ascii="Calibri" w:hAnsi="Calibri"/>
        </w:rPr>
        <w:t>be carried out</w:t>
      </w:r>
      <w:r w:rsidRPr="00650FF1">
        <w:rPr>
          <w:rFonts w:ascii="Calibri" w:hAnsi="Calibri"/>
        </w:rPr>
        <w:t xml:space="preserve"> by the rolling stock they are responsible for and not to allow any which could give rise to unsafe situations.</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Adapt the content of operating procedures such that there are no discrepancies between them.</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Update and unify the operating and safety rules for electrical and electronic interlocking and blocking, taking into account new operating functionalities and incidents detected in the current systems.</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Review the functionality of any electronic interlocking installed which uses technology similar to that affected by a specific accident, in particular artificial route cancellation (</w:t>
      </w:r>
      <w:r w:rsidRPr="00650FF1">
        <w:rPr>
          <w:rFonts w:ascii="Calibri" w:hAnsi="Calibri"/>
        </w:rPr>
        <w:t>Disolución</w:t>
      </w:r>
      <w:r w:rsidRPr="00650FF1">
        <w:rPr>
          <w:rFonts w:ascii="Calibri" w:hAnsi="Calibri"/>
        </w:rPr>
        <w:t xml:space="preserve"> Artificial de </w:t>
      </w:r>
      <w:r w:rsidRPr="00650FF1">
        <w:rPr>
          <w:rFonts w:ascii="Calibri" w:hAnsi="Calibri"/>
        </w:rPr>
        <w:t>Itinerarios</w:t>
      </w:r>
      <w:r w:rsidRPr="00650FF1">
        <w:rPr>
          <w:rFonts w:ascii="Calibri" w:hAnsi="Calibri"/>
        </w:rPr>
        <w:t>: DAI)</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In the training given to traffic managers, stress the importance of carrying out correctly (according to the regulations) actions relating to the setting and cancellation of routes.</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Take the necessary measures with regard to procedures, technology, equipment and human resources, when carrying out ultrasonic testing of rails and track apparatus, in order to establish their internal condition and detect, in an efficient manner, any faults which could later result in a broken rail.</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Reinforce the traceability of records relating to maintenance actions and of communications between the track sub-directorate and maintenance management.</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 xml:space="preserve">Take the measures necessary for ultrasonic testing to be carried out within the </w:t>
      </w:r>
      <w:r w:rsidRPr="00650FF1">
        <w:rPr>
          <w:rFonts w:ascii="Calibri" w:hAnsi="Calibri"/>
        </w:rPr>
        <w:t>time frames</w:t>
      </w:r>
      <w:r w:rsidRPr="00650FF1">
        <w:rPr>
          <w:rFonts w:ascii="Calibri" w:hAnsi="Calibri"/>
        </w:rPr>
        <w:t xml:space="preserve"> established in the relevant operating procedure, including complementary actions or measures to be taken in order to operate safely in the event that the means of testing are unavailable.</w:t>
      </w:r>
    </w:p>
    <w:p w:rsidR="005C6E47" w:rsidRPr="00650FF1" w:rsidP="005C6E47">
      <w:pPr>
        <w:numPr>
          <w:ilvl w:val="0"/>
          <w:numId w:val="8"/>
        </w:numPr>
        <w:tabs>
          <w:tab w:val="num" w:pos="1276"/>
        </w:tabs>
        <w:snapToGrid w:val="0"/>
        <w:spacing w:before="120" w:after="120"/>
        <w:ind w:left="1276"/>
        <w:jc w:val="both"/>
        <w:rPr>
          <w:rFonts w:ascii="Calibri" w:hAnsi="Calibri"/>
        </w:rPr>
      </w:pPr>
      <w:r w:rsidRPr="00650FF1">
        <w:rPr>
          <w:rFonts w:ascii="Calibri" w:hAnsi="Calibri"/>
        </w:rPr>
        <w:t xml:space="preserve">Amend specific procedures relating to maintenance, such that the records resulting </w:t>
      </w:r>
      <w:r w:rsidRPr="00650FF1">
        <w:rPr>
          <w:rFonts w:ascii="Calibri" w:hAnsi="Calibri"/>
        </w:rPr>
        <w:t>from  maintenance</w:t>
      </w:r>
      <w:r w:rsidRPr="00650FF1">
        <w:rPr>
          <w:rFonts w:ascii="Calibri" w:hAnsi="Calibri"/>
        </w:rPr>
        <w:t xml:space="preserve"> operations are kept for at least as long as the rails are in service.</w:t>
      </w:r>
    </w:p>
    <w:p w:rsidR="005C6E47" w:rsidRPr="00650FF1" w:rsidP="005C6E47">
      <w:pPr>
        <w:pStyle w:val="PUNTOS"/>
        <w:numPr>
          <w:ilvl w:val="0"/>
          <w:numId w:val="0"/>
        </w:numPr>
        <w:snapToGrid w:val="0"/>
        <w:ind w:left="1276"/>
        <w:rPr>
          <w:iCs/>
        </w:rPr>
      </w:pPr>
    </w:p>
    <w:p w:rsidR="005C6E47" w:rsidRPr="00650FF1" w:rsidP="005C6E47">
      <w:pPr>
        <w:pStyle w:val="PUNTOS2"/>
        <w:snapToGrid w:val="0"/>
        <w:ind w:left="786"/>
        <w:rPr>
          <w:color w:val="auto"/>
        </w:rPr>
      </w:pPr>
      <w:r w:rsidRPr="00650FF1">
        <w:rPr>
          <w:color w:val="auto"/>
        </w:rPr>
        <w:t>Recipients: Railway Undertakings</w:t>
      </w:r>
    </w:p>
    <w:p w:rsidR="005C6E47" w:rsidRPr="00650FF1" w:rsidP="005C6E47">
      <w:pPr>
        <w:numPr>
          <w:ilvl w:val="0"/>
          <w:numId w:val="8"/>
        </w:numPr>
        <w:tabs>
          <w:tab w:val="num" w:pos="1276"/>
        </w:tabs>
        <w:snapToGrid w:val="0"/>
        <w:spacing w:before="120" w:after="120"/>
        <w:ind w:left="1276"/>
        <w:jc w:val="both"/>
        <w:rPr>
          <w:rFonts w:ascii="Calibri" w:hAnsi="Calibri"/>
          <w:snapToGrid/>
        </w:rPr>
      </w:pPr>
      <w:r w:rsidRPr="00650FF1">
        <w:rPr>
          <w:rFonts w:ascii="Calibri" w:hAnsi="Calibri"/>
          <w:snapToGrid/>
        </w:rPr>
        <w:t>In training and refresher courses given to driving staff, especially in those relating to knowledge about the infrastructure, stress the importance of adjusting the speed to what is required by the regulations and paying constant attention to track signalling instructions and indications, in particular to signals indicating an approaching stop, which instruct the driver to prepare to stop before the next signal, and also to the fact that reverse signals may instruct the driver to stop.</w:t>
      </w:r>
    </w:p>
    <w:p w:rsidR="005C6E47" w:rsidRPr="00650FF1" w:rsidP="005C6E47">
      <w:pPr>
        <w:numPr>
          <w:ilvl w:val="0"/>
          <w:numId w:val="8"/>
        </w:numPr>
        <w:tabs>
          <w:tab w:val="num" w:pos="1276"/>
        </w:tabs>
        <w:snapToGrid w:val="0"/>
        <w:spacing w:before="120" w:after="120"/>
        <w:ind w:left="1276"/>
        <w:jc w:val="both"/>
        <w:rPr>
          <w:rFonts w:ascii="Calibri" w:hAnsi="Calibri"/>
          <w:snapToGrid/>
        </w:rPr>
      </w:pPr>
      <w:r w:rsidRPr="00650FF1">
        <w:rPr>
          <w:rFonts w:ascii="Calibri" w:hAnsi="Calibri"/>
          <w:snapToGrid/>
        </w:rPr>
        <w:t>In training and refresher courses given to drivers, insist on the need to comply with the speed limits established for carrying out manoeuvres at stations.</w:t>
      </w:r>
    </w:p>
    <w:p w:rsidR="005C6E47" w:rsidRPr="00650FF1" w:rsidP="005C6E47">
      <w:pPr>
        <w:numPr>
          <w:ilvl w:val="0"/>
          <w:numId w:val="8"/>
        </w:numPr>
        <w:tabs>
          <w:tab w:val="num" w:pos="1276"/>
        </w:tabs>
        <w:snapToGrid w:val="0"/>
        <w:spacing w:before="120" w:after="120"/>
        <w:ind w:left="1276"/>
        <w:jc w:val="both"/>
        <w:rPr>
          <w:rFonts w:ascii="Calibri" w:hAnsi="Calibri"/>
          <w:snapToGrid/>
        </w:rPr>
      </w:pPr>
      <w:r w:rsidRPr="00650FF1">
        <w:rPr>
          <w:rFonts w:ascii="Calibri" w:hAnsi="Calibri"/>
          <w:snapToGrid/>
        </w:rPr>
        <w:t>In the training of drivers, insist on the need to inform the relevant control centre of any anomaly detected in the equipment, in compliance with the railway undertaking’s procedures.</w:t>
      </w:r>
    </w:p>
    <w:p w:rsidR="005C6E47" w:rsidRPr="00650FF1" w:rsidP="005C6E47">
      <w:pPr>
        <w:numPr>
          <w:ilvl w:val="0"/>
          <w:numId w:val="8"/>
        </w:numPr>
        <w:tabs>
          <w:tab w:val="num" w:pos="1276"/>
        </w:tabs>
        <w:snapToGrid w:val="0"/>
        <w:spacing w:before="120" w:after="120"/>
        <w:ind w:left="1276"/>
        <w:jc w:val="both"/>
        <w:rPr>
          <w:rFonts w:ascii="Calibri" w:hAnsi="Calibri"/>
          <w:snapToGrid/>
        </w:rPr>
      </w:pPr>
      <w:r w:rsidRPr="00650FF1">
        <w:rPr>
          <w:rFonts w:ascii="Calibri" w:hAnsi="Calibri"/>
          <w:snapToGrid/>
        </w:rPr>
        <w:t>Carry out an in-depth analysis of anomalies causing losses of fuel in 592 rolling stock.</w:t>
      </w:r>
    </w:p>
    <w:p w:rsidR="005C6E47" w:rsidRPr="00650FF1" w:rsidP="005C6E47">
      <w:pPr>
        <w:tabs>
          <w:tab w:val="num" w:pos="1276"/>
        </w:tabs>
        <w:snapToGrid w:val="0"/>
        <w:spacing w:before="120" w:after="120"/>
        <w:ind w:left="1276"/>
        <w:jc w:val="both"/>
        <w:rPr>
          <w:rFonts w:ascii="Calibri" w:hAnsi="Calibri"/>
          <w:snapToGrid/>
          <w:lang w:val="es-ES_tradnl" w:eastAsia="x-none"/>
        </w:rPr>
      </w:pPr>
    </w:p>
    <w:p w:rsidR="005C6E47" w:rsidRPr="00650FF1" w:rsidP="005C6E47">
      <w:pPr>
        <w:tabs>
          <w:tab w:val="num" w:pos="1276"/>
        </w:tabs>
        <w:snapToGrid w:val="0"/>
        <w:spacing w:before="120" w:after="120"/>
        <w:ind w:left="1276"/>
        <w:jc w:val="both"/>
        <w:rPr>
          <w:rFonts w:ascii="Calibri" w:hAnsi="Calibri"/>
          <w:snapToGrid/>
          <w:lang w:val="es-ES_tradnl" w:eastAsia="x-none"/>
        </w:rPr>
      </w:pPr>
    </w:p>
    <w:p w:rsidR="005C6E47" w:rsidRPr="00650FF1" w:rsidP="005C6E47">
      <w:pPr>
        <w:pStyle w:val="PUNTOS2"/>
        <w:snapToGrid w:val="0"/>
        <w:ind w:left="786"/>
        <w:rPr>
          <w:color w:val="auto"/>
        </w:rPr>
      </w:pPr>
      <w:r w:rsidRPr="00650FF1">
        <w:rPr>
          <w:color w:val="auto"/>
        </w:rPr>
        <w:t>Recipients: Municipal Bodies</w:t>
      </w:r>
    </w:p>
    <w:p w:rsidR="005C6E47" w:rsidRPr="00650FF1" w:rsidP="005C6E47">
      <w:pPr>
        <w:numPr>
          <w:ilvl w:val="0"/>
          <w:numId w:val="8"/>
        </w:numPr>
        <w:tabs>
          <w:tab w:val="num" w:pos="1276"/>
        </w:tabs>
        <w:snapToGrid w:val="0"/>
        <w:spacing w:before="120" w:after="120"/>
        <w:ind w:left="1276"/>
        <w:jc w:val="both"/>
        <w:rPr>
          <w:rFonts w:ascii="Calibri" w:hAnsi="Calibri"/>
          <w:snapToGrid/>
        </w:rPr>
      </w:pPr>
      <w:r w:rsidRPr="00650FF1">
        <w:rPr>
          <w:rFonts w:ascii="Calibri" w:hAnsi="Calibri"/>
          <w:snapToGrid/>
        </w:rPr>
        <w:t>Adaptation of the signalling for approach roads leading to existing level crossings to the provisions of article 9.2 of Order FOM of 2 August 2001, on the removal and protection of level crossings.</w:t>
      </w:r>
    </w:p>
    <w:p w:rsidR="005C6E47" w:rsidRPr="00650FF1" w:rsidP="005C6E47">
      <w:pPr>
        <w:pStyle w:val="PUNTOS2"/>
        <w:numPr>
          <w:ilvl w:val="0"/>
          <w:numId w:val="0"/>
        </w:numPr>
        <w:snapToGrid w:val="0"/>
        <w:ind w:left="786"/>
        <w:rPr>
          <w:color w:val="auto"/>
        </w:rPr>
      </w:pPr>
    </w:p>
    <w:p w:rsidR="005C6E47" w:rsidRPr="00650FF1" w:rsidP="005C6E47">
      <w:pPr>
        <w:autoSpaceDE w:val="0"/>
        <w:autoSpaceDN w:val="0"/>
        <w:adjustRightInd w:val="0"/>
        <w:spacing w:after="120"/>
        <w:jc w:val="both"/>
        <w:rPr>
          <w:rFonts w:ascii="Calibri" w:hAnsi="Calibri" w:cs="Arial"/>
        </w:rPr>
      </w:pPr>
      <w:r w:rsidRPr="00650FF1">
        <w:rPr>
          <w:rFonts w:ascii="Calibri" w:hAnsi="Calibri"/>
        </w:rPr>
        <w:t xml:space="preserve">The AESF monitors compliance with those recommendations by the parties involved. It therefore makes periodic requests for information on the level of compliance from the body to which the recommendation </w:t>
      </w:r>
      <w:r w:rsidRPr="00650FF1">
        <w:rPr>
          <w:rFonts w:ascii="Calibri" w:hAnsi="Calibri"/>
        </w:rPr>
        <w:t>is addressed</w:t>
      </w:r>
      <w:r w:rsidRPr="00650FF1">
        <w:rPr>
          <w:rFonts w:ascii="Calibri" w:hAnsi="Calibri"/>
        </w:rPr>
        <w:t xml:space="preserve">. When it </w:t>
      </w:r>
      <w:r w:rsidRPr="00650FF1">
        <w:rPr>
          <w:rFonts w:ascii="Calibri" w:hAnsi="Calibri"/>
        </w:rPr>
        <w:t>is deemed</w:t>
      </w:r>
      <w:r w:rsidRPr="00650FF1">
        <w:rPr>
          <w:rFonts w:ascii="Calibri" w:hAnsi="Calibri"/>
        </w:rPr>
        <w:t xml:space="preserve"> that a sufficient level of implementation of the recommendation has been achieved, the Railway Accident Investigation Commission is notified so that the matter may be closed.</w:t>
      </w:r>
    </w:p>
    <w:p w:rsidR="005C6E47" w:rsidRPr="00650FF1" w:rsidP="005C6E47">
      <w:pPr>
        <w:autoSpaceDE w:val="0"/>
        <w:autoSpaceDN w:val="0"/>
        <w:adjustRightInd w:val="0"/>
        <w:spacing w:after="120"/>
        <w:jc w:val="both"/>
        <w:rPr>
          <w:rFonts w:ascii="Calibri" w:hAnsi="Calibri" w:cs="Arial"/>
        </w:rPr>
      </w:pPr>
      <w:r w:rsidRPr="00650FF1">
        <w:rPr>
          <w:rFonts w:ascii="Calibri" w:hAnsi="Calibri"/>
        </w:rPr>
        <w:t>The most noteworthy actions</w:t>
      </w:r>
      <w:r>
        <w:rPr>
          <w:rFonts w:ascii="Calibri" w:hAnsi="Calibri" w:cs="Arial"/>
          <w:vertAlign w:val="superscript"/>
          <w:lang w:val="es-ES_tradnl"/>
        </w:rPr>
        <w:footnoteReference w:id="19"/>
      </w:r>
      <w:r w:rsidRPr="00650FF1">
        <w:rPr>
          <w:rFonts w:ascii="Calibri" w:hAnsi="Calibri"/>
        </w:rPr>
        <w:t xml:space="preserve"> taken by the agents responsible for complying with such recommendations are set out below. This list is not comprehensive. It only details the most significant actions, as it is working to achieve compliance with all of the recommendations issued by the CIAF.</w:t>
      </w:r>
    </w:p>
    <w:p w:rsidR="005C6E47" w:rsidRPr="00650FF1" w:rsidP="005C6E47">
      <w:pPr>
        <w:autoSpaceDE w:val="0"/>
        <w:autoSpaceDN w:val="0"/>
        <w:adjustRightInd w:val="0"/>
        <w:spacing w:after="120"/>
        <w:jc w:val="both"/>
        <w:rPr>
          <w:rFonts w:ascii="Calibri" w:hAnsi="Calibri" w:cs="Arial"/>
          <w:color w:val="FF0000"/>
          <w:lang w:val="es-ES_tradnl"/>
        </w:rPr>
      </w:pP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755"/>
      </w:tblGrid>
      <w:tr w:rsidTr="002F2972">
        <w:tblPrEx>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6"/>
          <w:tblHeader/>
        </w:trPr>
        <w:tc>
          <w:tcPr>
            <w:tcW w:w="932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C6E47" w:rsidRPr="00650FF1" w:rsidP="002F2972">
            <w:pPr>
              <w:spacing w:before="60" w:after="60"/>
              <w:jc w:val="both"/>
              <w:rPr>
                <w:rFonts w:ascii="Calibri" w:hAnsi="Calibri" w:cs="Arial"/>
                <w:b/>
                <w:i/>
                <w:smallCaps/>
              </w:rPr>
            </w:pPr>
            <w:r w:rsidRPr="00650FF1">
              <w:rPr>
                <w:rFonts w:ascii="Calibri" w:hAnsi="Calibri"/>
                <w:b/>
                <w:i/>
                <w:smallCaps/>
              </w:rPr>
              <w:t xml:space="preserve">EVENT:  Derailment due to a technical failure of the infrastructure </w:t>
            </w:r>
          </w:p>
        </w:tc>
      </w:tr>
      <w:tr w:rsidTr="002F2972">
        <w:tblPrEx>
          <w:tblW w:w="9322" w:type="dxa"/>
          <w:tblInd w:w="250" w:type="dxa"/>
          <w:tblLayout w:type="fixed"/>
          <w:tblLook w:val="04A0"/>
        </w:tblPrEx>
        <w:trPr>
          <w:cantSplit/>
          <w:trHeight w:val="1199"/>
          <w:tblHeader/>
        </w:trPr>
        <w:tc>
          <w:tcPr>
            <w:tcW w:w="567" w:type="dxa"/>
            <w:tcBorders>
              <w:top w:val="single" w:sz="4" w:space="0" w:color="auto"/>
              <w:left w:val="single" w:sz="4" w:space="0" w:color="auto"/>
              <w:bottom w:val="single" w:sz="4" w:space="0" w:color="auto"/>
              <w:right w:val="single" w:sz="4" w:space="0" w:color="auto"/>
            </w:tcBorders>
            <w:shd w:val="clear" w:color="auto" w:fill="B8CCE4"/>
            <w:textDirection w:val="btLr"/>
            <w:hideMark/>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55" w:type="dxa"/>
            <w:tcBorders>
              <w:top w:val="single" w:sz="4" w:space="0" w:color="auto"/>
              <w:left w:val="single" w:sz="4" w:space="0" w:color="auto"/>
              <w:bottom w:val="single" w:sz="4" w:space="0" w:color="auto"/>
              <w:right w:val="single" w:sz="4" w:space="0" w:color="auto"/>
            </w:tcBorders>
            <w:vAlign w:val="center"/>
            <w:hideMark/>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The AESF has prepared a Technical Recommendation containing the </w:t>
            </w:r>
            <w:r w:rsidRPr="00650FF1">
              <w:rPr>
                <w:rFonts w:ascii="Calibri" w:hAnsi="Calibri"/>
                <w:sz w:val="22"/>
                <w:szCs w:val="22"/>
              </w:rPr>
              <w:t>aspects which</w:t>
            </w:r>
            <w:r w:rsidRPr="00650FF1">
              <w:rPr>
                <w:rFonts w:ascii="Calibri" w:hAnsi="Calibri"/>
                <w:sz w:val="22"/>
                <w:szCs w:val="22"/>
              </w:rPr>
              <w:t xml:space="preserve"> infrastructure managers have to consider in managing the safety of track work and in verifying track conditions after such work has been completed.</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Comprehensive repair of the EV de Tarragona </w:t>
            </w:r>
            <w:r w:rsidRPr="00650FF1">
              <w:rPr>
                <w:rFonts w:ascii="Calibri" w:hAnsi="Calibri"/>
                <w:sz w:val="22"/>
                <w:szCs w:val="22"/>
              </w:rPr>
              <w:t>Clasificación</w:t>
            </w:r>
            <w:r w:rsidRPr="00650FF1">
              <w:rPr>
                <w:rFonts w:ascii="Calibri" w:hAnsi="Calibri"/>
                <w:sz w:val="22"/>
                <w:szCs w:val="22"/>
              </w:rPr>
              <w:t xml:space="preserve"> track, removing the temporary speed </w:t>
            </w:r>
            <w:r w:rsidRPr="00650FF1">
              <w:rPr>
                <w:rFonts w:ascii="Calibri" w:hAnsi="Calibri"/>
                <w:sz w:val="22"/>
                <w:szCs w:val="22"/>
              </w:rPr>
              <w:t>restriction which</w:t>
            </w:r>
            <w:r w:rsidRPr="00650FF1">
              <w:rPr>
                <w:rFonts w:ascii="Calibri" w:hAnsi="Calibri"/>
                <w:sz w:val="22"/>
                <w:szCs w:val="22"/>
              </w:rPr>
              <w:t xml:space="preserve"> was introduced. </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755"/>
      </w:tblGrid>
      <w:tr w:rsidTr="002F2972">
        <w:tblPrEx>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40"/>
        </w:trPr>
        <w:tc>
          <w:tcPr>
            <w:tcW w:w="932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EVENT: Derailment due to signal overrun</w:t>
            </w:r>
          </w:p>
        </w:tc>
      </w:tr>
      <w:tr w:rsidTr="002F2972">
        <w:tblPrEx>
          <w:tblW w:w="9322" w:type="dxa"/>
          <w:tblInd w:w="250" w:type="dxa"/>
          <w:tblLayout w:type="fixed"/>
          <w:tblLook w:val="04A0"/>
        </w:tblPrEx>
        <w:trPr>
          <w:cantSplit/>
          <w:trHeight w:val="1266"/>
        </w:trPr>
        <w:tc>
          <w:tcPr>
            <w:tcW w:w="567"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55"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All existing interlocks in the third rail have been analysed and directional slips </w:t>
            </w:r>
            <w:r w:rsidRPr="00650FF1">
              <w:rPr>
                <w:rFonts w:ascii="Calibri" w:hAnsi="Calibri"/>
                <w:sz w:val="22"/>
                <w:szCs w:val="22"/>
              </w:rPr>
              <w:t>are being introduced</w:t>
            </w:r>
            <w:r w:rsidRPr="00650FF1">
              <w:rPr>
                <w:rFonts w:ascii="Calibri" w:hAnsi="Calibri"/>
                <w:sz w:val="22"/>
                <w:szCs w:val="22"/>
              </w:rPr>
              <w:t xml:space="preserve">, in areas with sets of points that distinguish gauge, and interlocking the necessary switches and crossings. Moreover, the operating regulations for installations with third rail </w:t>
            </w:r>
            <w:r w:rsidRPr="00650FF1">
              <w:rPr>
                <w:rFonts w:ascii="Calibri" w:hAnsi="Calibri"/>
                <w:sz w:val="22"/>
                <w:szCs w:val="22"/>
              </w:rPr>
              <w:t>are being amended</w:t>
            </w:r>
            <w:r w:rsidRPr="00650FF1">
              <w:rPr>
                <w:rFonts w:ascii="Calibri" w:hAnsi="Calibri"/>
                <w:sz w:val="22"/>
                <w:szCs w:val="22"/>
              </w:rPr>
              <w:t>.</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755"/>
      </w:tblGrid>
      <w:tr w:rsidTr="002F2972">
        <w:tblPrEx>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40"/>
        </w:trPr>
        <w:tc>
          <w:tcPr>
            <w:tcW w:w="932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637CB5">
            <w:pPr>
              <w:keepNext/>
              <w:spacing w:before="60" w:after="60"/>
              <w:jc w:val="both"/>
              <w:rPr>
                <w:rFonts w:ascii="Calibri" w:hAnsi="Calibri" w:cs="Arial"/>
                <w:b/>
                <w:i/>
                <w:smallCaps/>
              </w:rPr>
            </w:pPr>
            <w:r w:rsidRPr="00650FF1">
              <w:rPr>
                <w:rFonts w:ascii="Calibri" w:hAnsi="Calibri"/>
                <w:b/>
                <w:i/>
                <w:smallCaps/>
              </w:rPr>
              <w:t>EVENT: Derailment due to human error by driving staff</w:t>
            </w:r>
          </w:p>
        </w:tc>
      </w:tr>
      <w:tr w:rsidTr="002F2972">
        <w:tblPrEx>
          <w:tblW w:w="9322" w:type="dxa"/>
          <w:tblInd w:w="250" w:type="dxa"/>
          <w:tblLayout w:type="fixed"/>
          <w:tblLook w:val="04A0"/>
        </w:tblPrEx>
        <w:trPr>
          <w:cantSplit/>
          <w:trHeight w:val="1120"/>
        </w:trPr>
        <w:tc>
          <w:tcPr>
            <w:tcW w:w="567"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55"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The training actions necessary to make driving staff aware of the risks inherent in any failure to comply with the regulations have been included in refresher courses. </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755"/>
      </w:tblGrid>
      <w:tr w:rsidTr="002F2972">
        <w:tblPrEx>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485"/>
        </w:trPr>
        <w:tc>
          <w:tcPr>
            <w:tcW w:w="932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 xml:space="preserve">EVENT:   Near miss due to signal overrun </w:t>
            </w:r>
          </w:p>
        </w:tc>
      </w:tr>
      <w:tr w:rsidTr="002F2972">
        <w:tblPrEx>
          <w:tblW w:w="9322" w:type="dxa"/>
          <w:tblInd w:w="250" w:type="dxa"/>
          <w:tblLayout w:type="fixed"/>
          <w:tblLook w:val="04A0"/>
        </w:tblPrEx>
        <w:trPr>
          <w:cantSplit/>
          <w:trHeight w:val="922"/>
        </w:trPr>
        <w:tc>
          <w:tcPr>
            <w:tcW w:w="567" w:type="dxa"/>
            <w:tcBorders>
              <w:top w:val="single" w:sz="4" w:space="0" w:color="auto"/>
              <w:left w:val="single" w:sz="4" w:space="0" w:color="auto"/>
              <w:right w:val="single" w:sz="4" w:space="0" w:color="auto"/>
            </w:tcBorders>
            <w:shd w:val="clear" w:color="auto" w:fill="B8CCE4"/>
            <w:textDirection w:val="btLr"/>
            <w:hideMark/>
          </w:tcPr>
          <w:p w:rsidR="005C6E47" w:rsidRPr="00650FF1" w:rsidP="002F2972">
            <w:pPr>
              <w:spacing w:after="120"/>
              <w:ind w:left="113" w:right="113"/>
              <w:jc w:val="center"/>
              <w:rPr>
                <w:rFonts w:ascii="Calibri" w:hAnsi="Calibri" w:cs="Arial"/>
                <w:b/>
                <w:i/>
                <w:sz w:val="16"/>
              </w:rPr>
            </w:pPr>
            <w:r w:rsidRPr="00650FF1">
              <w:rPr>
                <w:rFonts w:ascii="Calibri" w:hAnsi="Calibri"/>
                <w:b/>
                <w:i/>
                <w:sz w:val="16"/>
              </w:rPr>
              <w:t>Actions:</w:t>
            </w:r>
          </w:p>
        </w:tc>
        <w:tc>
          <w:tcPr>
            <w:tcW w:w="8755" w:type="dxa"/>
            <w:tcBorders>
              <w:top w:val="single" w:sz="4" w:space="0" w:color="auto"/>
              <w:left w:val="single" w:sz="4" w:space="0" w:color="auto"/>
              <w:right w:val="single" w:sz="4" w:space="0" w:color="auto"/>
            </w:tcBorders>
            <w:vAlign w:val="center"/>
            <w:hideMark/>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A transverse screen </w:t>
            </w:r>
            <w:r w:rsidRPr="00650FF1">
              <w:rPr>
                <w:rFonts w:ascii="Calibri" w:hAnsi="Calibri"/>
                <w:sz w:val="22"/>
                <w:szCs w:val="22"/>
              </w:rPr>
              <w:t>was installed</w:t>
            </w:r>
            <w:r w:rsidRPr="00650FF1">
              <w:rPr>
                <w:rFonts w:ascii="Calibri" w:hAnsi="Calibri"/>
                <w:sz w:val="22"/>
                <w:szCs w:val="22"/>
              </w:rPr>
              <w:t xml:space="preserve"> between the signals, reducing the risk of confusion on the part of the driving staff.</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 xml:space="preserve">EVENT: Accidents at level crossings </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A change in the current regulations relating to signalling and the protection of level crossings is being prepared.  In parallel, an inventory </w:t>
            </w:r>
            <w:r w:rsidRPr="00650FF1">
              <w:rPr>
                <w:rFonts w:ascii="Calibri" w:hAnsi="Calibri"/>
                <w:sz w:val="22"/>
                <w:szCs w:val="22"/>
              </w:rPr>
              <w:t>is being conducted</w:t>
            </w:r>
            <w:r w:rsidRPr="00650FF1">
              <w:rPr>
                <w:rFonts w:ascii="Calibri" w:hAnsi="Calibri"/>
                <w:sz w:val="22"/>
                <w:szCs w:val="22"/>
              </w:rPr>
              <w:t xml:space="preserve"> of level crossings on the RFIG, with one of the objectives being to review the signalling for existing type-A level crossings.   </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 xml:space="preserve">EVENT: Collisions at crossings between platforms </w:t>
            </w:r>
          </w:p>
        </w:tc>
      </w:tr>
      <w:tr w:rsidTr="002F2972">
        <w:tblPrEx>
          <w:tblW w:w="9351" w:type="dxa"/>
          <w:tblInd w:w="250" w:type="dxa"/>
          <w:tblLayout w:type="fixed"/>
          <w:tblLook w:val="04A0"/>
        </w:tblPrEx>
        <w:trPr>
          <w:cantSplit/>
          <w:trHeight w:val="699"/>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Technical regulations are being prepared to regulate crossings between platforms. In parallel, an inventory </w:t>
            </w:r>
            <w:r w:rsidRPr="00650FF1">
              <w:rPr>
                <w:rFonts w:ascii="Calibri" w:hAnsi="Calibri"/>
                <w:sz w:val="22"/>
                <w:szCs w:val="22"/>
              </w:rPr>
              <w:t>is being conducted</w:t>
            </w:r>
            <w:r w:rsidRPr="00650FF1">
              <w:rPr>
                <w:rFonts w:ascii="Calibri" w:hAnsi="Calibri"/>
                <w:sz w:val="22"/>
                <w:szCs w:val="22"/>
              </w:rPr>
              <w:t xml:space="preserve"> of the stations and unmanned stations on the RFIG, which will include different parameters in order to carry out a risk analysis of how dangerous they are. Based on the results, a plan of measures to </w:t>
            </w:r>
            <w:r w:rsidRPr="00650FF1">
              <w:rPr>
                <w:rFonts w:ascii="Calibri" w:hAnsi="Calibri"/>
                <w:sz w:val="22"/>
                <w:szCs w:val="22"/>
              </w:rPr>
              <w:t>be taken</w:t>
            </w:r>
            <w:r w:rsidRPr="00650FF1">
              <w:rPr>
                <w:rFonts w:ascii="Calibri" w:hAnsi="Calibri"/>
                <w:sz w:val="22"/>
                <w:szCs w:val="22"/>
              </w:rPr>
              <w:t xml:space="preserve"> will be prepared in order to improve safety. </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EVENT:  Collision due to human error by driving staff</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At certain unmanned stations where advanced signals show as </w:t>
            </w:r>
            <w:r w:rsidRPr="00650FF1">
              <w:rPr>
                <w:rFonts w:ascii="Calibri" w:hAnsi="Calibri"/>
                <w:sz w:val="22"/>
                <w:szCs w:val="22"/>
              </w:rPr>
              <w:t>permissive</w:t>
            </w:r>
            <w:r w:rsidRPr="00650FF1">
              <w:rPr>
                <w:rFonts w:ascii="Calibri" w:hAnsi="Calibri"/>
                <w:sz w:val="22"/>
                <w:szCs w:val="22"/>
              </w:rPr>
              <w:t xml:space="preserve"> they have been changed to absolute. Furthermore, a working group has been set up to analyse the situation in the particular setting.</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Compliance with traffic conditions with ‘running on sight’ has been included in refresher courses for driving staff.</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EVENT:  Collision due to a failure of the infrastructure</w:t>
            </w:r>
          </w:p>
        </w:tc>
      </w:tr>
      <w:tr w:rsidTr="002F2972">
        <w:tblPrEx>
          <w:tblW w:w="9351" w:type="dxa"/>
          <w:tblInd w:w="250" w:type="dxa"/>
          <w:tblLayout w:type="fixed"/>
          <w:tblLook w:val="04A0"/>
        </w:tblPrEx>
        <w:trPr>
          <w:cantSplit/>
          <w:trHeight w:val="73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12"/>
              </w:rPr>
            </w:pPr>
            <w:r w:rsidRPr="00650FF1">
              <w:rPr>
                <w:rFonts w:ascii="Calibri" w:hAnsi="Calibri"/>
                <w:b/>
                <w:i/>
                <w:sz w:val="1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Work </w:t>
            </w:r>
            <w:r w:rsidRPr="00650FF1">
              <w:rPr>
                <w:rFonts w:ascii="Calibri" w:hAnsi="Calibri"/>
                <w:sz w:val="22"/>
                <w:szCs w:val="22"/>
              </w:rPr>
              <w:t>is being carried out</w:t>
            </w:r>
            <w:r w:rsidRPr="00650FF1">
              <w:rPr>
                <w:rFonts w:ascii="Calibri" w:hAnsi="Calibri"/>
                <w:sz w:val="22"/>
                <w:szCs w:val="22"/>
              </w:rPr>
              <w:t xml:space="preserve"> to stabilise the trench concerned.</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637CB5">
            <w:pPr>
              <w:keepNext/>
              <w:spacing w:before="60" w:after="60"/>
              <w:jc w:val="both"/>
              <w:rPr>
                <w:rFonts w:ascii="Calibri" w:hAnsi="Calibri" w:cs="Arial"/>
                <w:b/>
                <w:i/>
                <w:smallCaps/>
              </w:rPr>
            </w:pPr>
            <w:r w:rsidRPr="00650FF1">
              <w:rPr>
                <w:rFonts w:ascii="Calibri" w:hAnsi="Calibri"/>
                <w:b/>
                <w:i/>
                <w:smallCaps/>
              </w:rPr>
              <w:t>EVENT:  Near miss due to human error by driving staff</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Audits </w:t>
            </w:r>
            <w:r w:rsidRPr="00650FF1">
              <w:rPr>
                <w:rFonts w:ascii="Calibri" w:hAnsi="Calibri"/>
                <w:sz w:val="22"/>
                <w:szCs w:val="22"/>
              </w:rPr>
              <w:t>have been started</w:t>
            </w:r>
            <w:r w:rsidRPr="00650FF1">
              <w:rPr>
                <w:rFonts w:ascii="Calibri" w:hAnsi="Calibri"/>
                <w:sz w:val="22"/>
                <w:szCs w:val="22"/>
              </w:rPr>
              <w:t xml:space="preserve"> by the AESF to analyse the application by the EFs of the procedures of their safety management systems relating to the suspension, revocation and restoration of authorisations after an instance of human error, according to its seriousness. </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EVENT:  Failure of the rolling stock</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The maintenance plans for the 252 locomotives </w:t>
            </w:r>
            <w:r w:rsidRPr="00650FF1">
              <w:rPr>
                <w:rFonts w:ascii="Calibri" w:hAnsi="Calibri"/>
                <w:sz w:val="22"/>
                <w:szCs w:val="22"/>
              </w:rPr>
              <w:t>have been updated</w:t>
            </w:r>
            <w:r w:rsidRPr="00650FF1">
              <w:rPr>
                <w:rFonts w:ascii="Calibri" w:hAnsi="Calibri"/>
                <w:sz w:val="22"/>
                <w:szCs w:val="22"/>
              </w:rPr>
              <w:t xml:space="preserve"> to include verification of the tightness of the Q1 system switch connectors and a visual inspection to verify the absence of oil leaks in the area of the main transformer connections.</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EVENT:  Outbreak of fire due a failure of the rolling stock</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The maintenance plan for the 599 vehicles </w:t>
            </w:r>
            <w:r w:rsidRPr="00650FF1">
              <w:rPr>
                <w:rFonts w:ascii="Calibri" w:hAnsi="Calibri"/>
                <w:sz w:val="22"/>
                <w:szCs w:val="22"/>
              </w:rPr>
              <w:t>has been modified</w:t>
            </w:r>
            <w:r w:rsidRPr="00650FF1">
              <w:rPr>
                <w:rFonts w:ascii="Calibri" w:hAnsi="Calibri"/>
                <w:sz w:val="22"/>
                <w:szCs w:val="22"/>
              </w:rPr>
              <w:t xml:space="preserve"> to include the immediate of removal of bearings and repair of the axle box components when the ingress of water is suspected.</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Maintenance best practice has been strengthened as regards checking, when changing an axle of a 599 vehicle, that the kilometres travelled since the last complete servicing of the axle and its bearings are less than or equal to those of the train it is mounted on, as of the last R1 or R2 intervention carried out on it. </w:t>
            </w:r>
          </w:p>
        </w:tc>
      </w:tr>
    </w:tbl>
    <w:p w:rsidR="005C6E47" w:rsidRPr="00650FF1" w:rsidP="005C6E47">
      <w:pPr>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EVENT:  Runaway rolling stock due to human error by the operator of manoeuvring vehicles at a port</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Implementation of the Port Authority’s safety management systems </w:t>
            </w:r>
            <w:r w:rsidRPr="00650FF1">
              <w:rPr>
                <w:rFonts w:ascii="Calibri" w:hAnsi="Calibri"/>
                <w:sz w:val="22"/>
                <w:szCs w:val="22"/>
              </w:rPr>
              <w:t>is being improved</w:t>
            </w:r>
            <w:r w:rsidRPr="00650FF1">
              <w:rPr>
                <w:rFonts w:ascii="Calibri" w:hAnsi="Calibri"/>
                <w:sz w:val="22"/>
                <w:szCs w:val="22"/>
              </w:rPr>
              <w:t>, as laid down in the third additional provision of RD 810/2007, approving the Regulations on traffic safety on the Public Railway Network.</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The viability of introducing measures to prevent uncontrolled movements of rolling stock (coasting) from the internal port network reaching the physical connection point with the general network is being analysed.</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Compliance with the maintenance plan for rolling stock used at port facilities </w:t>
            </w:r>
            <w:r w:rsidRPr="00650FF1">
              <w:rPr>
                <w:rFonts w:ascii="Calibri" w:hAnsi="Calibri"/>
                <w:sz w:val="22"/>
                <w:szCs w:val="22"/>
              </w:rPr>
              <w:t>has been assured</w:t>
            </w:r>
            <w:r w:rsidRPr="00650FF1">
              <w:rPr>
                <w:rFonts w:ascii="Calibri" w:hAnsi="Calibri"/>
                <w:sz w:val="22"/>
                <w:szCs w:val="22"/>
              </w:rPr>
              <w:t>.</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Traffic managers are being authorised, in accordance with the </w:t>
            </w:r>
            <w:r w:rsidRPr="00650FF1">
              <w:rPr>
                <w:rFonts w:ascii="Calibri" w:hAnsi="Calibri"/>
                <w:sz w:val="22"/>
                <w:szCs w:val="22"/>
              </w:rPr>
              <w:t>Adif</w:t>
            </w:r>
            <w:r w:rsidRPr="00650FF1">
              <w:rPr>
                <w:rFonts w:ascii="Calibri" w:hAnsi="Calibri"/>
                <w:sz w:val="22"/>
                <w:szCs w:val="22"/>
              </w:rPr>
              <w:t xml:space="preserve">-Port Authority Agreement. </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keepNext/>
              <w:spacing w:before="60" w:after="60"/>
              <w:jc w:val="both"/>
              <w:rPr>
                <w:rFonts w:ascii="Calibri" w:hAnsi="Calibri" w:cs="Arial"/>
                <w:b/>
                <w:i/>
                <w:smallCaps/>
              </w:rPr>
            </w:pPr>
            <w:r w:rsidRPr="00650FF1">
              <w:rPr>
                <w:rFonts w:ascii="Calibri" w:hAnsi="Calibri"/>
                <w:b/>
                <w:i/>
                <w:smallCaps/>
              </w:rPr>
              <w:t>EVENT:  Passing directly through a station without stopping due to human error by the driving staff</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The content of refresher courses aimed at driving staff </w:t>
            </w:r>
            <w:r w:rsidRPr="00650FF1">
              <w:rPr>
                <w:rFonts w:ascii="Calibri" w:hAnsi="Calibri"/>
                <w:sz w:val="22"/>
                <w:szCs w:val="22"/>
              </w:rPr>
              <w:t>has been strengthened</w:t>
            </w:r>
            <w:r w:rsidRPr="00650FF1">
              <w:rPr>
                <w:rFonts w:ascii="Calibri" w:hAnsi="Calibri"/>
                <w:sz w:val="22"/>
                <w:szCs w:val="22"/>
              </w:rPr>
              <w:t xml:space="preserve"> with regard to degraded or unusual situations, as in the case of additional telephonic blocking, taking account of the return of experience from recorded events.</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Appropriate mechanisms </w:t>
            </w:r>
            <w:r w:rsidRPr="00650FF1">
              <w:rPr>
                <w:rFonts w:ascii="Calibri" w:hAnsi="Calibri"/>
                <w:sz w:val="22"/>
                <w:szCs w:val="22"/>
              </w:rPr>
              <w:t>have been developed and implemented through subcommittees to ensure that, before carrying out their duties, train drivers receive the notices that concerns them from those responsible for documentation in the different organisational areas</w:t>
            </w:r>
            <w:r w:rsidRPr="00650FF1">
              <w:rPr>
                <w:rFonts w:ascii="Calibri" w:hAnsi="Calibri"/>
                <w:sz w:val="22"/>
                <w:szCs w:val="22"/>
              </w:rPr>
              <w:t xml:space="preserve">. Middle managers advise train drivers on an ongoing basis, reminding them of the application of the traffic conditions contained in those documents before performing their duties. </w:t>
            </w:r>
          </w:p>
        </w:tc>
      </w:tr>
    </w:tbl>
    <w:p w:rsidR="005C6E47" w:rsidRPr="00650FF1" w:rsidP="005C6E47">
      <w:pPr>
        <w:autoSpaceDE w:val="0"/>
        <w:autoSpaceDN w:val="0"/>
        <w:adjustRightInd w:val="0"/>
        <w:spacing w:after="120"/>
        <w:jc w:val="both"/>
        <w:rPr>
          <w:rFonts w:ascii="Calibri" w:hAnsi="Calibri" w:cs="Arial"/>
          <w:color w:val="FF0000"/>
          <w:lang w:val="es-ES_tradnl"/>
        </w:rPr>
      </w:pP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8789"/>
      </w:tblGrid>
      <w:tr w:rsidTr="002F2972">
        <w:tblPrEx>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03"/>
        </w:trPr>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C6E47" w:rsidRPr="00650FF1" w:rsidP="002F2972">
            <w:pPr>
              <w:spacing w:before="60" w:after="60"/>
              <w:jc w:val="both"/>
              <w:rPr>
                <w:rFonts w:ascii="Calibri" w:hAnsi="Calibri" w:cs="Arial"/>
                <w:b/>
                <w:i/>
                <w:smallCaps/>
              </w:rPr>
            </w:pPr>
            <w:r w:rsidRPr="00650FF1">
              <w:rPr>
                <w:rFonts w:ascii="Calibri" w:hAnsi="Calibri"/>
                <w:b/>
                <w:i/>
                <w:smallCaps/>
              </w:rPr>
              <w:t>EVENT: Derailment due to excess speed</w:t>
            </w:r>
          </w:p>
        </w:tc>
      </w:tr>
      <w:tr w:rsidTr="002F2972">
        <w:tblPrEx>
          <w:tblW w:w="9351" w:type="dxa"/>
          <w:tblInd w:w="250" w:type="dxa"/>
          <w:tblLayout w:type="fixed"/>
          <w:tblLook w:val="04A0"/>
        </w:tblPrEx>
        <w:trPr>
          <w:cantSplit/>
          <w:trHeight w:val="1108"/>
        </w:trPr>
        <w:tc>
          <w:tcPr>
            <w:tcW w:w="562" w:type="dxa"/>
            <w:tcBorders>
              <w:top w:val="single" w:sz="4" w:space="0" w:color="auto"/>
              <w:left w:val="single" w:sz="4" w:space="0" w:color="auto"/>
              <w:bottom w:val="single" w:sz="4" w:space="0" w:color="auto"/>
              <w:right w:val="single" w:sz="4" w:space="0" w:color="auto"/>
            </w:tcBorders>
            <w:shd w:val="clear" w:color="auto" w:fill="B8CCE4"/>
            <w:textDirection w:val="btLr"/>
          </w:tcPr>
          <w:p w:rsidR="005C6E47" w:rsidRPr="00650FF1" w:rsidP="002F2972">
            <w:pPr>
              <w:spacing w:after="120"/>
              <w:ind w:left="113" w:right="113"/>
              <w:jc w:val="center"/>
              <w:rPr>
                <w:rFonts w:ascii="Calibri" w:hAnsi="Calibri" w:cs="Arial"/>
                <w:b/>
                <w:i/>
                <w:sz w:val="22"/>
              </w:rPr>
            </w:pPr>
            <w:r w:rsidRPr="00650FF1">
              <w:rPr>
                <w:rFonts w:ascii="Calibri" w:hAnsi="Calibri"/>
                <w:b/>
                <w:i/>
                <w:sz w:val="22"/>
              </w:rPr>
              <w:t>Actions:</w:t>
            </w:r>
          </w:p>
        </w:tc>
        <w:tc>
          <w:tcPr>
            <w:tcW w:w="8789" w:type="dxa"/>
            <w:tcBorders>
              <w:top w:val="single" w:sz="4" w:space="0" w:color="auto"/>
              <w:left w:val="single" w:sz="4" w:space="0" w:color="auto"/>
              <w:bottom w:val="single" w:sz="4" w:space="0" w:color="auto"/>
              <w:right w:val="single" w:sz="4" w:space="0" w:color="auto"/>
            </w:tcBorders>
            <w:vAlign w:val="center"/>
          </w:tcPr>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Technical Recommendation 2/2017 of the National Railway Safety Agency, on driver communications in the event of accidents or incidents, </w:t>
            </w:r>
            <w:r w:rsidRPr="00650FF1">
              <w:rPr>
                <w:rFonts w:ascii="Calibri" w:hAnsi="Calibri"/>
                <w:sz w:val="22"/>
                <w:szCs w:val="22"/>
              </w:rPr>
              <w:t>has been drawn up</w:t>
            </w:r>
            <w:r w:rsidRPr="00650FF1">
              <w:rPr>
                <w:rFonts w:ascii="Calibri" w:hAnsi="Calibri"/>
                <w:sz w:val="22"/>
                <w:szCs w:val="22"/>
              </w:rPr>
              <w:t>.</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Technical Recommendation 4/2017 of the National Railway Safety Agency, on juridical recording units, </w:t>
            </w:r>
            <w:r w:rsidRPr="00650FF1">
              <w:rPr>
                <w:rFonts w:ascii="Calibri" w:hAnsi="Calibri"/>
                <w:sz w:val="22"/>
                <w:szCs w:val="22"/>
              </w:rPr>
              <w:t>has been drawn up</w:t>
            </w:r>
            <w:r w:rsidRPr="00650FF1">
              <w:rPr>
                <w:rFonts w:ascii="Calibri" w:hAnsi="Calibri"/>
                <w:sz w:val="22"/>
                <w:szCs w:val="22"/>
              </w:rPr>
              <w:t>.</w:t>
            </w:r>
          </w:p>
          <w:p w:rsidR="005C6E47" w:rsidRPr="00650FF1" w:rsidP="002F2972">
            <w:pPr>
              <w:numPr>
                <w:ilvl w:val="0"/>
                <w:numId w:val="16"/>
              </w:numPr>
              <w:autoSpaceDE w:val="0"/>
              <w:autoSpaceDN w:val="0"/>
              <w:adjustRightInd w:val="0"/>
              <w:snapToGrid w:val="0"/>
              <w:spacing w:before="120" w:after="120" w:line="276" w:lineRule="auto"/>
              <w:ind w:left="357" w:hanging="357"/>
              <w:jc w:val="both"/>
              <w:rPr>
                <w:rFonts w:ascii="Calibri" w:hAnsi="Calibri" w:cs="Arial"/>
                <w:sz w:val="22"/>
                <w:szCs w:val="22"/>
              </w:rPr>
            </w:pPr>
            <w:r w:rsidRPr="00650FF1">
              <w:rPr>
                <w:rFonts w:ascii="Calibri" w:hAnsi="Calibri"/>
                <w:sz w:val="22"/>
                <w:szCs w:val="22"/>
              </w:rPr>
              <w:t xml:space="preserve">Technical Recommendation 7/2017 of the National Railway Safety Agency, on communicating safety improvement proposals and information about possible risks within railway undertakings, </w:t>
            </w:r>
            <w:r w:rsidRPr="00650FF1">
              <w:rPr>
                <w:rFonts w:ascii="Calibri" w:hAnsi="Calibri"/>
                <w:sz w:val="22"/>
                <w:szCs w:val="22"/>
              </w:rPr>
              <w:t>has been drawn up</w:t>
            </w:r>
            <w:r w:rsidRPr="00650FF1">
              <w:rPr>
                <w:rFonts w:ascii="Calibri" w:hAnsi="Calibri"/>
                <w:sz w:val="22"/>
                <w:szCs w:val="22"/>
              </w:rPr>
              <w:t>.</w:t>
            </w:r>
          </w:p>
        </w:tc>
      </w:tr>
    </w:tbl>
    <w:p w:rsidR="005C6E47" w:rsidRPr="00650FF1" w:rsidP="005C6E47">
      <w:pPr>
        <w:pStyle w:val="StandardText"/>
        <w:spacing w:before="240" w:after="120" w:line="240" w:lineRule="auto"/>
        <w:rPr>
          <w:rFonts w:ascii="Calibri" w:hAnsi="Calibri"/>
          <w:lang w:val="es-ES_tradnl"/>
        </w:rPr>
      </w:pPr>
    </w:p>
    <w:p w:rsidR="005C6E47" w:rsidRPr="00650FF1" w:rsidP="005C6E47">
      <w:pPr>
        <w:pStyle w:val="StandardText"/>
        <w:spacing w:before="240" w:after="120" w:line="240" w:lineRule="auto"/>
        <w:rPr>
          <w:rFonts w:ascii="Calibri" w:hAnsi="Calibri"/>
          <w:lang w:val="es-ES_tradnl"/>
        </w:rPr>
        <w:sectPr w:rsidSect="006E710F">
          <w:pgSz w:w="11906" w:h="16838"/>
          <w:pgMar w:top="1560" w:right="992" w:bottom="1418" w:left="1134" w:header="709" w:footer="6" w:gutter="0"/>
          <w:cols w:space="708"/>
          <w:titlePg/>
          <w:docGrid w:linePitch="360"/>
        </w:sectPr>
      </w:pPr>
    </w:p>
    <w:tbl>
      <w:tblPr>
        <w:tblW w:w="10065" w:type="dxa"/>
        <w:tblInd w:w="-34" w:type="dxa"/>
        <w:tblLook w:val="04A0"/>
      </w:tblPr>
      <w:tblGrid>
        <w:gridCol w:w="4868"/>
        <w:gridCol w:w="5197"/>
      </w:tblGrid>
      <w:tr w:rsidTr="002F2972">
        <w:tblPrEx>
          <w:tblW w:w="10065" w:type="dxa"/>
          <w:tblInd w:w="-34" w:type="dxa"/>
          <w:tblLook w:val="04A0"/>
        </w:tblPrEx>
        <w:trPr>
          <w:trHeight w:val="860"/>
        </w:trPr>
        <w:tc>
          <w:tcPr>
            <w:tcW w:w="10065" w:type="dxa"/>
            <w:gridSpan w:val="2"/>
            <w:shd w:val="clear" w:color="auto" w:fill="auto"/>
          </w:tcPr>
          <w:p w:rsidR="005C6E47" w:rsidRPr="00650FF1" w:rsidP="002F2972">
            <w:pPr>
              <w:pStyle w:val="StandardText"/>
              <w:spacing w:before="240" w:after="120" w:line="240" w:lineRule="auto"/>
              <w:rPr>
                <w:rFonts w:ascii="Calibri" w:hAnsi="Calibri"/>
                <w:noProof/>
                <w:snapToGrid/>
                <w:lang w:val="es-ES_tradnl" w:eastAsia="en-US"/>
              </w:rPr>
            </w:pPr>
          </w:p>
        </w:tc>
      </w:tr>
      <w:tr w:rsidTr="002F2972">
        <w:tblPrEx>
          <w:tblW w:w="10065" w:type="dxa"/>
          <w:tblInd w:w="-34" w:type="dxa"/>
          <w:tblLook w:val="04A0"/>
        </w:tblPrEx>
        <w:trPr>
          <w:trHeight w:val="3966"/>
        </w:trPr>
        <w:tc>
          <w:tcPr>
            <w:tcW w:w="4868" w:type="dxa"/>
            <w:shd w:val="clear" w:color="auto" w:fill="auto"/>
          </w:tcPr>
          <w:p w:rsidR="005C6E47" w:rsidRPr="00650FF1" w:rsidP="002F2972">
            <w:pPr>
              <w:pStyle w:val="StandardText"/>
              <w:spacing w:before="240" w:after="120" w:line="240" w:lineRule="auto"/>
              <w:rPr>
                <w:rFonts w:ascii="Calibri" w:hAnsi="Calibri"/>
              </w:rPr>
            </w:pPr>
            <w:r w:rsidRPr="00650FF1">
              <w:rPr>
                <w:rFonts w:ascii="Calibri" w:hAnsi="Calibri"/>
                <w:noProof/>
                <w:lang w:val="fr-FR" w:eastAsia="fr-FR"/>
              </w:rPr>
              <w:drawing>
                <wp:anchor distT="0" distB="0" distL="114300" distR="114300" simplePos="0" relativeHeight="251665408" behindDoc="1" locked="0" layoutInCell="1" allowOverlap="1">
                  <wp:simplePos x="0" y="0"/>
                  <wp:positionH relativeFrom="column">
                    <wp:posOffset>434027</wp:posOffset>
                  </wp:positionH>
                  <wp:positionV relativeFrom="paragraph">
                    <wp:posOffset>41910</wp:posOffset>
                  </wp:positionV>
                  <wp:extent cx="6054090" cy="259080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80342"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p w:rsidR="005C6E47" w:rsidRPr="00650FF1" w:rsidP="002F2972">
            <w:pPr>
              <w:pStyle w:val="Title"/>
              <w:numPr>
                <w:ilvl w:val="0"/>
                <w:numId w:val="0"/>
              </w:numPr>
              <w:ind w:left="360"/>
              <w:jc w:val="left"/>
            </w:pPr>
          </w:p>
        </w:tc>
        <w:tc>
          <w:tcPr>
            <w:tcW w:w="5197" w:type="dxa"/>
            <w:shd w:val="clear" w:color="auto" w:fill="auto"/>
            <w:vAlign w:val="center"/>
          </w:tcPr>
          <w:p w:rsidR="005C6E47" w:rsidRPr="00650FF1" w:rsidP="002F2972">
            <w:pPr>
              <w:pStyle w:val="Title"/>
              <w:rPr>
                <w:sz w:val="48"/>
              </w:rPr>
            </w:pPr>
            <w:bookmarkStart w:id="7" w:name="_Toc532285982"/>
            <w:r w:rsidRPr="00650FF1">
              <w:rPr>
                <w:sz w:val="48"/>
              </w:rPr>
              <w:t>Implementation of safety legislation</w:t>
            </w:r>
            <w:bookmarkEnd w:id="7"/>
          </w:p>
        </w:tc>
      </w:tr>
    </w:tbl>
    <w:p w:rsidR="005C6E47" w:rsidRPr="00650FF1" w:rsidP="005C6E47">
      <w:pPr>
        <w:ind w:left="874"/>
        <w:rPr>
          <w:lang w:val="es-ES_tradnl"/>
        </w:rPr>
      </w:pPr>
    </w:p>
    <w:p w:rsidR="005C6E47" w:rsidRPr="00650FF1" w:rsidP="005C6E47">
      <w:pPr>
        <w:pStyle w:val="StandardText"/>
        <w:spacing w:before="240" w:after="120" w:line="240" w:lineRule="auto"/>
        <w:rPr>
          <w:rFonts w:ascii="Calibri" w:hAnsi="Calibri"/>
          <w:lang w:val="es-ES_tradnl"/>
        </w:rPr>
      </w:pPr>
    </w:p>
    <w:p w:rsidR="005C6E47" w:rsidRPr="00637CB5" w:rsidP="00637CB5">
      <w:pPr>
        <w:pStyle w:val="Subtitulo1"/>
        <w:ind w:left="360" w:hanging="360"/>
        <w:rPr>
          <w:lang w:val="es-ES_tradnl"/>
        </w:rPr>
      </w:pPr>
      <w:r w:rsidRPr="00637CB5">
        <w:rPr>
          <w:lang w:val="es-ES_tradnl"/>
        </w:rPr>
        <w:t>1. Transposition of European legislation regarding railway safety</w:t>
      </w:r>
    </w:p>
    <w:p w:rsidR="005C6E47" w:rsidRPr="00650FF1" w:rsidP="005C6E47">
      <w:pPr>
        <w:pStyle w:val="StandardText"/>
        <w:spacing w:before="240" w:after="120" w:line="240" w:lineRule="auto"/>
        <w:rPr>
          <w:rFonts w:ascii="Calibri" w:hAnsi="Calibri"/>
        </w:rPr>
      </w:pPr>
      <w:r w:rsidRPr="00650FF1">
        <w:rPr>
          <w:rFonts w:ascii="Calibri" w:hAnsi="Calibri"/>
        </w:rPr>
        <w:t xml:space="preserve">From the point of view of European legislation, the basic document on railway safety, the Railway Safety Directive 2004/49 (RSD), </w:t>
      </w:r>
      <w:r w:rsidRPr="00650FF1">
        <w:rPr>
          <w:rFonts w:ascii="Calibri" w:hAnsi="Calibri"/>
        </w:rPr>
        <w:t>is incorporated</w:t>
      </w:r>
      <w:r w:rsidRPr="00650FF1">
        <w:rPr>
          <w:rFonts w:ascii="Calibri" w:hAnsi="Calibri"/>
        </w:rPr>
        <w:t xml:space="preserve"> into the Spanish legal system by means of Law 38/2015, of 29 September, on the railway sector, and Royal Decree 810/2007 of 22 June, approving the Regulations on traffic safety on the Public Railway Network.</w:t>
      </w:r>
    </w:p>
    <w:p w:rsidR="005C6E47" w:rsidRPr="00650FF1" w:rsidP="005C6E47">
      <w:pPr>
        <w:pStyle w:val="StandardText"/>
        <w:spacing w:before="240" w:after="120" w:line="240" w:lineRule="auto"/>
        <w:rPr>
          <w:rFonts w:ascii="Calibri" w:hAnsi="Calibri"/>
        </w:rPr>
      </w:pPr>
      <w:r w:rsidRPr="00650FF1">
        <w:rPr>
          <w:rFonts w:ascii="Calibri" w:hAnsi="Calibri"/>
        </w:rPr>
        <w:t xml:space="preserve">With the publication of the Technical Pillar of the </w:t>
      </w:r>
      <w:r w:rsidRPr="00650FF1">
        <w:rPr>
          <w:rFonts w:ascii="Calibri" w:hAnsi="Calibri"/>
        </w:rPr>
        <w:t>4th</w:t>
      </w:r>
      <w:r w:rsidRPr="00650FF1">
        <w:rPr>
          <w:rFonts w:ascii="Calibri" w:hAnsi="Calibri"/>
        </w:rPr>
        <w:t xml:space="preserve"> Package, which includes the new Directives (EU) 2016/798 of 11 May 2016, on railway safety, and (EU) 2016/797 of 11 May 2016, on interoperability, the process of comprehensively reviewing all of the relevant Spanish legislation was initiated in 2016 and continued in 2017. It will conclude with the publication of the royal decrees enabling its incorporation into national law in the following months.</w:t>
      </w:r>
    </w:p>
    <w:p w:rsidR="005C6E47" w:rsidRPr="00650FF1" w:rsidP="005C6E47">
      <w:pPr>
        <w:pStyle w:val="StandardText"/>
        <w:spacing w:before="240" w:after="120" w:line="240" w:lineRule="auto"/>
        <w:rPr>
          <w:rFonts w:ascii="Calibri" w:hAnsi="Calibri"/>
        </w:rPr>
      </w:pPr>
      <w:r w:rsidRPr="00650FF1">
        <w:rPr>
          <w:rFonts w:ascii="Calibri" w:hAnsi="Calibri"/>
        </w:rPr>
        <w:t xml:space="preserve">Taking advantage of this transposition process, a general review </w:t>
      </w:r>
      <w:r w:rsidRPr="00650FF1">
        <w:rPr>
          <w:rFonts w:ascii="Calibri" w:hAnsi="Calibri"/>
        </w:rPr>
        <w:t>is being carried</w:t>
      </w:r>
      <w:r w:rsidRPr="00650FF1">
        <w:rPr>
          <w:rFonts w:ascii="Calibri" w:hAnsi="Calibri"/>
        </w:rPr>
        <w:t xml:space="preserve"> out of all legislation relating to railway safety, with a view to consolidating it in a single legal text.</w:t>
      </w:r>
    </w:p>
    <w:p w:rsidR="005C6E47" w:rsidRPr="00650FF1" w:rsidP="005C6E47">
      <w:pPr>
        <w:pStyle w:val="StandardText"/>
        <w:spacing w:before="240" w:after="120" w:line="240" w:lineRule="auto"/>
        <w:rPr>
          <w:rFonts w:ascii="Calibri" w:hAnsi="Calibri"/>
          <w:lang w:val="es-ES_tradnl"/>
        </w:rPr>
      </w:pPr>
    </w:p>
    <w:p w:rsidR="005C6E47" w:rsidRPr="00637CB5" w:rsidP="00637CB5">
      <w:pPr>
        <w:pStyle w:val="Subtitulo1"/>
        <w:ind w:left="360" w:hanging="360"/>
        <w:rPr>
          <w:lang w:val="es-ES_tradnl"/>
        </w:rPr>
      </w:pPr>
      <w:r w:rsidRPr="00637CB5">
        <w:rPr>
          <w:lang w:val="es-ES_tradnl"/>
        </w:rPr>
        <w:t>2. Amendments of laws and regulations</w:t>
      </w:r>
    </w:p>
    <w:p w:rsidR="005C6E47" w:rsidRPr="00650FF1" w:rsidP="005C6E47">
      <w:pPr>
        <w:pStyle w:val="StandardText"/>
        <w:spacing w:before="240" w:after="120" w:line="240" w:lineRule="auto"/>
        <w:rPr>
          <w:rFonts w:ascii="Calibri" w:hAnsi="Calibri"/>
        </w:rPr>
      </w:pPr>
      <w:r w:rsidRPr="00650FF1">
        <w:rPr>
          <w:rFonts w:ascii="Calibri" w:hAnsi="Calibri"/>
        </w:rPr>
        <w:t>In accordance with its competences, the AESF is responsible for the support and development of the regulatory framework for safety and interoperability, in both technical and legal respects.</w:t>
      </w:r>
    </w:p>
    <w:p w:rsidR="005C6E47" w:rsidRPr="00650FF1" w:rsidP="005C6E47">
      <w:pPr>
        <w:pStyle w:val="StandardText"/>
        <w:spacing w:before="240" w:after="120" w:line="240" w:lineRule="auto"/>
        <w:rPr>
          <w:rFonts w:ascii="Calibri" w:hAnsi="Calibri"/>
        </w:rPr>
      </w:pPr>
      <w:r w:rsidRPr="00650FF1">
        <w:rPr>
          <w:rFonts w:ascii="Calibri" w:hAnsi="Calibri"/>
        </w:rPr>
        <w:t>In 2017, the AESF continued to perform an important regulatory role, in accordance with Article 9.1.g) of its articles of association. That involved the processing and publication of several rules on railway safety and interoperability during the year covered by this report:</w:t>
      </w:r>
    </w:p>
    <w:p w:rsidR="005C6E47" w:rsidRPr="00650FF1" w:rsidP="005C6E47">
      <w:pPr>
        <w:pStyle w:val="PUNTOS"/>
        <w:numPr>
          <w:ilvl w:val="0"/>
          <w:numId w:val="26"/>
        </w:numPr>
      </w:pPr>
      <w:r w:rsidRPr="00650FF1">
        <w:t>Royal Decree 1011/2017, of 1 December, amending Royal Decree 664/2015, of 17 July, approving the Rail Traffic Regulations.</w:t>
      </w:r>
    </w:p>
    <w:p w:rsidR="005C6E47" w:rsidRPr="00650FF1" w:rsidP="005C6E47">
      <w:pPr>
        <w:pStyle w:val="StandardText"/>
        <w:spacing w:before="240" w:after="120" w:line="240" w:lineRule="auto"/>
        <w:rPr>
          <w:rFonts w:ascii="Calibri" w:hAnsi="Calibri"/>
        </w:rPr>
      </w:pPr>
      <w:r w:rsidRPr="00650FF1">
        <w:rPr>
          <w:rFonts w:ascii="Calibri" w:hAnsi="Calibri"/>
        </w:rPr>
        <w:t xml:space="preserve">In 2017, an order </w:t>
      </w:r>
      <w:r w:rsidRPr="00650FF1">
        <w:rPr>
          <w:rFonts w:ascii="Calibri" w:hAnsi="Calibri"/>
        </w:rPr>
        <w:t>was published</w:t>
      </w:r>
      <w:r w:rsidRPr="00650FF1">
        <w:rPr>
          <w:rFonts w:ascii="Calibri" w:hAnsi="Calibri"/>
        </w:rPr>
        <w:t xml:space="preserve"> which as processed and authorised in 2016:</w:t>
      </w:r>
    </w:p>
    <w:p w:rsidR="005C6E47" w:rsidRPr="00650FF1" w:rsidP="005C6E47">
      <w:pPr>
        <w:pStyle w:val="PUNTOS"/>
        <w:numPr>
          <w:ilvl w:val="0"/>
          <w:numId w:val="27"/>
        </w:numPr>
      </w:pPr>
      <w:r w:rsidRPr="00650FF1">
        <w:t>Order FOM/2015/2016, of 30 December, approving the Official Catalogue of Railway Traffic Signals on the Public Railway Network.</w:t>
      </w:r>
    </w:p>
    <w:p w:rsidR="005C6E47" w:rsidRPr="00650FF1" w:rsidP="005C6E47">
      <w:pPr>
        <w:pStyle w:val="StandardText"/>
        <w:spacing w:before="240" w:after="120"/>
        <w:rPr>
          <w:rFonts w:ascii="Calibri" w:hAnsi="Calibri"/>
        </w:rPr>
      </w:pPr>
      <w:r w:rsidRPr="00650FF1">
        <w:rPr>
          <w:rFonts w:ascii="Calibri" w:hAnsi="Calibri"/>
        </w:rPr>
        <w:t>The translation and processing of RID 2017 (Regulations concerning the International Carriage of Dangerous Goods by Rail) was also completed in 2017 and it was finally published on 9 June 2017.</w:t>
      </w:r>
    </w:p>
    <w:p w:rsidR="005C6E47" w:rsidRPr="00650FF1" w:rsidP="005C6E47">
      <w:pPr>
        <w:pStyle w:val="StandardText"/>
        <w:spacing w:before="240" w:after="120" w:line="240" w:lineRule="auto"/>
        <w:rPr>
          <w:rFonts w:ascii="Calibri" w:hAnsi="Calibri"/>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Work also began or continued on the drafting of other regulations in 2017, which are currently in different stages of preparation and processing:</w:t>
      </w:r>
    </w:p>
    <w:p w:rsidR="005C6E47" w:rsidRPr="00650FF1" w:rsidP="005C6E47">
      <w:pPr>
        <w:pStyle w:val="StandardText"/>
        <w:numPr>
          <w:ilvl w:val="0"/>
          <w:numId w:val="19"/>
        </w:numPr>
        <w:spacing w:before="240" w:after="120" w:line="240" w:lineRule="auto"/>
        <w:rPr>
          <w:rFonts w:ascii="Calibri" w:hAnsi="Calibri"/>
        </w:rPr>
      </w:pPr>
      <w:r w:rsidRPr="00650FF1">
        <w:rPr>
          <w:rFonts w:ascii="Calibri" w:hAnsi="Calibri"/>
        </w:rPr>
        <w:t>Continuing with the transposition of the new Safety Directive (2016/796/EU) and Interoperability Directive (2016/797/EU).</w:t>
      </w:r>
    </w:p>
    <w:p w:rsidR="005C6E47" w:rsidRPr="00650FF1" w:rsidP="005C6E47">
      <w:pPr>
        <w:pStyle w:val="StandardText"/>
        <w:numPr>
          <w:ilvl w:val="0"/>
          <w:numId w:val="19"/>
        </w:numPr>
        <w:spacing w:before="240" w:after="120" w:line="240" w:lineRule="auto"/>
        <w:rPr>
          <w:rFonts w:ascii="Calibri" w:hAnsi="Calibri"/>
        </w:rPr>
      </w:pPr>
      <w:r w:rsidRPr="00650FF1">
        <w:rPr>
          <w:rFonts w:ascii="Calibri" w:hAnsi="Calibri"/>
        </w:rPr>
        <w:t>Beginning the drafting of a royal decree for sections of the RFIG with light rail characteristics.</w:t>
      </w:r>
    </w:p>
    <w:p w:rsidR="005C6E47" w:rsidRPr="00650FF1" w:rsidP="005C6E47">
      <w:pPr>
        <w:pStyle w:val="StandardText"/>
        <w:numPr>
          <w:ilvl w:val="0"/>
          <w:numId w:val="19"/>
        </w:numPr>
        <w:spacing w:before="240" w:after="120" w:line="240" w:lineRule="auto"/>
        <w:rPr>
          <w:rFonts w:ascii="Calibri" w:hAnsi="Calibri"/>
        </w:rPr>
      </w:pPr>
      <w:r w:rsidRPr="00650FF1">
        <w:rPr>
          <w:rFonts w:ascii="Calibri" w:hAnsi="Calibri"/>
        </w:rPr>
        <w:t>Giving impetus to the amendment of Royal Decree 412/2001, regulating matters relating to the carriage and movement of dangerous goods by rail.</w:t>
      </w:r>
    </w:p>
    <w:p w:rsidR="005C6E47" w:rsidRPr="00650FF1" w:rsidP="005C6E47">
      <w:pPr>
        <w:pStyle w:val="StandardText"/>
        <w:numPr>
          <w:ilvl w:val="0"/>
          <w:numId w:val="19"/>
        </w:numPr>
        <w:spacing w:before="240" w:after="120" w:line="240" w:lineRule="auto"/>
        <w:rPr>
          <w:rFonts w:ascii="Calibri" w:hAnsi="Calibri"/>
        </w:rPr>
      </w:pPr>
      <w:r w:rsidRPr="00650FF1">
        <w:rPr>
          <w:rFonts w:ascii="Calibri" w:hAnsi="Calibri"/>
        </w:rPr>
        <w:t>Continuing with the processing of the order for the maintenance rail vehicles, replacing the current part of Order FOM/233/2006, of 31 January, which determines the approval system for rolling stock centres and their operating conditions.</w:t>
      </w:r>
    </w:p>
    <w:p w:rsidR="005C6E47" w:rsidRPr="00650FF1" w:rsidP="005C6E47">
      <w:pPr>
        <w:pStyle w:val="StandardText"/>
        <w:numPr>
          <w:ilvl w:val="0"/>
          <w:numId w:val="19"/>
        </w:numPr>
        <w:spacing w:before="240" w:after="120" w:line="240" w:lineRule="auto"/>
        <w:rPr>
          <w:rFonts w:ascii="Calibri" w:hAnsi="Calibri"/>
        </w:rPr>
      </w:pPr>
      <w:r w:rsidRPr="00650FF1">
        <w:rPr>
          <w:rFonts w:ascii="Calibri" w:hAnsi="Calibri"/>
        </w:rPr>
        <w:t>Continuing to process the Railway Instructions on Infrastructure (IF-I), Energy (IF-E) and Rolling Stock (IF-MR), which are the national regulations complementing the applicable TSIs, in accordance with Order FOM/167/2015.</w:t>
      </w:r>
    </w:p>
    <w:p w:rsidR="005C6E47" w:rsidRPr="00650FF1" w:rsidP="005C6E47">
      <w:pPr>
        <w:pStyle w:val="StandardText"/>
        <w:numPr>
          <w:ilvl w:val="0"/>
          <w:numId w:val="19"/>
        </w:numPr>
        <w:spacing w:before="240" w:after="120" w:line="240" w:lineRule="auto"/>
        <w:rPr>
          <w:rFonts w:ascii="Calibri" w:hAnsi="Calibri"/>
        </w:rPr>
      </w:pPr>
      <w:r w:rsidRPr="00650FF1">
        <w:rPr>
          <w:rFonts w:ascii="Calibri" w:hAnsi="Calibri"/>
        </w:rPr>
        <w:t>A review of the regulations on the road and rail transport of dangerous goods (ADR and RID, respectively) was initiated with a view to alignment.</w:t>
      </w:r>
    </w:p>
    <w:p w:rsidR="005C6E47" w:rsidRPr="00650FF1" w:rsidP="005C6E47">
      <w:pPr>
        <w:pStyle w:val="StandardText"/>
        <w:numPr>
          <w:ilvl w:val="0"/>
          <w:numId w:val="19"/>
        </w:numPr>
        <w:spacing w:before="240" w:after="120" w:line="240" w:lineRule="auto"/>
        <w:rPr>
          <w:rFonts w:ascii="Calibri" w:hAnsi="Calibri"/>
        </w:rPr>
      </w:pPr>
      <w:r w:rsidRPr="00650FF1">
        <w:rPr>
          <w:rFonts w:ascii="Calibri" w:hAnsi="Calibri"/>
        </w:rPr>
        <w:t>Drafting of the Braking Technical Specification.</w:t>
      </w:r>
    </w:p>
    <w:p w:rsidR="005C6E47" w:rsidRPr="00650FF1" w:rsidP="005C6E47">
      <w:pPr>
        <w:pStyle w:val="StandardText"/>
        <w:spacing w:before="240" w:after="120" w:line="240" w:lineRule="auto"/>
        <w:ind w:left="720"/>
        <w:rPr>
          <w:rFonts w:ascii="Calibri" w:hAnsi="Calibri"/>
          <w:lang w:val="es-ES_tradnl"/>
        </w:rPr>
      </w:pPr>
    </w:p>
    <w:p w:rsidR="005C6E47" w:rsidRPr="00650FF1" w:rsidP="005C6E47">
      <w:pPr>
        <w:pStyle w:val="StandardText"/>
        <w:spacing w:before="240" w:after="120" w:line="240" w:lineRule="auto"/>
        <w:rPr>
          <w:rFonts w:ascii="Calibri" w:hAnsi="Calibri"/>
        </w:rPr>
      </w:pPr>
      <w:r w:rsidRPr="00650FF1">
        <w:rPr>
          <w:rFonts w:ascii="Calibri" w:hAnsi="Calibri"/>
        </w:rPr>
        <w:t xml:space="preserve">Lastly, in 2017 the AESF issued various circular </w:t>
      </w:r>
      <w:r w:rsidRPr="00650FF1">
        <w:rPr>
          <w:rFonts w:ascii="Calibri" w:hAnsi="Calibri"/>
        </w:rPr>
        <w:t>decisions which</w:t>
      </w:r>
      <w:r w:rsidRPr="00650FF1">
        <w:rPr>
          <w:rFonts w:ascii="Calibri" w:hAnsi="Calibri"/>
        </w:rPr>
        <w:t xml:space="preserve"> support the interpretation and application of the legislation:</w:t>
      </w:r>
    </w:p>
    <w:p w:rsidR="005C6E47" w:rsidRPr="00650FF1" w:rsidP="005C6E47">
      <w:pPr>
        <w:pStyle w:val="PUNTOS"/>
        <w:numPr>
          <w:ilvl w:val="0"/>
          <w:numId w:val="25"/>
        </w:numPr>
        <w:autoSpaceDE w:val="0"/>
        <w:autoSpaceDN w:val="0"/>
        <w:adjustRightInd w:val="0"/>
      </w:pPr>
      <w:r w:rsidRPr="00650FF1">
        <w:t>Decision of 10 May 2017 of the Management of the AESF, approving the update of the current version of ASFA Digital in Annex C, References to Legislation, of the Decision of 10 July 2009, of the Directorate-General for Railway Infrastructure, approving the ‘Technical Specification on the Approval of Railway Rolling Stock: Locomotives’.</w:t>
      </w:r>
    </w:p>
    <w:p w:rsidR="005C6E47" w:rsidRPr="00650FF1" w:rsidP="005C6E47">
      <w:pPr>
        <w:pStyle w:val="PUNTOS"/>
        <w:numPr>
          <w:ilvl w:val="0"/>
          <w:numId w:val="25"/>
        </w:numPr>
      </w:pPr>
      <w:r w:rsidRPr="00650FF1">
        <w:t>Decision of 10 May 2017 of the Management of the AESF, approving the update of the current version of ASFA Digital in Annex C, References to Legislation, of the Decision of 10 July 2009, of the Directorate-General for Railway Infrastructure, approving the ‘Technical Specification on the Approval of Railway Rolling Stock: Self-propelled Units’.</w:t>
      </w:r>
    </w:p>
    <w:p w:rsidR="005C6E47" w:rsidRPr="00650FF1" w:rsidP="005C6E47">
      <w:pPr>
        <w:pStyle w:val="PUNTOS"/>
        <w:numPr>
          <w:ilvl w:val="0"/>
          <w:numId w:val="25"/>
        </w:numPr>
      </w:pPr>
      <w:r w:rsidRPr="00650FF1">
        <w:t>Decision 1/2017 of the AESF, creating the guidance sheets to assist with the application of the Rail Traffic Regulations.</w:t>
      </w:r>
    </w:p>
    <w:p w:rsidR="005C6E47" w:rsidRPr="00650FF1" w:rsidP="005C6E47">
      <w:pPr>
        <w:pStyle w:val="PUNTOS"/>
        <w:numPr>
          <w:ilvl w:val="0"/>
          <w:numId w:val="25"/>
        </w:numPr>
      </w:pPr>
      <w:r w:rsidRPr="00650FF1">
        <w:t>Decision 2/2017 of the AESF, on national technical regulations relating to the Infrastructure, Energy, Persons with Reduced Mobility and Control, Command and Signalling TSIs and the bodies in charge of their verification.</w:t>
      </w:r>
    </w:p>
    <w:p w:rsidR="005C6E47" w:rsidRPr="00650FF1" w:rsidP="005C6E47">
      <w:pPr>
        <w:pStyle w:val="PUNTOS"/>
        <w:numPr>
          <w:ilvl w:val="0"/>
          <w:numId w:val="25"/>
        </w:numPr>
      </w:pPr>
      <w:r w:rsidRPr="00650FF1">
        <w:t>Decision 3/2017 of the AESF, explaining the tools and works machinery referred to in section 1.1 of the Technical Specification on the Approval of Auxiliary Rolling Stock.</w:t>
      </w:r>
    </w:p>
    <w:p w:rsidR="005C6E47" w:rsidRPr="00650FF1" w:rsidP="005C6E47">
      <w:pPr>
        <w:pStyle w:val="PUNTOS"/>
        <w:numPr>
          <w:ilvl w:val="0"/>
          <w:numId w:val="25"/>
        </w:numPr>
      </w:pPr>
      <w:r w:rsidRPr="00650FF1">
        <w:t xml:space="preserve">Decision 4/2017 of the AESF, establishing the annual calendar of examinations for the driver’s </w:t>
      </w:r>
      <w:r w:rsidRPr="00650FF1">
        <w:t>licence and diploma</w:t>
      </w:r>
      <w:r w:rsidRPr="00650FF1">
        <w:t xml:space="preserve"> and the criteria for requesting other examination dates.</w:t>
      </w:r>
    </w:p>
    <w:p w:rsidR="005C6E47" w:rsidRPr="00650FF1" w:rsidP="005C6E47">
      <w:pPr>
        <w:pStyle w:val="PUNTOS"/>
        <w:numPr>
          <w:ilvl w:val="0"/>
          <w:numId w:val="25"/>
        </w:numPr>
      </w:pPr>
      <w:r w:rsidRPr="00650FF1">
        <w:t>Decision 5/2017 of the AESF, announcing round-table meetings to coordinate and exchange experiences with regard to railway safety.</w:t>
      </w:r>
    </w:p>
    <w:p w:rsidR="005C6E47" w:rsidRPr="00650FF1" w:rsidP="005C6E47">
      <w:pPr>
        <w:pStyle w:val="PUNTOS"/>
        <w:numPr>
          <w:ilvl w:val="0"/>
          <w:numId w:val="0"/>
        </w:numPr>
        <w:ind w:left="426"/>
      </w:pPr>
    </w:p>
    <w:p w:rsidR="005C6E47" w:rsidRPr="00637CB5" w:rsidP="00637CB5">
      <w:pPr>
        <w:pStyle w:val="Subtitulo1"/>
        <w:ind w:left="360" w:hanging="360"/>
        <w:rPr>
          <w:lang w:val="es-ES_tradnl"/>
        </w:rPr>
      </w:pPr>
      <w:r w:rsidRPr="00637CB5">
        <w:rPr>
          <w:lang w:val="es-ES_tradnl"/>
        </w:rPr>
        <w:t>3. Application of the regulatory framework by railway undertakings</w:t>
      </w:r>
    </w:p>
    <w:p w:rsidR="005C6E47" w:rsidRPr="00650FF1" w:rsidP="005C6E47">
      <w:pPr>
        <w:pStyle w:val="Text1"/>
        <w:spacing w:before="240" w:after="120"/>
        <w:ind w:left="0"/>
        <w:rPr>
          <w:rFonts w:ascii="Calibri" w:hAnsi="Calibri" w:cs="Arial"/>
          <w:szCs w:val="24"/>
        </w:rPr>
      </w:pPr>
      <w:r w:rsidRPr="00650FF1">
        <w:rPr>
          <w:rFonts w:ascii="Calibri" w:hAnsi="Calibri"/>
          <w:szCs w:val="24"/>
        </w:rPr>
        <w:t>National undertakings are progressively achieving a better understanding of the European regulations, its concepts and obligations.</w:t>
      </w:r>
    </w:p>
    <w:p w:rsidR="005C6E47" w:rsidRPr="00650FF1" w:rsidP="005C6E47">
      <w:pPr>
        <w:pStyle w:val="Text1"/>
        <w:numPr>
          <w:ilvl w:val="0"/>
          <w:numId w:val="28"/>
        </w:numPr>
        <w:spacing w:before="240" w:after="120"/>
        <w:rPr>
          <w:rFonts w:ascii="Calibri" w:hAnsi="Calibri" w:cs="Arial"/>
          <w:szCs w:val="24"/>
        </w:rPr>
      </w:pPr>
      <w:r w:rsidRPr="00650FF1">
        <w:rPr>
          <w:rFonts w:ascii="Calibri" w:hAnsi="Calibri"/>
          <w:szCs w:val="24"/>
        </w:rPr>
        <w:t xml:space="preserve">As regards the use of management systems, railway undertakings and managers understand that they must be the basic elements </w:t>
      </w:r>
      <w:r w:rsidRPr="00650FF1">
        <w:rPr>
          <w:rFonts w:ascii="Calibri" w:hAnsi="Calibri"/>
          <w:szCs w:val="24"/>
        </w:rPr>
        <w:t>which determine their way of acting and that they must reduce the differences between the procedures of their management systems and their actual actions</w:t>
      </w:r>
      <w:r w:rsidRPr="00650FF1">
        <w:rPr>
          <w:rFonts w:ascii="Calibri" w:hAnsi="Calibri"/>
          <w:szCs w:val="24"/>
        </w:rPr>
        <w:t>.</w:t>
      </w:r>
    </w:p>
    <w:p w:rsidR="005C6E47" w:rsidRPr="00650FF1" w:rsidP="005C6E47">
      <w:pPr>
        <w:pStyle w:val="Text1"/>
        <w:spacing w:before="240" w:after="120"/>
        <w:ind w:left="720"/>
        <w:rPr>
          <w:rFonts w:ascii="Calibri" w:hAnsi="Calibri" w:cs="Arial"/>
          <w:szCs w:val="24"/>
        </w:rPr>
      </w:pPr>
      <w:r w:rsidRPr="00650FF1">
        <w:rPr>
          <w:rFonts w:ascii="Calibri" w:hAnsi="Calibri"/>
          <w:szCs w:val="24"/>
        </w:rPr>
        <w:t>Currently, the management systems already meet the criteria of Regulation (EU) No 1158/2010 of 9 December 2010, on a common safety method for assessing conformity with the requirements for obtaining railway safety certificates, and Regulation (EU) No 1169/2010 of 10 December, on a common safety method for assessing conformity with the requirements for obtaining a railway safety authorisation.</w:t>
      </w:r>
    </w:p>
    <w:p w:rsidR="005C6E47" w:rsidRPr="00650FF1" w:rsidP="005C6E47">
      <w:pPr>
        <w:pStyle w:val="Text1"/>
        <w:spacing w:before="240" w:after="120"/>
        <w:ind w:left="720"/>
        <w:rPr>
          <w:rFonts w:ascii="Calibri" w:hAnsi="Calibri" w:cs="Arial"/>
          <w:szCs w:val="24"/>
          <w:lang w:val="es-ES_tradnl"/>
        </w:rPr>
      </w:pPr>
    </w:p>
    <w:p w:rsidR="005C6E47" w:rsidRPr="00650FF1" w:rsidP="005C6E47">
      <w:pPr>
        <w:pStyle w:val="Text1"/>
        <w:numPr>
          <w:ilvl w:val="0"/>
          <w:numId w:val="28"/>
        </w:numPr>
        <w:spacing w:before="240" w:after="120"/>
        <w:rPr>
          <w:rFonts w:ascii="Calibri" w:hAnsi="Calibri" w:cs="Arial"/>
          <w:szCs w:val="24"/>
        </w:rPr>
      </w:pPr>
      <w:r w:rsidRPr="00650FF1">
        <w:rPr>
          <w:rFonts w:ascii="Calibri" w:hAnsi="Calibri"/>
          <w:szCs w:val="24"/>
        </w:rPr>
        <w:t>Regarding the application of the operation and traffic management technical specification for interoperability (OPE TSI), the approval of the Rail Traffic Regulations and the adaptation by undertakings and managers of their documents and procedures have paved the way for complying with it.</w:t>
      </w:r>
    </w:p>
    <w:p w:rsidR="005C6E47" w:rsidRPr="00650FF1" w:rsidP="005C6E47">
      <w:pPr>
        <w:pStyle w:val="Text1"/>
        <w:spacing w:before="240" w:after="120"/>
        <w:ind w:left="720"/>
        <w:rPr>
          <w:rFonts w:ascii="Calibri" w:hAnsi="Calibri" w:cs="Arial"/>
          <w:szCs w:val="24"/>
          <w:lang w:val="es-ES_tradnl"/>
        </w:rPr>
      </w:pPr>
    </w:p>
    <w:p w:rsidR="005C6E47" w:rsidRPr="00650FF1" w:rsidP="005C6E47">
      <w:pPr>
        <w:pStyle w:val="Text1"/>
        <w:numPr>
          <w:ilvl w:val="0"/>
          <w:numId w:val="28"/>
        </w:numPr>
        <w:spacing w:before="240" w:after="120"/>
        <w:rPr>
          <w:rFonts w:ascii="Calibri" w:hAnsi="Calibri" w:cs="Arial"/>
          <w:szCs w:val="24"/>
        </w:rPr>
      </w:pPr>
      <w:r w:rsidRPr="00650FF1">
        <w:rPr>
          <w:rFonts w:ascii="Calibri" w:hAnsi="Calibri"/>
          <w:szCs w:val="24"/>
        </w:rPr>
        <w:t>For the application of Regulation (EU) No 1078/2012 of 16 November 2012, on a common safety method for monitoring to be applied by railway undertakings, infrastructure managers after receiving a safety certificate or safety authorisation and by entities in charge of maintenance, national undertakings have a long tradition of implementing safety plans, including inspection actions, accompaniment, checks, etc., especially with regard to operating processes.</w:t>
      </w:r>
    </w:p>
    <w:p w:rsidR="005C6E47" w:rsidRPr="00650FF1" w:rsidP="005C6E47">
      <w:pPr>
        <w:pStyle w:val="Text1"/>
        <w:spacing w:before="240" w:after="120"/>
        <w:ind w:left="720"/>
        <w:rPr>
          <w:rFonts w:ascii="Calibri" w:hAnsi="Calibri" w:cs="Arial"/>
          <w:szCs w:val="24"/>
        </w:rPr>
      </w:pPr>
      <w:r w:rsidRPr="00650FF1">
        <w:rPr>
          <w:rFonts w:ascii="Calibri" w:hAnsi="Calibri"/>
          <w:szCs w:val="24"/>
        </w:rPr>
        <w:t xml:space="preserve">Nevertheless, there is still some room for improvement so that those </w:t>
      </w:r>
      <w:r w:rsidRPr="00650FF1">
        <w:rPr>
          <w:rFonts w:ascii="Calibri" w:hAnsi="Calibri"/>
          <w:szCs w:val="24"/>
        </w:rPr>
        <w:t>plans better</w:t>
      </w:r>
      <w:r w:rsidRPr="00650FF1">
        <w:rPr>
          <w:rFonts w:ascii="Calibri" w:hAnsi="Calibri"/>
          <w:szCs w:val="24"/>
        </w:rPr>
        <w:t xml:space="preserve"> respond to the strategies formalised. The development of the objectives of each undertaking </w:t>
      </w:r>
      <w:r w:rsidRPr="00650FF1">
        <w:rPr>
          <w:rFonts w:ascii="Calibri" w:hAnsi="Calibri"/>
          <w:szCs w:val="24"/>
        </w:rPr>
        <w:t>could also be improved</w:t>
      </w:r>
      <w:r w:rsidRPr="00650FF1">
        <w:rPr>
          <w:rFonts w:ascii="Calibri" w:hAnsi="Calibri"/>
          <w:szCs w:val="24"/>
        </w:rPr>
        <w:t>, as the indicators used are not always appropriate to the size and activity of each company.</w:t>
      </w:r>
    </w:p>
    <w:p w:rsidR="005C6E47" w:rsidRPr="00650FF1" w:rsidP="005C6E47">
      <w:pPr>
        <w:pStyle w:val="Text1"/>
        <w:spacing w:before="240" w:after="120"/>
        <w:ind w:left="720"/>
        <w:rPr>
          <w:rFonts w:ascii="Calibri" w:hAnsi="Calibri" w:cs="Arial"/>
          <w:szCs w:val="24"/>
          <w:lang w:val="es-ES_tradnl"/>
        </w:rPr>
      </w:pPr>
    </w:p>
    <w:p w:rsidR="005C6E47" w:rsidRPr="00650FF1" w:rsidP="005C6E47">
      <w:pPr>
        <w:pStyle w:val="Text1"/>
        <w:numPr>
          <w:ilvl w:val="0"/>
          <w:numId w:val="28"/>
        </w:numPr>
        <w:spacing w:before="240" w:after="120"/>
        <w:rPr>
          <w:rFonts w:ascii="Calibri" w:hAnsi="Calibri" w:cs="Arial"/>
          <w:szCs w:val="24"/>
        </w:rPr>
      </w:pPr>
      <w:r w:rsidRPr="00650FF1">
        <w:rPr>
          <w:rFonts w:ascii="Calibri" w:hAnsi="Calibri"/>
          <w:szCs w:val="24"/>
        </w:rPr>
        <w:t>With regard to Regulation (EU) No 402/2013 of 30 April 2013, on the common safety method for risk evaluation and assessment and repealing Regulation (EC) No 352/2009, and the approach to risk, see the following section.</w:t>
      </w:r>
    </w:p>
    <w:p w:rsidR="005C6E47" w:rsidRPr="00650FF1" w:rsidP="005C6E47">
      <w:pPr>
        <w:pStyle w:val="Text1"/>
        <w:spacing w:before="240" w:after="120"/>
        <w:ind w:left="0"/>
        <w:rPr>
          <w:rFonts w:ascii="Calibri" w:hAnsi="Calibri" w:cs="Arial"/>
          <w:szCs w:val="24"/>
          <w:lang w:val="es-ES_tradnl"/>
        </w:rPr>
      </w:pPr>
    </w:p>
    <w:p w:rsidR="005C6E47" w:rsidRPr="00650FF1" w:rsidP="005C6E47">
      <w:pPr>
        <w:pStyle w:val="Text1"/>
        <w:spacing w:before="240" w:after="120"/>
        <w:ind w:left="0"/>
        <w:rPr>
          <w:rFonts w:ascii="Calibri" w:hAnsi="Calibri" w:cs="Arial"/>
          <w:szCs w:val="24"/>
        </w:rPr>
      </w:pPr>
      <w:r w:rsidRPr="00650FF1">
        <w:rPr>
          <w:rFonts w:ascii="Calibri" w:hAnsi="Calibri"/>
          <w:szCs w:val="24"/>
        </w:rPr>
        <w:t>The AESF pays particular attention to all of these points in its supervision and assessment activities relating to safety management systems.</w:t>
      </w:r>
    </w:p>
    <w:p w:rsidR="005C6E47" w:rsidRPr="00650FF1" w:rsidP="005C6E47">
      <w:pPr>
        <w:pStyle w:val="Text1"/>
        <w:spacing w:before="240" w:after="120"/>
        <w:ind w:left="0"/>
        <w:rPr>
          <w:rFonts w:ascii="Calibri" w:hAnsi="Calibri" w:cs="Arial"/>
          <w:szCs w:val="24"/>
          <w:lang w:val="es-ES_tradnl"/>
        </w:rPr>
      </w:pPr>
    </w:p>
    <w:p w:rsidR="005C6E47" w:rsidRPr="00637CB5" w:rsidP="00637CB5">
      <w:pPr>
        <w:pStyle w:val="Subtitulo1"/>
        <w:ind w:left="360" w:hanging="360"/>
        <w:rPr>
          <w:lang w:val="es-ES_tradnl"/>
        </w:rPr>
      </w:pPr>
      <w:r w:rsidRPr="00637CB5">
        <w:rPr>
          <w:lang w:val="es-ES_tradnl"/>
        </w:rPr>
        <w:t>4.</w:t>
      </w:r>
      <w:r w:rsidRPr="00637CB5">
        <w:rPr>
          <w:lang w:val="es-ES_tradnl"/>
        </w:rPr>
        <w:tab/>
        <w:t>Application of Regulation (EU) No 402/2013 on risk evaluation and assessment</w:t>
      </w:r>
    </w:p>
    <w:p w:rsidR="005C6E47" w:rsidRPr="00650FF1" w:rsidP="005C6E47">
      <w:pPr>
        <w:pStyle w:val="Text1"/>
        <w:spacing w:before="240" w:after="120"/>
        <w:ind w:left="0"/>
        <w:rPr>
          <w:rFonts w:ascii="Calibri" w:hAnsi="Calibri"/>
          <w:szCs w:val="24"/>
        </w:rPr>
      </w:pPr>
      <w:r w:rsidRPr="00650FF1">
        <w:rPr>
          <w:rFonts w:ascii="Calibri" w:hAnsi="Calibri"/>
          <w:szCs w:val="24"/>
        </w:rPr>
        <w:t>This section responds to the requirement of Article 18(2) of Commission Implementing Regulation (EU) No 402/2013 of 30 April 2013, on the common safety method for risk evaluation and assessment, which states: 'Each national safety authority shall, in its annual safety report referred to in Article 18 of Directive 2004/49/EC, report on the experience of the proposers with the application of this Regulation and, where appropriate, its own experience.’</w:t>
      </w: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The generalised application of the methodology of Regulation No 402/2013 continued for </w:t>
      </w:r>
      <w:r w:rsidRPr="00650FF1">
        <w:rPr>
          <w:rFonts w:ascii="Calibri" w:hAnsi="Calibri"/>
          <w:b/>
          <w:smallCaps/>
          <w:szCs w:val="24"/>
        </w:rPr>
        <w:t>changes in rolling stock</w:t>
      </w:r>
      <w:r w:rsidRPr="00650FF1">
        <w:rPr>
          <w:rFonts w:ascii="Calibri" w:hAnsi="Calibri"/>
          <w:szCs w:val="24"/>
        </w:rPr>
        <w:t xml:space="preserve"> in 2017.</w:t>
      </w: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As data of interest, in 2017, 64 rolling stock files </w:t>
      </w:r>
      <w:r w:rsidRPr="00650FF1">
        <w:rPr>
          <w:rFonts w:ascii="Calibri" w:hAnsi="Calibri"/>
          <w:szCs w:val="24"/>
        </w:rPr>
        <w:t>were created</w:t>
      </w:r>
      <w:r w:rsidRPr="00650FF1">
        <w:rPr>
          <w:rFonts w:ascii="Calibri" w:hAnsi="Calibri"/>
          <w:szCs w:val="24"/>
        </w:rPr>
        <w:t xml:space="preserve">, comprising modifications not requiring authorisation of placing in service (43) and requests for authorisation of placing in service and modifications requiring authorisation of placing service (21). Including the files initialised in previous years, more than 100 modification files without authorisation of placing in service </w:t>
      </w:r>
      <w:r w:rsidRPr="00650FF1">
        <w:rPr>
          <w:rFonts w:ascii="Calibri" w:hAnsi="Calibri"/>
          <w:szCs w:val="24"/>
        </w:rPr>
        <w:t>were worked on</w:t>
      </w:r>
      <w:r w:rsidRPr="00650FF1">
        <w:rPr>
          <w:rFonts w:ascii="Calibri" w:hAnsi="Calibri"/>
          <w:szCs w:val="24"/>
        </w:rPr>
        <w:t xml:space="preserve"> in 2017.</w:t>
      </w:r>
    </w:p>
    <w:p w:rsidR="005C6E47" w:rsidRPr="00650FF1" w:rsidP="005C6E47">
      <w:pPr>
        <w:pStyle w:val="Text1"/>
        <w:spacing w:before="240" w:after="120"/>
        <w:ind w:left="0"/>
        <w:rPr>
          <w:rFonts w:ascii="Calibri" w:hAnsi="Calibri"/>
          <w:szCs w:val="24"/>
        </w:rPr>
      </w:pPr>
      <w:r w:rsidRPr="00650FF1">
        <w:rPr>
          <w:rFonts w:ascii="Calibri" w:hAnsi="Calibri"/>
          <w:szCs w:val="24"/>
        </w:rPr>
        <w:t>There was a notable increase in the number of files for the adaptation of foreign wagons to the Iberian gauge both in the context of the RIV and in the context of the TSI.</w:t>
      </w:r>
    </w:p>
    <w:p w:rsidR="005C6E47" w:rsidRPr="00650FF1" w:rsidP="005C6E47">
      <w:pPr>
        <w:pStyle w:val="Text1"/>
        <w:spacing w:before="240" w:after="120"/>
        <w:ind w:left="0"/>
        <w:rPr>
          <w:rFonts w:ascii="Calibri" w:hAnsi="Calibri"/>
          <w:szCs w:val="24"/>
        </w:rPr>
      </w:pPr>
      <w:r w:rsidRPr="00650FF1">
        <w:rPr>
          <w:rFonts w:ascii="Calibri" w:hAnsi="Calibri"/>
          <w:szCs w:val="24"/>
        </w:rPr>
        <w:t>The examples</w:t>
      </w:r>
      <w:r>
        <w:rPr>
          <w:rFonts w:ascii="Calibri" w:hAnsi="Calibri"/>
          <w:szCs w:val="24"/>
          <w:vertAlign w:val="superscript"/>
          <w:lang w:val="es-ES_tradnl"/>
        </w:rPr>
        <w:footnoteReference w:id="20"/>
      </w:r>
      <w:r w:rsidRPr="00650FF1">
        <w:rPr>
          <w:rFonts w:ascii="Calibri" w:hAnsi="Calibri"/>
          <w:szCs w:val="24"/>
        </w:rPr>
        <w:t xml:space="preserve"> listed below relate to practical applications of the legislation in the period covered by this report:</w:t>
      </w:r>
    </w:p>
    <w:p w:rsidR="005C6E47" w:rsidRPr="00650FF1" w:rsidP="005C6E47">
      <w:pPr>
        <w:pStyle w:val="PUNTOS2"/>
        <w:ind w:left="567"/>
        <w:rPr>
          <w:b w:val="0"/>
          <w:color w:val="auto"/>
        </w:rPr>
      </w:pPr>
      <w:r w:rsidRPr="00650FF1">
        <w:rPr>
          <w:b w:val="0"/>
          <w:color w:val="auto"/>
        </w:rPr>
        <w:t>Adaptation of national vehicles for international traffic and vice versa:</w:t>
      </w:r>
    </w:p>
    <w:p w:rsidR="005C6E47" w:rsidRPr="00650FF1" w:rsidP="005C6E47">
      <w:pPr>
        <w:pStyle w:val="PUNTOS"/>
        <w:numPr>
          <w:ilvl w:val="0"/>
          <w:numId w:val="8"/>
        </w:numPr>
        <w:tabs>
          <w:tab w:val="clear" w:pos="922"/>
          <w:tab w:val="num" w:pos="993"/>
        </w:tabs>
        <w:ind w:left="993"/>
        <w:rPr>
          <w:sz w:val="22"/>
        </w:rPr>
      </w:pPr>
      <w:r w:rsidRPr="00650FF1">
        <w:rPr>
          <w:sz w:val="22"/>
        </w:rPr>
        <w:t>Modification of axle and bogie platform wagons, rollers and hopper wagons for Iberian gauge.</w:t>
      </w:r>
    </w:p>
    <w:p w:rsidR="005C6E47" w:rsidRPr="00650FF1" w:rsidP="005C6E47">
      <w:pPr>
        <w:pStyle w:val="PUNTOS"/>
        <w:numPr>
          <w:ilvl w:val="0"/>
          <w:numId w:val="8"/>
        </w:numPr>
        <w:tabs>
          <w:tab w:val="clear" w:pos="922"/>
          <w:tab w:val="num" w:pos="993"/>
        </w:tabs>
        <w:ind w:left="993"/>
        <w:rPr>
          <w:sz w:val="22"/>
        </w:rPr>
      </w:pPr>
      <w:r w:rsidRPr="00650FF1">
        <w:rPr>
          <w:sz w:val="22"/>
        </w:rPr>
        <w:t>Adaptation of locomotives to the UIC gauge</w:t>
      </w:r>
    </w:p>
    <w:p w:rsidR="005C6E47" w:rsidRPr="00650FF1" w:rsidP="005C6E47">
      <w:pPr>
        <w:pStyle w:val="ListParagraph"/>
        <w:autoSpaceDE w:val="0"/>
        <w:autoSpaceDN w:val="0"/>
        <w:adjustRightInd w:val="0"/>
        <w:ind w:left="360"/>
        <w:jc w:val="both"/>
        <w:rPr>
          <w:rFonts w:cstheme="minorHAnsi"/>
          <w:lang w:val="es-ES_tradnl"/>
        </w:rPr>
      </w:pPr>
    </w:p>
    <w:p w:rsidR="005C6E47" w:rsidRPr="00650FF1" w:rsidP="005C6E47">
      <w:pPr>
        <w:pStyle w:val="PUNTOS2"/>
        <w:ind w:left="567"/>
        <w:rPr>
          <w:b w:val="0"/>
          <w:color w:val="auto"/>
        </w:rPr>
      </w:pPr>
      <w:r w:rsidRPr="00650FF1">
        <w:rPr>
          <w:b w:val="0"/>
          <w:color w:val="auto"/>
        </w:rPr>
        <w:t>Modifications relating to the modernisation and installation of communications equipment:</w:t>
      </w:r>
    </w:p>
    <w:p w:rsidR="005C6E47" w:rsidRPr="00650FF1" w:rsidP="005C6E47">
      <w:pPr>
        <w:pStyle w:val="PUNTOS"/>
        <w:numPr>
          <w:ilvl w:val="0"/>
          <w:numId w:val="8"/>
        </w:numPr>
        <w:tabs>
          <w:tab w:val="clear" w:pos="922"/>
          <w:tab w:val="num" w:pos="993"/>
        </w:tabs>
        <w:ind w:left="993"/>
        <w:rPr>
          <w:sz w:val="22"/>
        </w:rPr>
      </w:pPr>
      <w:r w:rsidRPr="00650FF1">
        <w:rPr>
          <w:sz w:val="22"/>
        </w:rPr>
        <w:t xml:space="preserve">Renewal of the ERTMS-ETCS equipment software of the control and signalling subsystem. </w:t>
      </w:r>
      <w:r w:rsidRPr="00650FF1">
        <w:rPr>
          <w:sz w:val="22"/>
        </w:rPr>
        <w:t>Unisig</w:t>
      </w:r>
      <w:r w:rsidRPr="00650FF1">
        <w:rPr>
          <w:sz w:val="22"/>
        </w:rPr>
        <w:t xml:space="preserve"> 2.3.0d functionality and national functions.</w:t>
      </w:r>
    </w:p>
    <w:p w:rsidR="005C6E47" w:rsidRPr="00650FF1" w:rsidP="005C6E47">
      <w:pPr>
        <w:pStyle w:val="PUNTOS"/>
        <w:numPr>
          <w:ilvl w:val="0"/>
          <w:numId w:val="8"/>
        </w:numPr>
        <w:tabs>
          <w:tab w:val="clear" w:pos="922"/>
          <w:tab w:val="num" w:pos="993"/>
        </w:tabs>
        <w:ind w:left="993"/>
        <w:rPr>
          <w:sz w:val="22"/>
        </w:rPr>
      </w:pPr>
      <w:r w:rsidRPr="00650FF1">
        <w:rPr>
          <w:sz w:val="22"/>
        </w:rPr>
        <w:t xml:space="preserve">Update of </w:t>
      </w:r>
      <w:r w:rsidRPr="00650FF1">
        <w:rPr>
          <w:sz w:val="22"/>
        </w:rPr>
        <w:t>Asfa</w:t>
      </w:r>
      <w:r w:rsidRPr="00650FF1">
        <w:rPr>
          <w:sz w:val="22"/>
        </w:rPr>
        <w:t xml:space="preserve"> Digital equipment.</w:t>
      </w:r>
    </w:p>
    <w:p w:rsidR="005C6E47" w:rsidRPr="00650FF1" w:rsidP="005C6E47">
      <w:pPr>
        <w:pStyle w:val="PUNTOS"/>
        <w:numPr>
          <w:ilvl w:val="0"/>
          <w:numId w:val="8"/>
        </w:numPr>
        <w:tabs>
          <w:tab w:val="clear" w:pos="922"/>
          <w:tab w:val="num" w:pos="993"/>
        </w:tabs>
        <w:ind w:left="993"/>
        <w:rPr>
          <w:sz w:val="22"/>
        </w:rPr>
      </w:pPr>
      <w:r w:rsidRPr="00650FF1">
        <w:rPr>
          <w:sz w:val="22"/>
        </w:rPr>
        <w:t xml:space="preserve">Modification of </w:t>
      </w:r>
      <w:r w:rsidRPr="00650FF1">
        <w:rPr>
          <w:sz w:val="22"/>
        </w:rPr>
        <w:t>Asfa</w:t>
      </w:r>
      <w:r w:rsidRPr="00650FF1">
        <w:rPr>
          <w:sz w:val="22"/>
        </w:rPr>
        <w:t xml:space="preserve"> Digital display.</w:t>
      </w:r>
    </w:p>
    <w:p w:rsidR="005C6E47" w:rsidRPr="00650FF1" w:rsidP="005C6E47">
      <w:pPr>
        <w:pStyle w:val="PUNTOS"/>
        <w:numPr>
          <w:ilvl w:val="0"/>
          <w:numId w:val="8"/>
        </w:numPr>
        <w:tabs>
          <w:tab w:val="clear" w:pos="922"/>
          <w:tab w:val="num" w:pos="993"/>
        </w:tabs>
        <w:ind w:left="993"/>
        <w:rPr>
          <w:sz w:val="22"/>
        </w:rPr>
      </w:pPr>
      <w:r w:rsidRPr="00650FF1">
        <w:rPr>
          <w:sz w:val="22"/>
        </w:rPr>
        <w:t>Introduction of Wi-Fi system in series 102 and 112.</w:t>
      </w:r>
    </w:p>
    <w:p w:rsidR="005C6E47" w:rsidRPr="00650FF1" w:rsidP="005C6E47">
      <w:pPr>
        <w:pStyle w:val="PUNTOS"/>
        <w:numPr>
          <w:ilvl w:val="0"/>
          <w:numId w:val="8"/>
        </w:numPr>
        <w:tabs>
          <w:tab w:val="clear" w:pos="922"/>
          <w:tab w:val="num" w:pos="993"/>
        </w:tabs>
        <w:ind w:left="993"/>
        <w:rPr>
          <w:sz w:val="22"/>
        </w:rPr>
      </w:pPr>
      <w:r w:rsidRPr="00650FF1">
        <w:rPr>
          <w:sz w:val="22"/>
        </w:rPr>
        <w:t>Installation of GPS module.</w:t>
      </w:r>
    </w:p>
    <w:p w:rsidR="005C6E47" w:rsidRPr="00650FF1" w:rsidP="005C6E47">
      <w:pPr>
        <w:pStyle w:val="ListParagraph"/>
        <w:autoSpaceDE w:val="0"/>
        <w:autoSpaceDN w:val="0"/>
        <w:adjustRightInd w:val="0"/>
        <w:ind w:left="360"/>
        <w:jc w:val="both"/>
        <w:rPr>
          <w:rFonts w:cstheme="minorHAnsi"/>
          <w:lang w:val="es-ES_tradnl"/>
        </w:rPr>
      </w:pPr>
    </w:p>
    <w:p w:rsidR="005C6E47" w:rsidRPr="00650FF1" w:rsidP="005C6E47">
      <w:pPr>
        <w:pStyle w:val="PUNTOS2"/>
        <w:ind w:left="567"/>
        <w:rPr>
          <w:b w:val="0"/>
          <w:color w:val="auto"/>
        </w:rPr>
      </w:pPr>
      <w:r w:rsidRPr="00650FF1">
        <w:rPr>
          <w:b w:val="0"/>
          <w:color w:val="auto"/>
        </w:rPr>
        <w:t>Technical modifications for improving the operation of mechanical elements of vehicles:</w:t>
      </w:r>
    </w:p>
    <w:p w:rsidR="005C6E47" w:rsidRPr="00650FF1" w:rsidP="005C6E47">
      <w:pPr>
        <w:pStyle w:val="PUNTOS"/>
        <w:numPr>
          <w:ilvl w:val="0"/>
          <w:numId w:val="8"/>
        </w:numPr>
        <w:tabs>
          <w:tab w:val="clear" w:pos="922"/>
          <w:tab w:val="num" w:pos="993"/>
        </w:tabs>
        <w:ind w:left="993"/>
        <w:rPr>
          <w:sz w:val="22"/>
        </w:rPr>
      </w:pPr>
      <w:r w:rsidRPr="00650FF1">
        <w:rPr>
          <w:sz w:val="22"/>
        </w:rPr>
        <w:t>Mechanisation of grease guns for wheel bearings.</w:t>
      </w:r>
    </w:p>
    <w:p w:rsidR="005C6E47" w:rsidRPr="00650FF1" w:rsidP="005C6E47">
      <w:pPr>
        <w:pStyle w:val="PUNTOS"/>
        <w:numPr>
          <w:ilvl w:val="0"/>
          <w:numId w:val="8"/>
        </w:numPr>
        <w:tabs>
          <w:tab w:val="clear" w:pos="922"/>
          <w:tab w:val="num" w:pos="993"/>
        </w:tabs>
        <w:ind w:left="993"/>
        <w:rPr>
          <w:sz w:val="22"/>
        </w:rPr>
      </w:pPr>
      <w:r w:rsidRPr="00650FF1">
        <w:rPr>
          <w:sz w:val="22"/>
        </w:rPr>
        <w:t>Fitting of the electrical supply installation for Reefer containers in wagons.</w:t>
      </w:r>
    </w:p>
    <w:p w:rsidR="005C6E47" w:rsidRPr="00650FF1" w:rsidP="005C6E47">
      <w:pPr>
        <w:pStyle w:val="PUNTOS"/>
        <w:numPr>
          <w:ilvl w:val="0"/>
          <w:numId w:val="8"/>
        </w:numPr>
        <w:tabs>
          <w:tab w:val="clear" w:pos="922"/>
          <w:tab w:val="num" w:pos="993"/>
        </w:tabs>
        <w:ind w:left="993"/>
        <w:rPr>
          <w:sz w:val="22"/>
        </w:rPr>
      </w:pPr>
      <w:r w:rsidRPr="00650FF1">
        <w:rPr>
          <w:sz w:val="22"/>
        </w:rPr>
        <w:t>Modification of the wagon suspension mounting.</w:t>
      </w:r>
    </w:p>
    <w:p w:rsidR="005C6E47" w:rsidRPr="00650FF1" w:rsidP="005C6E47">
      <w:pPr>
        <w:pStyle w:val="PUNTOS"/>
        <w:numPr>
          <w:ilvl w:val="0"/>
          <w:numId w:val="8"/>
        </w:numPr>
        <w:tabs>
          <w:tab w:val="clear" w:pos="922"/>
          <w:tab w:val="num" w:pos="993"/>
        </w:tabs>
        <w:ind w:left="993"/>
        <w:rPr>
          <w:sz w:val="22"/>
        </w:rPr>
      </w:pPr>
      <w:r w:rsidRPr="00650FF1">
        <w:rPr>
          <w:sz w:val="22"/>
        </w:rPr>
        <w:t>Knorr compressor alternative replacement.</w:t>
      </w:r>
    </w:p>
    <w:p w:rsidR="005C6E47" w:rsidRPr="00650FF1" w:rsidP="005C6E47">
      <w:pPr>
        <w:pStyle w:val="PUNTOS"/>
        <w:numPr>
          <w:ilvl w:val="0"/>
          <w:numId w:val="8"/>
        </w:numPr>
        <w:tabs>
          <w:tab w:val="clear" w:pos="922"/>
          <w:tab w:val="num" w:pos="993"/>
        </w:tabs>
        <w:ind w:left="993"/>
        <w:rPr>
          <w:sz w:val="22"/>
        </w:rPr>
      </w:pPr>
      <w:r w:rsidRPr="00650FF1">
        <w:rPr>
          <w:sz w:val="22"/>
        </w:rPr>
        <w:t>Replacement of coupling hatch.</w:t>
      </w:r>
    </w:p>
    <w:p w:rsidR="005C6E47" w:rsidRPr="00650FF1" w:rsidP="005C6E47">
      <w:pPr>
        <w:pStyle w:val="PUNTOS"/>
        <w:numPr>
          <w:ilvl w:val="0"/>
          <w:numId w:val="8"/>
        </w:numPr>
        <w:tabs>
          <w:tab w:val="clear" w:pos="922"/>
          <w:tab w:val="num" w:pos="993"/>
        </w:tabs>
        <w:ind w:left="993"/>
        <w:rPr>
          <w:sz w:val="22"/>
        </w:rPr>
      </w:pPr>
      <w:r w:rsidRPr="00650FF1">
        <w:rPr>
          <w:sz w:val="22"/>
        </w:rPr>
        <w:t>Fitting of type P51 AXLE OGI variable gauge axle with 920mm wheels.</w:t>
      </w:r>
    </w:p>
    <w:p w:rsidR="005C6E47" w:rsidRPr="00650FF1" w:rsidP="005C6E47">
      <w:pPr>
        <w:pStyle w:val="ListParagraph"/>
        <w:autoSpaceDE w:val="0"/>
        <w:autoSpaceDN w:val="0"/>
        <w:adjustRightInd w:val="0"/>
        <w:ind w:left="360"/>
        <w:jc w:val="both"/>
        <w:rPr>
          <w:rFonts w:cstheme="minorHAnsi"/>
          <w:lang w:val="es-ES_tradnl"/>
        </w:rPr>
      </w:pPr>
    </w:p>
    <w:p w:rsidR="005C6E47" w:rsidRPr="00650FF1" w:rsidP="005C6E47">
      <w:pPr>
        <w:pStyle w:val="PUNTOS2"/>
        <w:ind w:left="567"/>
        <w:rPr>
          <w:b w:val="0"/>
          <w:color w:val="auto"/>
        </w:rPr>
      </w:pPr>
      <w:r w:rsidRPr="00650FF1">
        <w:rPr>
          <w:b w:val="0"/>
          <w:color w:val="auto"/>
        </w:rPr>
        <w:t>Modifications that have significantly affected the structure of the vehicle:</w:t>
      </w:r>
    </w:p>
    <w:p w:rsidR="005C6E47" w:rsidRPr="00650FF1" w:rsidP="005C6E47">
      <w:pPr>
        <w:pStyle w:val="PUNTOS"/>
        <w:numPr>
          <w:ilvl w:val="0"/>
          <w:numId w:val="8"/>
        </w:numPr>
        <w:tabs>
          <w:tab w:val="clear" w:pos="922"/>
          <w:tab w:val="num" w:pos="993"/>
        </w:tabs>
        <w:ind w:left="993"/>
        <w:rPr>
          <w:sz w:val="22"/>
        </w:rPr>
      </w:pPr>
      <w:r w:rsidRPr="00650FF1">
        <w:rPr>
          <w:sz w:val="22"/>
        </w:rPr>
        <w:t>Comprehensive action.</w:t>
      </w:r>
    </w:p>
    <w:p w:rsidR="005C6E47" w:rsidRPr="00650FF1" w:rsidP="005C6E47">
      <w:pPr>
        <w:pStyle w:val="PUNTOS"/>
        <w:numPr>
          <w:ilvl w:val="0"/>
          <w:numId w:val="8"/>
        </w:numPr>
        <w:tabs>
          <w:tab w:val="clear" w:pos="922"/>
          <w:tab w:val="num" w:pos="993"/>
        </w:tabs>
        <w:ind w:left="993"/>
        <w:rPr>
          <w:sz w:val="22"/>
        </w:rPr>
      </w:pPr>
      <w:r w:rsidRPr="00650FF1">
        <w:rPr>
          <w:sz w:val="22"/>
        </w:rPr>
        <w:t>Replacement of the hazardous goods hoppers with the same or greater capacity and replacement of the bogie for loads of 22.5 tons/axle.</w:t>
      </w:r>
    </w:p>
    <w:p w:rsidR="005C6E47" w:rsidRPr="00650FF1" w:rsidP="005C6E47">
      <w:pPr>
        <w:pStyle w:val="PUNTOS"/>
        <w:numPr>
          <w:ilvl w:val="0"/>
          <w:numId w:val="8"/>
        </w:numPr>
        <w:tabs>
          <w:tab w:val="clear" w:pos="922"/>
          <w:tab w:val="num" w:pos="993"/>
        </w:tabs>
        <w:ind w:left="993"/>
        <w:rPr>
          <w:sz w:val="22"/>
        </w:rPr>
      </w:pPr>
      <w:r w:rsidRPr="00650FF1">
        <w:rPr>
          <w:sz w:val="22"/>
        </w:rPr>
        <w:t xml:space="preserve">Modification of </w:t>
      </w:r>
      <w:r w:rsidRPr="00650FF1">
        <w:rPr>
          <w:sz w:val="22"/>
        </w:rPr>
        <w:t>Hins</w:t>
      </w:r>
      <w:r w:rsidRPr="00650FF1">
        <w:rPr>
          <w:sz w:val="22"/>
        </w:rPr>
        <w:t xml:space="preserve"> and tank wagons for herbicide trains.</w:t>
      </w:r>
    </w:p>
    <w:p w:rsidR="005C6E47" w:rsidRPr="00650FF1" w:rsidP="005C6E47">
      <w:pPr>
        <w:pStyle w:val="PUNTOS"/>
        <w:numPr>
          <w:ilvl w:val="0"/>
          <w:numId w:val="8"/>
        </w:numPr>
        <w:tabs>
          <w:tab w:val="clear" w:pos="922"/>
          <w:tab w:val="num" w:pos="993"/>
        </w:tabs>
        <w:ind w:left="993"/>
        <w:rPr>
          <w:sz w:val="22"/>
        </w:rPr>
      </w:pPr>
      <w:r w:rsidRPr="00650FF1">
        <w:rPr>
          <w:sz w:val="22"/>
        </w:rPr>
        <w:t>Increase in the number of train seats with plugs in standard class.</w:t>
      </w:r>
    </w:p>
    <w:p w:rsidR="005C6E47" w:rsidRPr="00650FF1" w:rsidP="005C6E47">
      <w:pPr>
        <w:pStyle w:val="ListParagraph"/>
        <w:autoSpaceDE w:val="0"/>
        <w:autoSpaceDN w:val="0"/>
        <w:adjustRightInd w:val="0"/>
        <w:ind w:left="360"/>
        <w:jc w:val="both"/>
        <w:rPr>
          <w:rFonts w:cstheme="minorHAnsi"/>
          <w:lang w:val="es-ES_tradnl"/>
        </w:rPr>
      </w:pPr>
    </w:p>
    <w:p w:rsidR="005C6E47" w:rsidRPr="00650FF1" w:rsidP="005C6E47">
      <w:pPr>
        <w:pStyle w:val="PUNTOS2"/>
        <w:ind w:left="567"/>
        <w:rPr>
          <w:b w:val="0"/>
          <w:color w:val="auto"/>
        </w:rPr>
      </w:pPr>
      <w:r w:rsidRPr="00650FF1">
        <w:rPr>
          <w:b w:val="0"/>
          <w:color w:val="auto"/>
        </w:rPr>
        <w:t>Modifications to improve accessibility of trains for persons with reduced mobility:</w:t>
      </w:r>
    </w:p>
    <w:p w:rsidR="005C6E47" w:rsidRPr="00650FF1" w:rsidP="005C6E47">
      <w:pPr>
        <w:pStyle w:val="PUNTOS"/>
        <w:numPr>
          <w:ilvl w:val="0"/>
          <w:numId w:val="8"/>
        </w:numPr>
        <w:tabs>
          <w:tab w:val="clear" w:pos="922"/>
          <w:tab w:val="num" w:pos="993"/>
        </w:tabs>
        <w:ind w:left="993"/>
        <w:rPr>
          <w:sz w:val="22"/>
        </w:rPr>
      </w:pPr>
      <w:r w:rsidRPr="00650FF1">
        <w:rPr>
          <w:sz w:val="22"/>
        </w:rPr>
        <w:t>Modification to adapt medium-range vehicles to transport persons with reduced mobility.</w:t>
      </w:r>
    </w:p>
    <w:p w:rsidR="005C6E47" w:rsidRPr="00650FF1" w:rsidP="005C6E47">
      <w:pPr>
        <w:pStyle w:val="PUNTOS"/>
        <w:numPr>
          <w:ilvl w:val="0"/>
          <w:numId w:val="8"/>
        </w:numPr>
        <w:tabs>
          <w:tab w:val="clear" w:pos="922"/>
          <w:tab w:val="num" w:pos="993"/>
        </w:tabs>
        <w:ind w:left="993"/>
        <w:rPr>
          <w:sz w:val="22"/>
        </w:rPr>
      </w:pPr>
      <w:r w:rsidRPr="00650FF1">
        <w:rPr>
          <w:sz w:val="22"/>
        </w:rPr>
        <w:t>Modification to make vehicles accessible.</w:t>
      </w:r>
    </w:p>
    <w:p w:rsidR="005C6E47" w:rsidRPr="00650FF1" w:rsidP="005C6E47">
      <w:pPr>
        <w:pStyle w:val="ListParagraph"/>
        <w:autoSpaceDE w:val="0"/>
        <w:autoSpaceDN w:val="0"/>
        <w:adjustRightInd w:val="0"/>
        <w:ind w:left="360"/>
        <w:jc w:val="both"/>
        <w:rPr>
          <w:rFonts w:cstheme="minorHAnsi"/>
          <w:lang w:val="es-ES_tradnl"/>
        </w:rPr>
      </w:pPr>
    </w:p>
    <w:p w:rsidR="005C6E47" w:rsidRPr="00650FF1" w:rsidP="005C6E47">
      <w:pPr>
        <w:pStyle w:val="PUNTOS2"/>
        <w:ind w:left="567"/>
        <w:rPr>
          <w:b w:val="0"/>
          <w:color w:val="auto"/>
        </w:rPr>
      </w:pPr>
      <w:r w:rsidRPr="00650FF1">
        <w:rPr>
          <w:b w:val="0"/>
          <w:color w:val="auto"/>
        </w:rPr>
        <w:t>Modifications relating to the improvement of train processes.</w:t>
      </w:r>
    </w:p>
    <w:p w:rsidR="005C6E47" w:rsidRPr="00650FF1" w:rsidP="005C6E47">
      <w:pPr>
        <w:pStyle w:val="PUNTOS"/>
        <w:numPr>
          <w:ilvl w:val="0"/>
          <w:numId w:val="8"/>
        </w:numPr>
        <w:tabs>
          <w:tab w:val="clear" w:pos="922"/>
          <w:tab w:val="num" w:pos="993"/>
        </w:tabs>
        <w:ind w:left="993"/>
        <w:rPr>
          <w:sz w:val="22"/>
        </w:rPr>
      </w:pPr>
      <w:r w:rsidRPr="00650FF1">
        <w:rPr>
          <w:sz w:val="22"/>
        </w:rPr>
        <w:t>Redundancy of UC-40 auxiliary contacts in BL contactors in traction equipment.</w:t>
      </w:r>
    </w:p>
    <w:p w:rsidR="005C6E47" w:rsidRPr="00650FF1" w:rsidP="005C6E47">
      <w:pPr>
        <w:pStyle w:val="PUNTOS"/>
        <w:numPr>
          <w:ilvl w:val="0"/>
          <w:numId w:val="8"/>
        </w:numPr>
        <w:tabs>
          <w:tab w:val="clear" w:pos="922"/>
          <w:tab w:val="num" w:pos="993"/>
        </w:tabs>
        <w:ind w:left="993"/>
        <w:rPr>
          <w:sz w:val="22"/>
        </w:rPr>
      </w:pPr>
      <w:r w:rsidRPr="00650FF1">
        <w:rPr>
          <w:sz w:val="22"/>
        </w:rPr>
        <w:t>Mitigation of the effect of isolating inverters.</w:t>
      </w:r>
    </w:p>
    <w:p w:rsidR="005C6E47" w:rsidRPr="00650FF1" w:rsidP="005C6E47">
      <w:pPr>
        <w:pStyle w:val="PUNTOS"/>
        <w:numPr>
          <w:ilvl w:val="0"/>
          <w:numId w:val="8"/>
        </w:numPr>
        <w:tabs>
          <w:tab w:val="clear" w:pos="922"/>
          <w:tab w:val="num" w:pos="993"/>
        </w:tabs>
        <w:ind w:left="993"/>
        <w:rPr>
          <w:sz w:val="22"/>
        </w:rPr>
      </w:pPr>
      <w:r w:rsidRPr="00650FF1">
        <w:rPr>
          <w:sz w:val="22"/>
        </w:rPr>
        <w:t>Improvement of traction equipment.</w:t>
      </w:r>
    </w:p>
    <w:p w:rsidR="005C6E47" w:rsidRPr="00650FF1" w:rsidP="005C6E47">
      <w:pPr>
        <w:pStyle w:val="PUNTOS"/>
        <w:numPr>
          <w:ilvl w:val="0"/>
          <w:numId w:val="8"/>
        </w:numPr>
        <w:tabs>
          <w:tab w:val="clear" w:pos="922"/>
          <w:tab w:val="num" w:pos="993"/>
        </w:tabs>
        <w:ind w:left="993"/>
        <w:rPr>
          <w:sz w:val="22"/>
        </w:rPr>
      </w:pPr>
      <w:r w:rsidRPr="00650FF1">
        <w:rPr>
          <w:sz w:val="22"/>
        </w:rPr>
        <w:t>Introduction of the audio and video recording system.</w:t>
      </w:r>
    </w:p>
    <w:p w:rsidR="005C6E47" w:rsidRPr="00650FF1" w:rsidP="005C6E47">
      <w:pPr>
        <w:pStyle w:val="PUNTOS"/>
        <w:numPr>
          <w:ilvl w:val="0"/>
          <w:numId w:val="8"/>
        </w:numPr>
        <w:tabs>
          <w:tab w:val="clear" w:pos="922"/>
          <w:tab w:val="num" w:pos="993"/>
        </w:tabs>
        <w:ind w:left="993"/>
        <w:rPr>
          <w:sz w:val="22"/>
        </w:rPr>
      </w:pPr>
      <w:r w:rsidRPr="00650FF1">
        <w:rPr>
          <w:sz w:val="22"/>
        </w:rPr>
        <w:t xml:space="preserve">On-board </w:t>
      </w:r>
      <w:r w:rsidRPr="00650FF1">
        <w:rPr>
          <w:sz w:val="22"/>
        </w:rPr>
        <w:t>hot box</w:t>
      </w:r>
      <w:r w:rsidRPr="00650FF1">
        <w:rPr>
          <w:sz w:val="22"/>
        </w:rPr>
        <w:t xml:space="preserve"> detection.</w:t>
      </w:r>
    </w:p>
    <w:p w:rsidR="005C6E47" w:rsidRPr="00650FF1" w:rsidP="005C6E47">
      <w:pPr>
        <w:pStyle w:val="PUNTOS"/>
        <w:numPr>
          <w:ilvl w:val="0"/>
          <w:numId w:val="8"/>
        </w:numPr>
        <w:tabs>
          <w:tab w:val="clear" w:pos="922"/>
          <w:tab w:val="num" w:pos="993"/>
        </w:tabs>
        <w:ind w:left="993"/>
        <w:rPr>
          <w:sz w:val="22"/>
        </w:rPr>
      </w:pPr>
      <w:r w:rsidRPr="00650FF1">
        <w:rPr>
          <w:sz w:val="22"/>
        </w:rPr>
        <w:t>Modification of the introduction of the remote control system for resetting the alarm equipment.</w:t>
      </w:r>
    </w:p>
    <w:p w:rsidR="005C6E47" w:rsidRPr="00650FF1" w:rsidP="005C6E47">
      <w:pPr>
        <w:pStyle w:val="PUNTOS"/>
        <w:numPr>
          <w:ilvl w:val="0"/>
          <w:numId w:val="8"/>
        </w:numPr>
        <w:tabs>
          <w:tab w:val="clear" w:pos="922"/>
          <w:tab w:val="num" w:pos="993"/>
        </w:tabs>
        <w:ind w:left="993"/>
        <w:rPr>
          <w:sz w:val="22"/>
        </w:rPr>
      </w:pPr>
      <w:r w:rsidRPr="00650FF1">
        <w:rPr>
          <w:sz w:val="22"/>
        </w:rPr>
        <w:t>Functionality of the brake override button following operation of passenger alarm handles.</w:t>
      </w:r>
      <w:r w:rsidRPr="00650FF1">
        <w:rPr>
          <w:sz w:val="22"/>
        </w:rPr>
        <w:tab/>
      </w:r>
      <w:r w:rsidRPr="00650FF1">
        <w:rPr>
          <w:sz w:val="22"/>
        </w:rPr>
        <w:br/>
      </w:r>
    </w:p>
    <w:p w:rsidR="005C6E47" w:rsidRPr="00650FF1" w:rsidP="005C6E47">
      <w:pPr>
        <w:pStyle w:val="PUNTOS2"/>
        <w:ind w:left="567"/>
        <w:rPr>
          <w:b w:val="0"/>
          <w:color w:val="auto"/>
        </w:rPr>
      </w:pPr>
      <w:r w:rsidRPr="00650FF1">
        <w:rPr>
          <w:b w:val="0"/>
          <w:color w:val="auto"/>
        </w:rPr>
        <w:t>Modifications of software on vehicles of different types, such as:</w:t>
      </w:r>
    </w:p>
    <w:p w:rsidR="005C6E47" w:rsidRPr="00650FF1" w:rsidP="005C6E47">
      <w:pPr>
        <w:pStyle w:val="PUNTOS"/>
        <w:numPr>
          <w:ilvl w:val="0"/>
          <w:numId w:val="8"/>
        </w:numPr>
        <w:tabs>
          <w:tab w:val="clear" w:pos="922"/>
          <w:tab w:val="num" w:pos="993"/>
        </w:tabs>
        <w:ind w:left="993"/>
        <w:rPr>
          <w:sz w:val="22"/>
        </w:rPr>
      </w:pPr>
      <w:r w:rsidRPr="00650FF1">
        <w:rPr>
          <w:sz w:val="22"/>
        </w:rPr>
        <w:t>Modification of the SIE 5.2 boarding computer system.</w:t>
      </w:r>
    </w:p>
    <w:p w:rsidR="005C6E47" w:rsidRPr="00650FF1" w:rsidP="005C6E47">
      <w:pPr>
        <w:pStyle w:val="PUNTOS"/>
        <w:numPr>
          <w:ilvl w:val="0"/>
          <w:numId w:val="8"/>
        </w:numPr>
        <w:tabs>
          <w:tab w:val="clear" w:pos="922"/>
          <w:tab w:val="num" w:pos="993"/>
        </w:tabs>
        <w:ind w:left="993"/>
        <w:rPr>
          <w:sz w:val="22"/>
        </w:rPr>
      </w:pPr>
      <w:r w:rsidRPr="00650FF1">
        <w:rPr>
          <w:sz w:val="22"/>
        </w:rPr>
        <w:t>Change of software in ECV, GW, WSP and PS equipment.</w:t>
      </w:r>
    </w:p>
    <w:p w:rsidR="005C6E47" w:rsidRPr="00650FF1" w:rsidP="005C6E47">
      <w:pPr>
        <w:pStyle w:val="PUNTOS"/>
        <w:numPr>
          <w:ilvl w:val="0"/>
          <w:numId w:val="8"/>
        </w:numPr>
        <w:tabs>
          <w:tab w:val="clear" w:pos="922"/>
          <w:tab w:val="num" w:pos="993"/>
        </w:tabs>
        <w:ind w:left="993"/>
        <w:rPr>
          <w:sz w:val="22"/>
        </w:rPr>
      </w:pPr>
      <w:r w:rsidRPr="00650FF1">
        <w:rPr>
          <w:sz w:val="22"/>
        </w:rPr>
        <w:t>Modification of the 0.2.1.9 vehicle control software.</w:t>
      </w:r>
    </w:p>
    <w:p w:rsidR="005C6E47" w:rsidRPr="00650FF1" w:rsidP="005C6E47">
      <w:pPr>
        <w:pStyle w:val="PUNTOS"/>
        <w:numPr>
          <w:ilvl w:val="0"/>
          <w:numId w:val="8"/>
        </w:numPr>
        <w:tabs>
          <w:tab w:val="clear" w:pos="922"/>
          <w:tab w:val="num" w:pos="993"/>
        </w:tabs>
        <w:ind w:left="993"/>
        <w:rPr>
          <w:sz w:val="22"/>
        </w:rPr>
      </w:pPr>
      <w:r w:rsidRPr="00650FF1">
        <w:rPr>
          <w:sz w:val="22"/>
        </w:rPr>
        <w:t xml:space="preserve">Modification of the </w:t>
      </w:r>
      <w:r w:rsidRPr="00650FF1">
        <w:rPr>
          <w:sz w:val="22"/>
        </w:rPr>
        <w:t>passenger announcement system software</w:t>
      </w:r>
      <w:r w:rsidRPr="00650FF1">
        <w:rPr>
          <w:sz w:val="22"/>
        </w:rPr>
        <w:t>.</w:t>
      </w:r>
    </w:p>
    <w:p w:rsidR="005C6E47" w:rsidRPr="00650FF1" w:rsidP="005C6E47">
      <w:pPr>
        <w:pStyle w:val="PUNTOS"/>
        <w:numPr>
          <w:ilvl w:val="0"/>
          <w:numId w:val="8"/>
        </w:numPr>
        <w:tabs>
          <w:tab w:val="clear" w:pos="922"/>
          <w:tab w:val="num" w:pos="993"/>
        </w:tabs>
        <w:ind w:left="993"/>
        <w:rPr>
          <w:sz w:val="22"/>
        </w:rPr>
      </w:pPr>
      <w:r w:rsidRPr="00650FF1">
        <w:rPr>
          <w:sz w:val="22"/>
        </w:rPr>
        <w:t>Improvements relating to the metre-gauge diagnosis in series system.</w:t>
      </w:r>
    </w:p>
    <w:p w:rsidR="005C6E47" w:rsidRPr="00650FF1" w:rsidP="005C6E47">
      <w:pPr>
        <w:pStyle w:val="PUNTOS"/>
        <w:numPr>
          <w:ilvl w:val="0"/>
          <w:numId w:val="8"/>
        </w:numPr>
        <w:tabs>
          <w:tab w:val="clear" w:pos="922"/>
          <w:tab w:val="num" w:pos="993"/>
        </w:tabs>
        <w:ind w:left="993"/>
        <w:rPr>
          <w:sz w:val="22"/>
        </w:rPr>
      </w:pPr>
      <w:r w:rsidRPr="00650FF1">
        <w:rPr>
          <w:sz w:val="22"/>
        </w:rPr>
        <w:t>Modification of the ATESS V 3.2 software.</w:t>
      </w:r>
    </w:p>
    <w:p w:rsidR="005C6E47" w:rsidRPr="00650FF1" w:rsidP="005C6E47">
      <w:pPr>
        <w:pStyle w:val="Text1"/>
        <w:spacing w:before="240" w:after="120"/>
        <w:ind w:left="0"/>
        <w:rPr>
          <w:rFonts w:ascii="Calibri" w:hAnsi="Calibri"/>
        </w:rPr>
      </w:pPr>
      <w:r w:rsidRPr="00650FF1">
        <w:rPr>
          <w:rFonts w:ascii="Calibri" w:hAnsi="Calibri"/>
        </w:rPr>
        <w:t xml:space="preserve">Furthermore, in 2017 the railway infrastructure managers </w:t>
      </w:r>
      <w:r w:rsidRPr="00650FF1">
        <w:rPr>
          <w:rFonts w:ascii="Calibri" w:hAnsi="Calibri"/>
          <w:b/>
        </w:rPr>
        <w:t>Adif</w:t>
      </w:r>
      <w:r w:rsidRPr="00650FF1">
        <w:rPr>
          <w:rFonts w:ascii="Calibri" w:hAnsi="Calibri"/>
          <w:b/>
        </w:rPr>
        <w:t xml:space="preserve"> and </w:t>
      </w:r>
      <w:r w:rsidRPr="00650FF1">
        <w:rPr>
          <w:rFonts w:ascii="Calibri" w:hAnsi="Calibri"/>
          <w:b/>
        </w:rPr>
        <w:t>Adif</w:t>
      </w:r>
      <w:r w:rsidRPr="00650FF1">
        <w:rPr>
          <w:rFonts w:ascii="Calibri" w:hAnsi="Calibri"/>
          <w:b/>
        </w:rPr>
        <w:t xml:space="preserve"> AV</w:t>
      </w:r>
      <w:r w:rsidRPr="00650FF1">
        <w:rPr>
          <w:rFonts w:ascii="Calibri" w:hAnsi="Calibri"/>
        </w:rPr>
        <w:t xml:space="preserve"> continued with </w:t>
      </w:r>
      <w:r w:rsidRPr="00650FF1">
        <w:rPr>
          <w:rFonts w:ascii="Calibri" w:hAnsi="Calibri"/>
          <w:b/>
          <w:smallCaps/>
        </w:rPr>
        <w:t>training actions on methodology in the identification and development of risks</w:t>
      </w:r>
      <w:r w:rsidRPr="00650FF1">
        <w:rPr>
          <w:rFonts w:ascii="Calibri" w:hAnsi="Calibri"/>
        </w:rPr>
        <w:t xml:space="preserve"> (Regulation (EU) No 402/2013), contributing general guidelines to be followed in the different areas of activity. These training actions will continue in 2018 with the aim of supporting the staff whose responsibility and function it is to apply the procedures.</w:t>
      </w:r>
    </w:p>
    <w:p w:rsidR="005C6E47" w:rsidRPr="00650FF1" w:rsidP="005C6E47">
      <w:pPr>
        <w:pStyle w:val="Text1"/>
        <w:spacing w:before="240" w:after="120"/>
        <w:ind w:left="0"/>
        <w:rPr>
          <w:rFonts w:ascii="Calibri" w:hAnsi="Calibri"/>
        </w:rPr>
      </w:pPr>
      <w:r w:rsidRPr="00650FF1">
        <w:rPr>
          <w:rFonts w:ascii="Calibri" w:hAnsi="Calibri"/>
        </w:rPr>
        <w:t xml:space="preserve">Notable in 2017 was the application of the risk analysis, by infrastructure managers, in the </w:t>
      </w:r>
      <w:r w:rsidRPr="00650FF1">
        <w:rPr>
          <w:rFonts w:ascii="Calibri" w:hAnsi="Calibri"/>
          <w:b/>
          <w:smallCaps/>
        </w:rPr>
        <w:t>processes for new lines or changes to the installations</w:t>
      </w:r>
      <w:r w:rsidRPr="00650FF1">
        <w:rPr>
          <w:rFonts w:ascii="Calibri" w:hAnsi="Calibri"/>
        </w:rPr>
        <w:t>. Infrastructure managers thus continue to incorporate internal practices to identify and assess the impact of changes introduced in the works. Some of the applications in 2017 were:</w:t>
      </w:r>
    </w:p>
    <w:p w:rsidR="005C6E47" w:rsidRPr="00650FF1" w:rsidP="005C6E47">
      <w:pPr>
        <w:pStyle w:val="PUNTOS"/>
        <w:numPr>
          <w:ilvl w:val="0"/>
          <w:numId w:val="8"/>
        </w:numPr>
        <w:tabs>
          <w:tab w:val="clear" w:pos="922"/>
          <w:tab w:val="num" w:pos="993"/>
        </w:tabs>
        <w:ind w:left="993"/>
        <w:rPr>
          <w:sz w:val="22"/>
        </w:rPr>
      </w:pPr>
      <w:r w:rsidRPr="00650FF1">
        <w:rPr>
          <w:sz w:val="22"/>
        </w:rPr>
        <w:t>Placing in service of new lines.</w:t>
      </w:r>
    </w:p>
    <w:p w:rsidR="005C6E47" w:rsidRPr="00650FF1" w:rsidP="005C6E47">
      <w:pPr>
        <w:pStyle w:val="PUNTOS"/>
        <w:numPr>
          <w:ilvl w:val="0"/>
          <w:numId w:val="8"/>
        </w:numPr>
        <w:tabs>
          <w:tab w:val="clear" w:pos="922"/>
          <w:tab w:val="num" w:pos="993"/>
        </w:tabs>
        <w:ind w:left="993"/>
        <w:rPr>
          <w:sz w:val="22"/>
        </w:rPr>
      </w:pPr>
      <w:r w:rsidRPr="00650FF1">
        <w:rPr>
          <w:sz w:val="22"/>
        </w:rPr>
        <w:t>Placing in service of the energy subsystem for the electrification of lines.</w:t>
      </w:r>
    </w:p>
    <w:p w:rsidR="005C6E47" w:rsidRPr="00650FF1" w:rsidP="005C6E47">
      <w:pPr>
        <w:pStyle w:val="PUNTOS"/>
        <w:numPr>
          <w:ilvl w:val="0"/>
          <w:numId w:val="8"/>
        </w:numPr>
        <w:tabs>
          <w:tab w:val="clear" w:pos="922"/>
          <w:tab w:val="num" w:pos="993"/>
        </w:tabs>
        <w:ind w:left="993"/>
        <w:rPr>
          <w:sz w:val="22"/>
        </w:rPr>
      </w:pPr>
      <w:r w:rsidRPr="00650FF1">
        <w:rPr>
          <w:sz w:val="22"/>
        </w:rPr>
        <w:t>Analysis of changes in the operating conditions of lines.</w:t>
      </w:r>
    </w:p>
    <w:p w:rsidR="005C6E47" w:rsidRPr="00650FF1" w:rsidP="005C6E47">
      <w:pPr>
        <w:pStyle w:val="PUNTOS"/>
        <w:numPr>
          <w:ilvl w:val="0"/>
          <w:numId w:val="8"/>
        </w:numPr>
        <w:tabs>
          <w:tab w:val="clear" w:pos="922"/>
          <w:tab w:val="num" w:pos="993"/>
        </w:tabs>
        <w:ind w:left="993"/>
        <w:rPr>
          <w:sz w:val="22"/>
        </w:rPr>
      </w:pPr>
      <w:r w:rsidRPr="00650FF1">
        <w:rPr>
          <w:sz w:val="22"/>
        </w:rPr>
        <w:t xml:space="preserve">Analysis of changes in the lateral signalling </w:t>
      </w:r>
      <w:r w:rsidRPr="00650FF1">
        <w:rPr>
          <w:sz w:val="22"/>
        </w:rPr>
        <w:t>as a result</w:t>
      </w:r>
      <w:r w:rsidRPr="00650FF1">
        <w:rPr>
          <w:sz w:val="22"/>
        </w:rPr>
        <w:t xml:space="preserve"> of its adaptation to the RCF.</w:t>
      </w:r>
    </w:p>
    <w:p w:rsidR="005C6E47" w:rsidRPr="00650FF1" w:rsidP="005C6E47">
      <w:pPr>
        <w:pStyle w:val="Text1"/>
        <w:spacing w:before="240" w:after="120"/>
        <w:ind w:left="0"/>
        <w:rPr>
          <w:rFonts w:ascii="Calibri" w:hAnsi="Calibri"/>
        </w:rPr>
      </w:pPr>
      <w:r w:rsidRPr="00650FF1">
        <w:rPr>
          <w:rFonts w:ascii="Calibri" w:hAnsi="Calibri"/>
        </w:rPr>
        <w:t>At the same time, within the process of applying Regulation (EU) No 402/2013, the managers are coordinating the mechanisms for exchanging information with other actors, such as railway undertakings, in order to determine and manage jointly the hazards and safety measures associated with the changes made.</w:t>
      </w: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Within the guidelines for issuing the annual reports, the AESF is calling for information from railway undertakings and railway managers about the application of Regulation (EU) No 402/2013 in other areas, </w:t>
      </w:r>
      <w:r w:rsidRPr="00650FF1">
        <w:rPr>
          <w:rFonts w:ascii="Calibri" w:hAnsi="Calibri"/>
          <w:szCs w:val="24"/>
        </w:rPr>
        <w:t>as a result</w:t>
      </w:r>
      <w:r w:rsidRPr="00650FF1">
        <w:rPr>
          <w:rFonts w:ascii="Calibri" w:hAnsi="Calibri"/>
          <w:szCs w:val="24"/>
        </w:rPr>
        <w:t xml:space="preserve"> of the application of the risk management procedures of their safety management systems.</w:t>
      </w: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Through the annual reports or the documents provided in different procedures or during supervision, the railway undertakings have informed the AESF about the application of the Regulation’s methodology to other </w:t>
      </w:r>
      <w:r w:rsidRPr="00650FF1">
        <w:rPr>
          <w:rFonts w:ascii="Calibri" w:hAnsi="Calibri"/>
          <w:b/>
          <w:smallCaps/>
          <w:szCs w:val="24"/>
        </w:rPr>
        <w:t>organisational and operational changes</w:t>
      </w:r>
      <w:r w:rsidRPr="00650FF1">
        <w:rPr>
          <w:rFonts w:ascii="Calibri" w:hAnsi="Calibri"/>
          <w:szCs w:val="24"/>
        </w:rPr>
        <w:t>, such as the following:</w:t>
      </w:r>
    </w:p>
    <w:p w:rsidR="005C6E47" w:rsidRPr="00650FF1" w:rsidP="005C6E47">
      <w:pPr>
        <w:pStyle w:val="PUNTOS"/>
        <w:numPr>
          <w:ilvl w:val="0"/>
          <w:numId w:val="8"/>
        </w:numPr>
        <w:tabs>
          <w:tab w:val="clear" w:pos="922"/>
          <w:tab w:val="num" w:pos="993"/>
        </w:tabs>
        <w:ind w:left="993"/>
      </w:pPr>
      <w:r w:rsidRPr="00650FF1">
        <w:t>The extension of the safety management systems of undertakings to operate in other areas.</w:t>
      </w:r>
    </w:p>
    <w:p w:rsidR="005C6E47" w:rsidRPr="00650FF1" w:rsidP="005C6E47">
      <w:pPr>
        <w:pStyle w:val="PUNTOS"/>
        <w:numPr>
          <w:ilvl w:val="0"/>
          <w:numId w:val="8"/>
        </w:numPr>
        <w:tabs>
          <w:tab w:val="clear" w:pos="922"/>
          <w:tab w:val="num" w:pos="993"/>
        </w:tabs>
        <w:ind w:left="993"/>
      </w:pPr>
      <w:r w:rsidRPr="00650FF1">
        <w:t xml:space="preserve">How safety management systems </w:t>
      </w:r>
      <w:r w:rsidRPr="00650FF1">
        <w:t>are affected</w:t>
      </w:r>
      <w:r w:rsidRPr="00650FF1">
        <w:t xml:space="preserve"> by organisational changes.</w:t>
      </w:r>
    </w:p>
    <w:p w:rsidR="005C6E47" w:rsidRPr="00650FF1" w:rsidP="005C6E47">
      <w:pPr>
        <w:pStyle w:val="PUNTOS"/>
        <w:numPr>
          <w:ilvl w:val="0"/>
          <w:numId w:val="8"/>
        </w:numPr>
        <w:tabs>
          <w:tab w:val="clear" w:pos="922"/>
          <w:tab w:val="num" w:pos="993"/>
        </w:tabs>
        <w:ind w:left="993"/>
      </w:pPr>
      <w:r w:rsidRPr="00650FF1">
        <w:t xml:space="preserve">Analysis of the impact of expanding the scope of operation, due to new lines going into operation or new trains </w:t>
      </w:r>
      <w:r w:rsidRPr="00650FF1">
        <w:t>being brought</w:t>
      </w:r>
      <w:r w:rsidRPr="00650FF1">
        <w:t xml:space="preserve"> into operation.</w:t>
      </w:r>
    </w:p>
    <w:p w:rsidR="005C6E47" w:rsidRPr="00650FF1" w:rsidP="005C6E47">
      <w:pPr>
        <w:pStyle w:val="PUNTOS"/>
        <w:numPr>
          <w:ilvl w:val="0"/>
          <w:numId w:val="8"/>
        </w:numPr>
        <w:tabs>
          <w:tab w:val="clear" w:pos="922"/>
          <w:tab w:val="num" w:pos="993"/>
        </w:tabs>
        <w:ind w:left="993"/>
      </w:pPr>
      <w:r w:rsidRPr="00650FF1">
        <w:t>The impact of changes on the operating regulations resulting from the Rail Traffic Regulations.</w:t>
      </w:r>
    </w:p>
    <w:p w:rsidR="005C6E47" w:rsidRPr="00650FF1" w:rsidP="005C6E47">
      <w:pPr>
        <w:pStyle w:val="PUNTOS"/>
        <w:numPr>
          <w:ilvl w:val="0"/>
          <w:numId w:val="8"/>
        </w:numPr>
        <w:tabs>
          <w:tab w:val="clear" w:pos="922"/>
          <w:tab w:val="num" w:pos="993"/>
        </w:tabs>
        <w:ind w:left="993"/>
      </w:pPr>
      <w:r w:rsidRPr="00650FF1">
        <w:t>The introduction of new electronic devices for use when driving.</w:t>
      </w:r>
    </w:p>
    <w:p w:rsidR="005C6E47" w:rsidRPr="00650FF1" w:rsidP="005C6E47">
      <w:pPr>
        <w:pStyle w:val="PUNTOS"/>
        <w:numPr>
          <w:ilvl w:val="0"/>
          <w:numId w:val="8"/>
        </w:numPr>
        <w:tabs>
          <w:tab w:val="clear" w:pos="922"/>
          <w:tab w:val="num" w:pos="993"/>
        </w:tabs>
        <w:ind w:left="993"/>
      </w:pPr>
      <w:r w:rsidRPr="00650FF1">
        <w:t>The assessment of changes in vehicle maintenance plans.</w:t>
      </w: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As regards entities in charge of maintenance, the AESF, as the certification body for such entities, has been able to assess compliance with Regulation (EU) No 402/2013 in its audits. </w:t>
      </w:r>
      <w:r w:rsidRPr="00650FF1">
        <w:rPr>
          <w:rFonts w:ascii="Calibri" w:hAnsi="Calibri"/>
          <w:szCs w:val="24"/>
        </w:rPr>
        <w:t>As a general rule</w:t>
      </w:r>
      <w:r w:rsidRPr="00650FF1">
        <w:rPr>
          <w:rFonts w:ascii="Calibri" w:hAnsi="Calibri"/>
          <w:szCs w:val="24"/>
        </w:rPr>
        <w:t xml:space="preserve">, its application in most of the certified ECM could be verified, although it was mainly focused on the management of technical changes. Progressively there has been an improvement in the application in the management of other types of changes, such as those of procedures, organisation, personnel or </w:t>
      </w:r>
      <w:r w:rsidRPr="00650FF1">
        <w:rPr>
          <w:rFonts w:ascii="Calibri" w:hAnsi="Calibri"/>
          <w:szCs w:val="24"/>
        </w:rPr>
        <w:t>interfaces. There is also room for improvement in the information included about their experiences in the annual maintenance reports.</w:t>
      </w:r>
    </w:p>
    <w:p w:rsidR="005C6E47" w:rsidRPr="00650FF1" w:rsidP="005C6E47">
      <w:pPr>
        <w:pStyle w:val="Text1"/>
        <w:spacing w:before="240" w:after="120"/>
        <w:ind w:left="0"/>
        <w:rPr>
          <w:rFonts w:ascii="Calibri" w:hAnsi="Calibri"/>
          <w:szCs w:val="24"/>
        </w:rPr>
      </w:pPr>
      <w:r w:rsidRPr="00650FF1">
        <w:rPr>
          <w:rFonts w:ascii="Calibri" w:hAnsi="Calibri"/>
          <w:szCs w:val="24"/>
        </w:rPr>
        <w:t>In Spain, the safety assessment bodies (</w:t>
      </w:r>
      <w:r w:rsidRPr="00650FF1">
        <w:rPr>
          <w:rFonts w:ascii="Calibri" w:hAnsi="Calibri"/>
          <w:szCs w:val="24"/>
        </w:rPr>
        <w:t>AsBos</w:t>
      </w:r>
      <w:r w:rsidRPr="00650FF1">
        <w:rPr>
          <w:rFonts w:ascii="Calibri" w:hAnsi="Calibri"/>
          <w:szCs w:val="24"/>
        </w:rPr>
        <w:t>) require accreditation by the National Accreditation Body (</w:t>
      </w:r>
      <w:r w:rsidRPr="00650FF1">
        <w:rPr>
          <w:rFonts w:ascii="Calibri" w:hAnsi="Calibri"/>
          <w:szCs w:val="24"/>
        </w:rPr>
        <w:t>Entidad</w:t>
      </w:r>
      <w:r w:rsidRPr="00650FF1">
        <w:rPr>
          <w:rFonts w:ascii="Calibri" w:hAnsi="Calibri"/>
          <w:szCs w:val="24"/>
        </w:rPr>
        <w:t xml:space="preserve"> Nacional de </w:t>
      </w:r>
      <w:r w:rsidRPr="00650FF1">
        <w:rPr>
          <w:rFonts w:ascii="Calibri" w:hAnsi="Calibri"/>
          <w:szCs w:val="24"/>
        </w:rPr>
        <w:t>Acreditación</w:t>
      </w:r>
      <w:r w:rsidRPr="00650FF1">
        <w:rPr>
          <w:rFonts w:ascii="Calibri" w:hAnsi="Calibri"/>
          <w:szCs w:val="24"/>
        </w:rPr>
        <w:t xml:space="preserve">: ENAC) as inspection bodies (ISO 17020), including Regulation (EU) No 402/2013 in the scope of their accreditation. The </w:t>
      </w:r>
      <w:r w:rsidRPr="00650FF1">
        <w:rPr>
          <w:rFonts w:ascii="Calibri" w:hAnsi="Calibri"/>
          <w:szCs w:val="24"/>
        </w:rPr>
        <w:t>AsBos</w:t>
      </w:r>
      <w:r w:rsidRPr="00650FF1">
        <w:rPr>
          <w:rFonts w:ascii="Calibri" w:hAnsi="Calibri"/>
          <w:szCs w:val="24"/>
        </w:rPr>
        <w:t xml:space="preserve"> market in Spain has developed significantly such that Spain is one of the countries in which the greatest number companies have decided to seek accreditation. ENAC and AESF collaborate in the exercise of the respective competences in relation to </w:t>
      </w:r>
      <w:r w:rsidRPr="00650FF1">
        <w:rPr>
          <w:rFonts w:ascii="Calibri" w:hAnsi="Calibri"/>
          <w:szCs w:val="24"/>
        </w:rPr>
        <w:t>AsBos</w:t>
      </w:r>
      <w:r w:rsidRPr="00650FF1">
        <w:rPr>
          <w:rFonts w:ascii="Calibri" w:hAnsi="Calibri"/>
          <w:szCs w:val="24"/>
        </w:rPr>
        <w:t>, such that there is a flow of information between the two bodies.</w:t>
      </w:r>
    </w:p>
    <w:p w:rsidR="005C6E47" w:rsidRPr="00650FF1" w:rsidP="005C6E47">
      <w:pPr>
        <w:pStyle w:val="Text1"/>
        <w:spacing w:before="240" w:after="120"/>
        <w:ind w:left="0"/>
        <w:rPr>
          <w:rFonts w:ascii="Calibri" w:hAnsi="Calibri"/>
          <w:szCs w:val="24"/>
          <w:lang w:val="es-ES_tradnl"/>
        </w:rPr>
      </w:pP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In conclusion, based on the experience of the AESF, the application of Regulation (EU) No 402/2013 continues to progress in the national sector, with examples of its application to other areas and new examples of changes gradually increasing in number. </w:t>
      </w:r>
      <w:r w:rsidRPr="00650FF1">
        <w:rPr>
          <w:rFonts w:ascii="Calibri" w:hAnsi="Calibri"/>
          <w:szCs w:val="24"/>
        </w:rPr>
        <w:t xml:space="preserve">Nevertheless, there is still room for improvement and there are certain doubts in the sector regarding its interpretation, conveyed by the different bodies which have to apply it and by the assessment bodies themselves, such as, for example, the application of the common safety method to organisational or operational changes (which generates doubts regarding the </w:t>
      </w:r>
      <w:r w:rsidRPr="00650FF1">
        <w:rPr>
          <w:rFonts w:ascii="Calibri" w:hAnsi="Calibri"/>
          <w:szCs w:val="24"/>
        </w:rPr>
        <w:t>AsBo’s</w:t>
      </w:r>
      <w:r w:rsidRPr="00650FF1">
        <w:rPr>
          <w:rFonts w:ascii="Calibri" w:hAnsi="Calibri"/>
          <w:szCs w:val="24"/>
        </w:rPr>
        <w:t xml:space="preserve"> scope of accreditation) and the fact that the criteria for significance under Article 4 allow for a certain degree of subjectivity.</w:t>
      </w:r>
    </w:p>
    <w:p w:rsidR="005C6E47" w:rsidRPr="00650FF1" w:rsidP="005C6E47">
      <w:pPr>
        <w:rPr>
          <w:rFonts w:ascii="Franklin Gothic Demi" w:hAnsi="Franklin Gothic Demi"/>
          <w:smallCaps/>
          <w:color w:val="000080"/>
          <w:sz w:val="32"/>
          <w:szCs w:val="26"/>
          <w:lang w:val="es-ES_tradnl" w:eastAsia="x-none"/>
        </w:rPr>
      </w:pPr>
    </w:p>
    <w:p w:rsidR="005C6E47" w:rsidRPr="00637CB5" w:rsidP="00637CB5">
      <w:pPr>
        <w:pStyle w:val="Subtitulo1"/>
        <w:ind w:left="360" w:hanging="360"/>
        <w:rPr>
          <w:lang w:val="es-ES_tradnl"/>
        </w:rPr>
      </w:pPr>
      <w:r w:rsidRPr="00637CB5">
        <w:rPr>
          <w:lang w:val="es-ES_tradnl"/>
        </w:rPr>
        <w:t>5. Exceptions to the certification system for entities in charge of maintenance</w:t>
      </w:r>
    </w:p>
    <w:p w:rsidR="005C6E47" w:rsidRPr="00650FF1" w:rsidP="005C6E47">
      <w:pPr>
        <w:pStyle w:val="Text1"/>
        <w:spacing w:before="240" w:after="120"/>
        <w:ind w:left="0"/>
        <w:rPr>
          <w:rFonts w:ascii="Calibri" w:hAnsi="Calibri" w:cs="Arial"/>
          <w:szCs w:val="24"/>
        </w:rPr>
      </w:pPr>
      <w:r w:rsidRPr="00650FF1">
        <w:rPr>
          <w:rFonts w:ascii="Calibri" w:hAnsi="Calibri"/>
          <w:szCs w:val="24"/>
        </w:rPr>
        <w:t xml:space="preserve">As in previous years, in 2017 the AESF did not issue any derogations based on Article 14 </w:t>
      </w:r>
      <w:r w:rsidRPr="00650FF1">
        <w:rPr>
          <w:rFonts w:ascii="Calibri" w:hAnsi="Calibri"/>
          <w:szCs w:val="24"/>
        </w:rPr>
        <w:t>bis</w:t>
      </w:r>
      <w:r w:rsidRPr="00650FF1">
        <w:rPr>
          <w:rFonts w:ascii="Calibri" w:hAnsi="Calibri"/>
          <w:szCs w:val="24"/>
        </w:rPr>
        <w:t>, paragraph 8, of Directive 2004/49/EC, in accordance with the amendment introduced by Directive 2008/110/EC , in order to certify alternative cases of entities in charge of maintenance.</w:t>
      </w:r>
    </w:p>
    <w:p w:rsidR="005C6E47" w:rsidRPr="00650FF1" w:rsidP="005C6E47">
      <w:pPr>
        <w:rPr>
          <w:rFonts w:ascii="Calibri" w:hAnsi="Calibri" w:cs="Arial"/>
          <w:lang w:val="es-ES_tradnl"/>
        </w:rPr>
      </w:pPr>
    </w:p>
    <w:p w:rsidR="00637CB5">
      <w:r>
        <w:br w:type="page"/>
      </w:r>
    </w:p>
    <w:tbl>
      <w:tblPr>
        <w:tblW w:w="10065" w:type="dxa"/>
        <w:tblInd w:w="-34" w:type="dxa"/>
        <w:tblLook w:val="04A0"/>
      </w:tblPr>
      <w:tblGrid>
        <w:gridCol w:w="4868"/>
        <w:gridCol w:w="5197"/>
      </w:tblGrid>
      <w:tr w:rsidTr="002F2972">
        <w:tblPrEx>
          <w:tblW w:w="10065" w:type="dxa"/>
          <w:tblInd w:w="-34" w:type="dxa"/>
          <w:tblLook w:val="04A0"/>
        </w:tblPrEx>
        <w:trPr>
          <w:trHeight w:val="860"/>
        </w:trPr>
        <w:tc>
          <w:tcPr>
            <w:tcW w:w="10065" w:type="dxa"/>
            <w:gridSpan w:val="2"/>
            <w:shd w:val="clear" w:color="auto" w:fill="auto"/>
          </w:tcPr>
          <w:p w:rsidR="005C6E47" w:rsidRPr="00650FF1" w:rsidP="002F2972">
            <w:pPr>
              <w:pStyle w:val="StandardText"/>
              <w:spacing w:before="240" w:after="120" w:line="240" w:lineRule="auto"/>
              <w:rPr>
                <w:rFonts w:ascii="Calibri" w:hAnsi="Calibri"/>
                <w:noProof/>
                <w:snapToGrid/>
              </w:rPr>
            </w:pPr>
            <w:r w:rsidRPr="00650FF1">
              <w:rPr>
                <w:rFonts w:ascii="Calibri" w:hAnsi="Calibri"/>
                <w:noProof/>
                <w:snapToGrid/>
                <w:lang w:val="fr-FR" w:eastAsia="fr-FR"/>
              </w:rPr>
              <w:drawing>
                <wp:anchor distT="0" distB="0" distL="114300" distR="114300" simplePos="0" relativeHeight="251666432" behindDoc="1" locked="0" layoutInCell="1" allowOverlap="1">
                  <wp:simplePos x="0" y="0"/>
                  <wp:positionH relativeFrom="column">
                    <wp:posOffset>434027</wp:posOffset>
                  </wp:positionH>
                  <wp:positionV relativeFrom="paragraph">
                    <wp:posOffset>307340</wp:posOffset>
                  </wp:positionV>
                  <wp:extent cx="6054090" cy="2590800"/>
                  <wp:effectExtent l="0" t="0" r="381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96261"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tc>
      </w:tr>
      <w:tr w:rsidTr="002F2972">
        <w:tblPrEx>
          <w:tblW w:w="10065" w:type="dxa"/>
          <w:tblInd w:w="-34" w:type="dxa"/>
          <w:tblLook w:val="04A0"/>
        </w:tblPrEx>
        <w:trPr>
          <w:trHeight w:val="3966"/>
        </w:trPr>
        <w:tc>
          <w:tcPr>
            <w:tcW w:w="4868" w:type="dxa"/>
            <w:shd w:val="clear" w:color="auto" w:fill="auto"/>
          </w:tcPr>
          <w:p w:rsidR="005C6E47" w:rsidRPr="00650FF1" w:rsidP="002F2972">
            <w:pPr>
              <w:pStyle w:val="StandardText"/>
              <w:spacing w:before="240" w:after="120" w:line="240" w:lineRule="auto"/>
              <w:rPr>
                <w:rFonts w:ascii="Calibri" w:hAnsi="Calibri"/>
                <w:lang w:val="es-ES_tradnl"/>
              </w:rPr>
            </w:pPr>
          </w:p>
          <w:p w:rsidR="005C6E47" w:rsidRPr="00650FF1" w:rsidP="002F2972">
            <w:pPr>
              <w:pStyle w:val="Title"/>
              <w:numPr>
                <w:ilvl w:val="0"/>
                <w:numId w:val="0"/>
              </w:numPr>
              <w:ind w:left="360"/>
              <w:jc w:val="left"/>
            </w:pPr>
          </w:p>
        </w:tc>
        <w:tc>
          <w:tcPr>
            <w:tcW w:w="5197" w:type="dxa"/>
            <w:shd w:val="clear" w:color="auto" w:fill="auto"/>
            <w:vAlign w:val="center"/>
          </w:tcPr>
          <w:p w:rsidR="005C6E47" w:rsidRPr="00650FF1" w:rsidP="002F2972">
            <w:pPr>
              <w:pStyle w:val="Title"/>
              <w:rPr>
                <w:sz w:val="48"/>
              </w:rPr>
            </w:pPr>
            <w:bookmarkStart w:id="8" w:name="_Toc532285983"/>
            <w:r w:rsidRPr="00650FF1">
              <w:rPr>
                <w:sz w:val="48"/>
              </w:rPr>
              <w:t>Safety Culture</w:t>
            </w:r>
            <w:bookmarkEnd w:id="8"/>
          </w:p>
        </w:tc>
      </w:tr>
    </w:tbl>
    <w:p w:rsidR="005C6E47" w:rsidRPr="00650FF1" w:rsidP="005C6E47">
      <w:pPr>
        <w:pStyle w:val="Text1"/>
        <w:spacing w:before="120"/>
        <w:ind w:left="2520" w:hanging="1620"/>
        <w:jc w:val="left"/>
        <w:rPr>
          <w:rFonts w:ascii="Calibri" w:hAnsi="Calibri"/>
          <w:b/>
          <w:smallCaps/>
          <w:color w:val="000080"/>
          <w:sz w:val="36"/>
          <w:szCs w:val="26"/>
          <w:lang w:val="es-ES_tradnl"/>
        </w:rPr>
      </w:pP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Communication is one of the most effective tools to encourage a culture of safety across the sector. The AESF believes that communication is one of the most effective mechanisms for achieving compliance, over the medium term, with regulations and authorisation and supervision processes. To that end, during the course of 2017, the following activities, among others, </w:t>
      </w:r>
      <w:r w:rsidRPr="00650FF1">
        <w:rPr>
          <w:rFonts w:ascii="Calibri" w:hAnsi="Calibri"/>
          <w:szCs w:val="24"/>
        </w:rPr>
        <w:t>were carried out</w:t>
      </w:r>
      <w:r w:rsidRPr="00650FF1">
        <w:rPr>
          <w:rFonts w:ascii="Calibri" w:hAnsi="Calibri"/>
          <w:szCs w:val="24"/>
        </w:rPr>
        <w:t>:</w:t>
      </w:r>
    </w:p>
    <w:p w:rsidR="005C6E47" w:rsidRPr="00650FF1" w:rsidP="005C6E47">
      <w:pPr>
        <w:pStyle w:val="Text1"/>
        <w:numPr>
          <w:ilvl w:val="0"/>
          <w:numId w:val="29"/>
        </w:numPr>
        <w:spacing w:before="240" w:after="120"/>
        <w:rPr>
          <w:rFonts w:ascii="Calibri" w:hAnsi="Calibri"/>
          <w:szCs w:val="24"/>
        </w:rPr>
      </w:pPr>
      <w:r w:rsidRPr="00650FF1">
        <w:rPr>
          <w:rFonts w:ascii="Calibri" w:hAnsi="Calibri"/>
          <w:szCs w:val="24"/>
        </w:rPr>
        <w:t>AESF communication and visibility actions: press releases, regular bulletins and forums for the distribution of newsletters.</w:t>
      </w:r>
    </w:p>
    <w:p w:rsidR="005C6E47" w:rsidRPr="00650FF1" w:rsidP="005C6E47">
      <w:pPr>
        <w:pStyle w:val="Text1"/>
        <w:numPr>
          <w:ilvl w:val="0"/>
          <w:numId w:val="29"/>
        </w:numPr>
        <w:spacing w:before="240" w:after="120"/>
        <w:rPr>
          <w:rFonts w:ascii="Calibri" w:hAnsi="Calibri"/>
          <w:szCs w:val="24"/>
        </w:rPr>
      </w:pPr>
      <w:r w:rsidRPr="00650FF1">
        <w:rPr>
          <w:rFonts w:ascii="Calibri" w:hAnsi="Calibri"/>
          <w:szCs w:val="24"/>
        </w:rPr>
        <w:t xml:space="preserve">Participation in forums hosted by various organisations where the Agency's work and the importance of railway safety </w:t>
      </w:r>
      <w:r w:rsidRPr="00650FF1">
        <w:rPr>
          <w:rFonts w:ascii="Calibri" w:hAnsi="Calibri"/>
          <w:szCs w:val="24"/>
        </w:rPr>
        <w:t>can be communicated and presented</w:t>
      </w:r>
      <w:r w:rsidRPr="00650FF1">
        <w:rPr>
          <w:rFonts w:ascii="Calibri" w:hAnsi="Calibri"/>
          <w:szCs w:val="24"/>
        </w:rPr>
        <w:t>.</w:t>
      </w:r>
    </w:p>
    <w:p w:rsidR="005C6E47" w:rsidRPr="00650FF1" w:rsidP="005C6E47">
      <w:pPr>
        <w:pStyle w:val="Text1"/>
        <w:numPr>
          <w:ilvl w:val="0"/>
          <w:numId w:val="29"/>
        </w:numPr>
        <w:spacing w:before="240" w:after="120"/>
        <w:rPr>
          <w:rFonts w:ascii="Calibri" w:hAnsi="Calibri"/>
          <w:szCs w:val="24"/>
        </w:rPr>
      </w:pPr>
      <w:r w:rsidRPr="00650FF1">
        <w:rPr>
          <w:rFonts w:ascii="Calibri" w:hAnsi="Calibri"/>
          <w:szCs w:val="24"/>
        </w:rPr>
        <w:t xml:space="preserve">Giving impetus to agreements with other sector organisations for the exchange of training actions (CEDEX, </w:t>
      </w:r>
      <w:r w:rsidRPr="00650FF1">
        <w:rPr>
          <w:rFonts w:ascii="Calibri" w:hAnsi="Calibri"/>
          <w:szCs w:val="24"/>
        </w:rPr>
        <w:t>Adif</w:t>
      </w:r>
      <w:r w:rsidRPr="00650FF1">
        <w:rPr>
          <w:rFonts w:ascii="Calibri" w:hAnsi="Calibri"/>
          <w:szCs w:val="24"/>
        </w:rPr>
        <w:t xml:space="preserve">, </w:t>
      </w:r>
      <w:r w:rsidRPr="00650FF1">
        <w:rPr>
          <w:rFonts w:ascii="Calibri" w:hAnsi="Calibri"/>
          <w:szCs w:val="24"/>
        </w:rPr>
        <w:t>Renfe</w:t>
      </w:r>
      <w:r w:rsidRPr="00650FF1">
        <w:rPr>
          <w:rFonts w:ascii="Calibri" w:hAnsi="Calibri"/>
          <w:szCs w:val="24"/>
        </w:rPr>
        <w:t>, etc.).</w:t>
      </w:r>
    </w:p>
    <w:p w:rsidR="005C6E47" w:rsidRPr="00650FF1" w:rsidP="005C6E47">
      <w:pPr>
        <w:pStyle w:val="Text1"/>
        <w:numPr>
          <w:ilvl w:val="0"/>
          <w:numId w:val="29"/>
        </w:numPr>
        <w:spacing w:before="240" w:after="120"/>
        <w:rPr>
          <w:rFonts w:ascii="Calibri" w:hAnsi="Calibri"/>
          <w:szCs w:val="24"/>
        </w:rPr>
      </w:pPr>
      <w:r w:rsidRPr="00650FF1">
        <w:rPr>
          <w:rFonts w:ascii="Calibri" w:hAnsi="Calibri"/>
          <w:szCs w:val="24"/>
        </w:rPr>
        <w:t>Updating and improving the website, developing internal procedures for writing and reviewing its content.</w:t>
      </w:r>
    </w:p>
    <w:p w:rsidR="005C6E47" w:rsidRPr="00650FF1" w:rsidP="005C6E47">
      <w:pPr>
        <w:pStyle w:val="Text1"/>
        <w:numPr>
          <w:ilvl w:val="0"/>
          <w:numId w:val="29"/>
        </w:numPr>
        <w:spacing w:before="240" w:after="120"/>
        <w:rPr>
          <w:rFonts w:ascii="Calibri" w:hAnsi="Calibri"/>
          <w:szCs w:val="24"/>
        </w:rPr>
      </w:pPr>
      <w:r w:rsidRPr="00650FF1">
        <w:rPr>
          <w:rFonts w:ascii="Calibri" w:hAnsi="Calibri"/>
          <w:szCs w:val="24"/>
        </w:rPr>
        <w:t>Communication activities, giving training to the sector regarding legislation and aspects of safety.</w:t>
      </w:r>
    </w:p>
    <w:p w:rsidR="005C6E47" w:rsidRPr="00650FF1" w:rsidP="005C6E47">
      <w:pPr>
        <w:pStyle w:val="Text1"/>
        <w:numPr>
          <w:ilvl w:val="0"/>
          <w:numId w:val="29"/>
        </w:numPr>
        <w:spacing w:before="240" w:after="120"/>
        <w:rPr>
          <w:rFonts w:ascii="Calibri" w:hAnsi="Calibri"/>
          <w:szCs w:val="24"/>
        </w:rPr>
      </w:pPr>
      <w:r w:rsidRPr="00650FF1">
        <w:rPr>
          <w:rFonts w:ascii="Calibri" w:hAnsi="Calibri"/>
          <w:szCs w:val="24"/>
        </w:rPr>
        <w:t xml:space="preserve">Dealing with the </w:t>
      </w:r>
      <w:r w:rsidRPr="00650FF1">
        <w:rPr>
          <w:rFonts w:ascii="Calibri" w:hAnsi="Calibri"/>
          <w:szCs w:val="24"/>
        </w:rPr>
        <w:t>general public</w:t>
      </w:r>
      <w:r w:rsidRPr="00650FF1">
        <w:rPr>
          <w:rFonts w:ascii="Calibri" w:hAnsi="Calibri"/>
          <w:szCs w:val="24"/>
        </w:rPr>
        <w:t xml:space="preserve"> and sector organisations: dealing with queries, questions and complaints received either in writing or over the website.</w:t>
      </w:r>
    </w:p>
    <w:p w:rsidR="005C6E47" w:rsidRPr="00650FF1" w:rsidP="005C6E47">
      <w:pPr>
        <w:pStyle w:val="Text1"/>
        <w:spacing w:before="240" w:after="120"/>
        <w:ind w:left="360"/>
        <w:rPr>
          <w:rFonts w:ascii="Calibri" w:hAnsi="Calibri"/>
          <w:szCs w:val="24"/>
        </w:rPr>
      </w:pPr>
      <w:r w:rsidRPr="00650FF1">
        <w:rPr>
          <w:rFonts w:ascii="Calibri" w:hAnsi="Calibri"/>
          <w:szCs w:val="24"/>
        </w:rPr>
        <w:t xml:space="preserve">Within those communication actions, return of experience meetings, between railway undertakings, infrastructure managers and the AESF, where initiated in 2017. In particular, one such meeting </w:t>
      </w:r>
      <w:r w:rsidRPr="00650FF1">
        <w:rPr>
          <w:rFonts w:ascii="Calibri" w:hAnsi="Calibri"/>
          <w:szCs w:val="24"/>
        </w:rPr>
        <w:t>was called</w:t>
      </w:r>
      <w:r w:rsidRPr="00650FF1">
        <w:rPr>
          <w:rFonts w:ascii="Calibri" w:hAnsi="Calibri"/>
          <w:szCs w:val="24"/>
        </w:rPr>
        <w:t xml:space="preserve"> in September 2017. Given its result, the AESF decided that the scope of the meetings </w:t>
      </w:r>
      <w:r w:rsidRPr="00650FF1">
        <w:rPr>
          <w:rFonts w:ascii="Calibri" w:hAnsi="Calibri"/>
          <w:szCs w:val="24"/>
        </w:rPr>
        <w:t>should be extended</w:t>
      </w:r>
      <w:r w:rsidRPr="00650FF1">
        <w:rPr>
          <w:rFonts w:ascii="Calibri" w:hAnsi="Calibri"/>
          <w:szCs w:val="24"/>
        </w:rPr>
        <w:t xml:space="preserve"> even further and, to that end, in November 2017, it issued Decision 5/2017 of the AESF, announcing round-table meetings to coordinate and exchange experiences with regard to railway </w:t>
      </w:r>
      <w:r w:rsidRPr="00650FF1">
        <w:rPr>
          <w:rFonts w:ascii="Calibri" w:hAnsi="Calibri"/>
          <w:szCs w:val="24"/>
        </w:rPr>
        <w:t>safety. That decision provides for the creation of a round table including workers’ representatives as well as companies and managers</w:t>
      </w:r>
      <w:r>
        <w:rPr>
          <w:rFonts w:ascii="Calibri" w:hAnsi="Calibri"/>
          <w:szCs w:val="24"/>
          <w:vertAlign w:val="superscript"/>
          <w:lang w:val="es-ES_tradnl"/>
        </w:rPr>
        <w:footnoteReference w:id="21"/>
      </w:r>
      <w:r w:rsidRPr="00650FF1">
        <w:rPr>
          <w:rFonts w:ascii="Calibri" w:hAnsi="Calibri"/>
          <w:szCs w:val="24"/>
        </w:rPr>
        <w:t>.</w:t>
      </w:r>
    </w:p>
    <w:p w:rsidR="005C6E47" w:rsidRPr="00650FF1" w:rsidP="005C6E47">
      <w:pPr>
        <w:pStyle w:val="Text1"/>
        <w:spacing w:before="240" w:after="120"/>
        <w:ind w:left="720"/>
        <w:jc w:val="center"/>
        <w:rPr>
          <w:rFonts w:ascii="Calibri" w:hAnsi="Calibri"/>
          <w:szCs w:val="24"/>
          <w:lang w:val="es-ES_tradnl"/>
        </w:rPr>
      </w:pP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The principal railway undertaking, </w:t>
      </w:r>
      <w:r w:rsidRPr="00650FF1">
        <w:rPr>
          <w:rFonts w:ascii="Calibri" w:hAnsi="Calibri"/>
          <w:szCs w:val="24"/>
        </w:rPr>
        <w:t>Renfe</w:t>
      </w:r>
      <w:r w:rsidRPr="00650FF1">
        <w:rPr>
          <w:rFonts w:ascii="Calibri" w:hAnsi="Calibri"/>
          <w:szCs w:val="24"/>
        </w:rPr>
        <w:t xml:space="preserve"> </w:t>
      </w:r>
      <w:r w:rsidRPr="00650FF1">
        <w:rPr>
          <w:rFonts w:ascii="Calibri" w:hAnsi="Calibri"/>
          <w:szCs w:val="24"/>
        </w:rPr>
        <w:t>Viajeros</w:t>
      </w:r>
      <w:r w:rsidRPr="00650FF1">
        <w:rPr>
          <w:rFonts w:ascii="Calibri" w:hAnsi="Calibri"/>
          <w:szCs w:val="24"/>
        </w:rPr>
        <w:t xml:space="preserve">, includes promoting cultural change in relation to </w:t>
      </w:r>
      <w:r w:rsidRPr="00650FF1">
        <w:rPr>
          <w:rFonts w:ascii="Calibri" w:hAnsi="Calibri"/>
          <w:szCs w:val="24"/>
        </w:rPr>
        <w:t>safety and fostering</w:t>
      </w:r>
      <w:r w:rsidRPr="00650FF1">
        <w:rPr>
          <w:rFonts w:ascii="Calibri" w:hAnsi="Calibri"/>
          <w:szCs w:val="24"/>
        </w:rPr>
        <w:t xml:space="preserve"> and implementing the necessary processes among its objectives. To that end, in 2017 the following actions </w:t>
      </w:r>
      <w:r w:rsidRPr="00650FF1">
        <w:rPr>
          <w:rFonts w:ascii="Calibri" w:hAnsi="Calibri"/>
          <w:szCs w:val="24"/>
        </w:rPr>
        <w:t>were carried out</w:t>
      </w:r>
      <w:r w:rsidRPr="00650FF1">
        <w:rPr>
          <w:rFonts w:ascii="Calibri" w:hAnsi="Calibri"/>
          <w:szCs w:val="24"/>
        </w:rPr>
        <w:t>:</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Safety and self-protection seminars.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Traffic safety seminars: organised and given jointly with Portuguese and French railways, under the collaboration and partnership agreements entered into with both institutions.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Training ‘Safety Officers’.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Development of driver information sheets (practical, technical, data and premises).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Coordination meetings. ‘Safety / Operation / Production’</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Territories / services coordination meetings.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Inspection / auditing conferences.  ‘Requirements and Media: Traffic Safety Inspections and Audits.’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Training days on the extraction and analysis of records.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Training days for management teams.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Training days on the regulatory distribution, filing and custody of safety records. Application development.</w:t>
      </w:r>
    </w:p>
    <w:p w:rsidR="005C6E47" w:rsidRPr="00650FF1" w:rsidP="005C6E47">
      <w:pPr>
        <w:pStyle w:val="Text1"/>
        <w:spacing w:before="240" w:after="120"/>
        <w:ind w:left="0"/>
        <w:rPr>
          <w:rFonts w:ascii="Calibri" w:hAnsi="Calibri"/>
          <w:szCs w:val="24"/>
          <w:lang w:val="es-ES_tradnl"/>
        </w:rPr>
      </w:pPr>
    </w:p>
    <w:p w:rsidR="005C6E47" w:rsidRPr="00650FF1" w:rsidP="005C6E47">
      <w:pPr>
        <w:pStyle w:val="Text1"/>
        <w:spacing w:before="240" w:after="120"/>
        <w:ind w:left="0"/>
        <w:rPr>
          <w:rFonts w:ascii="Calibri" w:hAnsi="Calibri"/>
          <w:szCs w:val="24"/>
        </w:rPr>
      </w:pPr>
      <w:r w:rsidRPr="00650FF1">
        <w:rPr>
          <w:rFonts w:ascii="Calibri" w:hAnsi="Calibri"/>
          <w:szCs w:val="24"/>
        </w:rPr>
        <w:t xml:space="preserve">Furthermore, the railway infrastructure manager </w:t>
      </w:r>
      <w:r w:rsidRPr="00650FF1">
        <w:rPr>
          <w:rFonts w:ascii="Calibri" w:hAnsi="Calibri"/>
          <w:szCs w:val="24"/>
        </w:rPr>
        <w:t>Adif</w:t>
      </w:r>
      <w:r w:rsidRPr="00650FF1">
        <w:rPr>
          <w:rFonts w:ascii="Calibri" w:hAnsi="Calibri"/>
          <w:szCs w:val="24"/>
        </w:rPr>
        <w:t xml:space="preserve"> carried out various actions focused on promoting a positive and fair safety culture, such as:</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 xml:space="preserve">Approval of the ‘Guidelines for Rail Traffic Safety Policy and Management at </w:t>
      </w:r>
      <w:r w:rsidRPr="00650FF1">
        <w:rPr>
          <w:rFonts w:ascii="Calibri" w:hAnsi="Calibri"/>
          <w:szCs w:val="24"/>
        </w:rPr>
        <w:t>Adif</w:t>
      </w:r>
      <w:r w:rsidRPr="00650FF1">
        <w:rPr>
          <w:rFonts w:ascii="Calibri" w:hAnsi="Calibri"/>
          <w:szCs w:val="24"/>
        </w:rPr>
        <w:t>’, establishing the principles applied by the entity and the criteria for assigning functions, responsibilities and internal governance, and promoting a safety culture based on prevention.</w:t>
      </w:r>
    </w:p>
    <w:p w:rsidR="005C6E47" w:rsidRPr="00650FF1" w:rsidP="005C6E47">
      <w:pPr>
        <w:pStyle w:val="Text1"/>
        <w:numPr>
          <w:ilvl w:val="0"/>
          <w:numId w:val="22"/>
        </w:numPr>
        <w:spacing w:before="240" w:after="120"/>
        <w:rPr>
          <w:rFonts w:ascii="Calibri" w:hAnsi="Calibri"/>
          <w:szCs w:val="24"/>
        </w:rPr>
      </w:pPr>
      <w:r w:rsidRPr="00650FF1">
        <w:rPr>
          <w:rFonts w:ascii="Calibri" w:hAnsi="Calibri"/>
          <w:szCs w:val="24"/>
        </w:rPr>
        <w:t xml:space="preserve">In the human aspect, the number of programmes and actions related to people’s competences, training and motivation increased. In that regard, being committed to a positive and fair safety culture, backed up by open and transparent communication, an atmosphere of trust, in which people can provide information essential for learning and continuous improvement, </w:t>
      </w:r>
      <w:r w:rsidRPr="00650FF1">
        <w:rPr>
          <w:rFonts w:ascii="Calibri" w:hAnsi="Calibri"/>
          <w:szCs w:val="24"/>
        </w:rPr>
        <w:t>is fostered</w:t>
      </w:r>
      <w:r w:rsidRPr="00650FF1">
        <w:rPr>
          <w:rFonts w:ascii="Calibri" w:hAnsi="Calibri"/>
          <w:szCs w:val="24"/>
        </w:rPr>
        <w:t>. The actions carried out in 2017 were:</w:t>
      </w:r>
    </w:p>
    <w:p w:rsidR="005C6E47" w:rsidRPr="00650FF1" w:rsidP="005C6E47">
      <w:pPr>
        <w:pStyle w:val="Text1"/>
        <w:numPr>
          <w:ilvl w:val="1"/>
          <w:numId w:val="22"/>
        </w:numPr>
        <w:spacing w:before="240" w:after="120"/>
        <w:rPr>
          <w:rFonts w:ascii="Calibri" w:hAnsi="Calibri"/>
          <w:szCs w:val="24"/>
        </w:rPr>
      </w:pPr>
      <w:r w:rsidRPr="00650FF1">
        <w:rPr>
          <w:rFonts w:ascii="Calibri" w:hAnsi="Calibri"/>
          <w:szCs w:val="24"/>
        </w:rPr>
        <w:t>Forum to promote the exchange and return of experience (FIRE).</w:t>
      </w:r>
    </w:p>
    <w:p w:rsidR="005C6E47" w:rsidRPr="00650FF1" w:rsidP="005C6E47">
      <w:pPr>
        <w:pStyle w:val="Text1"/>
        <w:numPr>
          <w:ilvl w:val="1"/>
          <w:numId w:val="22"/>
        </w:numPr>
        <w:spacing w:before="240" w:after="120"/>
        <w:rPr>
          <w:rFonts w:ascii="Calibri" w:hAnsi="Calibri"/>
          <w:szCs w:val="24"/>
        </w:rPr>
      </w:pPr>
      <w:r w:rsidRPr="00650FF1">
        <w:rPr>
          <w:rFonts w:ascii="Calibri" w:hAnsi="Calibri"/>
          <w:szCs w:val="24"/>
        </w:rPr>
        <w:t>Human factor workshops.</w:t>
      </w:r>
    </w:p>
    <w:p w:rsidR="005C6E47" w:rsidRPr="00650FF1" w:rsidP="005C6E47">
      <w:pPr>
        <w:pStyle w:val="Text1"/>
        <w:numPr>
          <w:ilvl w:val="1"/>
          <w:numId w:val="22"/>
        </w:numPr>
        <w:spacing w:before="240" w:after="120"/>
        <w:rPr>
          <w:rFonts w:ascii="Calibri" w:hAnsi="Calibri"/>
          <w:szCs w:val="24"/>
        </w:rPr>
      </w:pPr>
      <w:r w:rsidRPr="00650FF1">
        <w:rPr>
          <w:rFonts w:ascii="Calibri" w:hAnsi="Calibri"/>
          <w:szCs w:val="24"/>
        </w:rPr>
        <w:t>Conference on the Traffic Safety Management System.</w:t>
      </w:r>
    </w:p>
    <w:p w:rsidR="005C6E47" w:rsidRPr="00650FF1" w:rsidP="005C6E47">
      <w:pPr>
        <w:pStyle w:val="Text1"/>
        <w:numPr>
          <w:ilvl w:val="1"/>
          <w:numId w:val="22"/>
        </w:numPr>
        <w:spacing w:before="240" w:after="120"/>
        <w:rPr>
          <w:rFonts w:ascii="Calibri" w:hAnsi="Calibri"/>
          <w:szCs w:val="24"/>
        </w:rPr>
      </w:pPr>
      <w:r w:rsidRPr="00650FF1">
        <w:rPr>
          <w:rFonts w:ascii="Calibri" w:hAnsi="Calibri"/>
          <w:szCs w:val="24"/>
        </w:rPr>
        <w:t>Human factor conference – Traffic Safety.</w:t>
      </w:r>
    </w:p>
    <w:p w:rsidR="005C6E47" w:rsidRPr="00650FF1" w:rsidP="005C6E47">
      <w:pPr>
        <w:pStyle w:val="Text1"/>
        <w:numPr>
          <w:ilvl w:val="1"/>
          <w:numId w:val="22"/>
        </w:numPr>
        <w:spacing w:before="240" w:after="120"/>
        <w:rPr>
          <w:rFonts w:ascii="Calibri" w:hAnsi="Calibri"/>
          <w:szCs w:val="24"/>
        </w:rPr>
      </w:pPr>
      <w:r w:rsidRPr="00650FF1">
        <w:rPr>
          <w:rFonts w:ascii="Calibri" w:hAnsi="Calibri"/>
          <w:szCs w:val="24"/>
        </w:rPr>
        <w:t xml:space="preserve">ESM conference – Confidential reporting of events, near </w:t>
      </w:r>
      <w:r w:rsidRPr="00650FF1">
        <w:rPr>
          <w:rFonts w:ascii="Calibri" w:hAnsi="Calibri"/>
          <w:szCs w:val="24"/>
        </w:rPr>
        <w:t>misses,</w:t>
      </w:r>
      <w:r w:rsidRPr="00650FF1">
        <w:rPr>
          <w:rFonts w:ascii="Calibri" w:hAnsi="Calibri"/>
          <w:szCs w:val="24"/>
        </w:rPr>
        <w:t xml:space="preserve"> hazards and human errors in the context of a fair culture.</w:t>
      </w:r>
    </w:p>
    <w:p w:rsidR="005C6E47" w:rsidRPr="00650FF1" w:rsidP="005C6E47">
      <w:pPr>
        <w:pStyle w:val="Text1"/>
        <w:numPr>
          <w:ilvl w:val="1"/>
          <w:numId w:val="22"/>
        </w:numPr>
        <w:spacing w:before="240" w:after="120"/>
        <w:rPr>
          <w:rFonts w:ascii="Calibri" w:hAnsi="Calibri"/>
          <w:szCs w:val="24"/>
        </w:rPr>
      </w:pPr>
      <w:r w:rsidRPr="00650FF1">
        <w:rPr>
          <w:rFonts w:ascii="Calibri" w:hAnsi="Calibri"/>
          <w:szCs w:val="24"/>
        </w:rPr>
        <w:t>Conference to acknowledge the protagonists of human factor videos.</w:t>
      </w:r>
      <w:r w:rsidRPr="00650FF1">
        <w:rPr>
          <w:rFonts w:ascii="Calibri" w:hAnsi="Calibri"/>
          <w:szCs w:val="24"/>
        </w:rPr>
        <w:br w:type="page"/>
      </w:r>
    </w:p>
    <w:p w:rsidR="005C6E47" w:rsidRPr="00650FF1" w:rsidP="005C6E47">
      <w:pPr>
        <w:rPr>
          <w:lang w:val="es-ES_tradnl"/>
        </w:rPr>
      </w:pPr>
      <w:bookmarkStart w:id="9" w:name="_GoBack"/>
      <w:bookmarkEnd w:id="9"/>
    </w:p>
    <w:tbl>
      <w:tblPr>
        <w:tblW w:w="10065" w:type="dxa"/>
        <w:tblInd w:w="-34" w:type="dxa"/>
        <w:tblLook w:val="04A0"/>
      </w:tblPr>
      <w:tblGrid>
        <w:gridCol w:w="4868"/>
        <w:gridCol w:w="5197"/>
      </w:tblGrid>
      <w:tr w:rsidTr="002F2972">
        <w:tblPrEx>
          <w:tblW w:w="10065" w:type="dxa"/>
          <w:tblInd w:w="-34" w:type="dxa"/>
          <w:tblLook w:val="04A0"/>
        </w:tblPrEx>
        <w:trPr>
          <w:trHeight w:val="860"/>
        </w:trPr>
        <w:tc>
          <w:tcPr>
            <w:tcW w:w="10065" w:type="dxa"/>
            <w:gridSpan w:val="2"/>
            <w:shd w:val="clear" w:color="auto" w:fill="auto"/>
          </w:tcPr>
          <w:p w:rsidR="005C6E47" w:rsidRPr="00650FF1" w:rsidP="002F2972">
            <w:pPr>
              <w:pStyle w:val="StandardText"/>
              <w:spacing w:before="240" w:after="120" w:line="240" w:lineRule="auto"/>
              <w:rPr>
                <w:rFonts w:ascii="Calibri" w:hAnsi="Calibri"/>
                <w:noProof/>
                <w:snapToGrid/>
                <w:lang w:val="es-ES_tradnl" w:eastAsia="en-US"/>
              </w:rPr>
            </w:pPr>
          </w:p>
        </w:tc>
      </w:tr>
      <w:tr w:rsidTr="002F2972">
        <w:tblPrEx>
          <w:tblW w:w="10065" w:type="dxa"/>
          <w:tblInd w:w="-34" w:type="dxa"/>
          <w:tblLook w:val="04A0"/>
        </w:tblPrEx>
        <w:trPr>
          <w:trHeight w:val="3966"/>
        </w:trPr>
        <w:tc>
          <w:tcPr>
            <w:tcW w:w="4868" w:type="dxa"/>
            <w:shd w:val="clear" w:color="auto" w:fill="auto"/>
          </w:tcPr>
          <w:p w:rsidR="005C6E47" w:rsidRPr="00650FF1" w:rsidP="002F2972">
            <w:pPr>
              <w:pStyle w:val="StandardText"/>
              <w:spacing w:before="240" w:after="120" w:line="240" w:lineRule="auto"/>
              <w:rPr>
                <w:rFonts w:ascii="Calibri" w:hAnsi="Calibri"/>
              </w:rPr>
            </w:pPr>
            <w:r w:rsidRPr="00650FF1">
              <w:rPr>
                <w:rFonts w:ascii="Calibri" w:hAnsi="Calibri"/>
                <w:noProof/>
                <w:lang w:val="fr-FR" w:eastAsia="fr-FR"/>
              </w:rPr>
              <w:drawing>
                <wp:anchor distT="0" distB="0" distL="114300" distR="114300" simplePos="0" relativeHeight="251667456" behindDoc="1" locked="0" layoutInCell="1" allowOverlap="1">
                  <wp:simplePos x="0" y="0"/>
                  <wp:positionH relativeFrom="column">
                    <wp:posOffset>503877</wp:posOffset>
                  </wp:positionH>
                  <wp:positionV relativeFrom="paragraph">
                    <wp:posOffset>110490</wp:posOffset>
                  </wp:positionV>
                  <wp:extent cx="6054090" cy="2590800"/>
                  <wp:effectExtent l="0" t="0" r="381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4607"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4090" cy="2590800"/>
                          </a:xfrm>
                          <a:prstGeom prst="rect">
                            <a:avLst/>
                          </a:prstGeom>
                          <a:noFill/>
                        </pic:spPr>
                      </pic:pic>
                    </a:graphicData>
                  </a:graphic>
                  <wp14:sizeRelH relativeFrom="page">
                    <wp14:pctWidth>0</wp14:pctWidth>
                  </wp14:sizeRelH>
                  <wp14:sizeRelV relativeFrom="page">
                    <wp14:pctHeight>0</wp14:pctHeight>
                  </wp14:sizeRelV>
                </wp:anchor>
              </w:drawing>
            </w:r>
          </w:p>
          <w:p w:rsidR="005C6E47" w:rsidRPr="00650FF1" w:rsidP="002F2972">
            <w:pPr>
              <w:pStyle w:val="Title"/>
              <w:numPr>
                <w:ilvl w:val="0"/>
                <w:numId w:val="0"/>
              </w:numPr>
              <w:ind w:left="360"/>
              <w:jc w:val="center"/>
            </w:pPr>
          </w:p>
        </w:tc>
        <w:tc>
          <w:tcPr>
            <w:tcW w:w="5197" w:type="dxa"/>
            <w:shd w:val="clear" w:color="auto" w:fill="auto"/>
            <w:vAlign w:val="center"/>
          </w:tcPr>
          <w:p w:rsidR="005C6E47" w:rsidRPr="00650FF1" w:rsidP="002F2972">
            <w:pPr>
              <w:pStyle w:val="Title"/>
              <w:numPr>
                <w:ilvl w:val="0"/>
                <w:numId w:val="0"/>
              </w:numPr>
              <w:ind w:left="357"/>
              <w:rPr>
                <w:sz w:val="52"/>
                <w:szCs w:val="54"/>
              </w:rPr>
            </w:pPr>
            <w:bookmarkStart w:id="10" w:name="_Toc532285984"/>
            <w:r w:rsidRPr="00650FF1">
              <w:rPr>
                <w:sz w:val="52"/>
                <w:szCs w:val="54"/>
              </w:rPr>
              <w:t>ANNEX: Common Safety Indicators</w:t>
            </w:r>
            <w:bookmarkEnd w:id="10"/>
          </w:p>
        </w:tc>
      </w:tr>
    </w:tbl>
    <w:p w:rsidR="005C6E47" w:rsidRPr="00650FF1" w:rsidP="005C6E47">
      <w:pPr>
        <w:ind w:left="874"/>
        <w:rPr>
          <w:lang w:val="es-ES_tradnl"/>
        </w:rPr>
      </w:pPr>
    </w:p>
    <w:p w:rsidR="005C6E47" w:rsidRPr="00650FF1" w:rsidP="005C6E47">
      <w:pPr>
        <w:pStyle w:val="Text1"/>
        <w:spacing w:before="120"/>
        <w:ind w:left="2520" w:hanging="1620"/>
        <w:jc w:val="left"/>
        <w:rPr>
          <w:rFonts w:ascii="Calibri" w:hAnsi="Calibri"/>
          <w:b/>
          <w:smallCaps/>
          <w:color w:val="000080"/>
          <w:sz w:val="36"/>
          <w:szCs w:val="26"/>
          <w:lang w:val="es-ES_tradnl"/>
        </w:rPr>
      </w:pPr>
    </w:p>
    <w:p w:rsidR="005C6E47" w:rsidRPr="00650FF1" w:rsidP="005C6E47">
      <w:pPr>
        <w:pStyle w:val="Text1"/>
        <w:spacing w:before="120"/>
        <w:ind w:left="2520" w:hanging="1620"/>
        <w:jc w:val="left"/>
        <w:rPr>
          <w:rFonts w:ascii="Calibri" w:hAnsi="Calibri"/>
          <w:b/>
          <w:smallCaps/>
          <w:color w:val="000080"/>
          <w:sz w:val="36"/>
          <w:szCs w:val="26"/>
          <w:lang w:val="es-ES_tradnl"/>
        </w:rPr>
      </w:pPr>
    </w:p>
    <w:p w:rsidR="005C6E47" w:rsidRPr="00650FF1" w:rsidP="005C6E47">
      <w:pPr>
        <w:rPr>
          <w:lang w:val="es-ES_tradnl" w:eastAsia="x-none"/>
        </w:rPr>
      </w:pPr>
    </w:p>
    <w:p w:rsidR="005C6E47" w:rsidRPr="00650FF1" w:rsidP="005C6E47">
      <w:pPr>
        <w:rPr>
          <w:lang w:val="es-ES_tradnl" w:eastAsia="x-none"/>
        </w:rPr>
      </w:pPr>
    </w:p>
    <w:p w:rsidR="005C6E47" w:rsidRPr="00650FF1" w:rsidP="005C6E47">
      <w:pPr>
        <w:rPr>
          <w:lang w:val="es-ES_tradnl" w:eastAsia="x-none"/>
        </w:rPr>
      </w:pPr>
    </w:p>
    <w:p w:rsidR="005C6E47" w:rsidRPr="00650FF1" w:rsidP="005C6E47">
      <w:pPr>
        <w:rPr>
          <w:lang w:val="es-ES_tradnl" w:eastAsia="x-none"/>
        </w:rPr>
      </w:pPr>
    </w:p>
    <w:p w:rsidR="005C6E47" w:rsidRPr="00650FF1" w:rsidP="005C6E47">
      <w:pPr>
        <w:rPr>
          <w:lang w:val="es-ES_tradnl" w:eastAsia="x-none"/>
        </w:rPr>
      </w:pPr>
    </w:p>
    <w:p w:rsidR="005C6E47" w:rsidRPr="00650FF1" w:rsidP="005C6E47">
      <w:pPr>
        <w:rPr>
          <w:lang w:val="es-ES_tradnl" w:eastAsia="x-none"/>
        </w:rPr>
      </w:pPr>
    </w:p>
    <w:p w:rsidR="005C6E47" w:rsidRPr="00650FF1" w:rsidP="005C6E47">
      <w:pPr>
        <w:rPr>
          <w:lang w:val="es-ES_tradnl" w:eastAsia="x-none"/>
        </w:rPr>
      </w:pPr>
    </w:p>
    <w:p w:rsidR="005C6E47" w:rsidRPr="00650FF1" w:rsidP="005C6E47">
      <w:pPr>
        <w:rPr>
          <w:lang w:val="es-ES_tradnl" w:eastAsia="x-none"/>
        </w:rPr>
      </w:pPr>
    </w:p>
    <w:p w:rsidR="005C6E47" w:rsidRPr="00650FF1" w:rsidP="005C6E47">
      <w:pPr>
        <w:pStyle w:val="Text1"/>
        <w:tabs>
          <w:tab w:val="left" w:pos="6128"/>
        </w:tabs>
        <w:ind w:left="0"/>
      </w:pPr>
    </w:p>
    <w:p w:rsidR="005C6E47" w:rsidRPr="00650FF1" w:rsidP="005C6E47">
      <w:pPr>
        <w:pStyle w:val="Text1"/>
        <w:ind w:left="0"/>
      </w:pPr>
      <w:r w:rsidRPr="00650FF1">
        <w:br w:type="page"/>
      </w:r>
    </w:p>
    <w:p w:rsidR="005C6E47" w:rsidRPr="00650FF1" w:rsidP="005C6E47">
      <w:pPr>
        <w:pStyle w:val="PUNTOS2"/>
        <w:ind w:left="567"/>
        <w:rPr>
          <w:smallCaps/>
          <w:color w:val="auto"/>
          <w:sz w:val="32"/>
        </w:rPr>
      </w:pPr>
      <w:r w:rsidRPr="00650FF1">
        <w:rPr>
          <w:smallCaps/>
          <w:color w:val="auto"/>
          <w:sz w:val="32"/>
        </w:rPr>
        <w:t>General Summary</w:t>
      </w:r>
    </w:p>
    <w:p w:rsidR="005C6E47" w:rsidRPr="00650FF1" w:rsidP="005C6E47">
      <w:pPr>
        <w:pStyle w:val="PUNTOS2"/>
        <w:numPr>
          <w:ilvl w:val="0"/>
          <w:numId w:val="0"/>
        </w:numPr>
        <w:jc w:val="center"/>
        <w:rPr>
          <w:noProof/>
          <w:snapToGrid/>
          <w:color w:val="auto"/>
          <w:lang w:eastAsia="es-ES"/>
        </w:rPr>
      </w:pPr>
    </w:p>
    <w:p w:rsidR="005C6E47" w:rsidRPr="00650FF1" w:rsidP="005C6E47">
      <w:pPr>
        <w:pStyle w:val="PUNTOS2"/>
        <w:numPr>
          <w:ilvl w:val="0"/>
          <w:numId w:val="0"/>
        </w:numPr>
        <w:jc w:val="center"/>
        <w:rPr>
          <w:noProof/>
          <w:snapToGrid/>
          <w:color w:val="auto"/>
        </w:rPr>
      </w:pPr>
      <w:r w:rsidRPr="00650FF1">
        <w:rPr>
          <w:noProof/>
          <w:snapToGrid/>
          <w:color w:val="auto"/>
          <w:lang w:val="fr-FR" w:eastAsia="fr-FR"/>
        </w:rPr>
        <w:drawing>
          <wp:inline distT="0" distB="0" distL="0" distR="0">
            <wp:extent cx="5760000" cy="35496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44024" name="Picture 7"/>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549600"/>
                    </a:xfrm>
                    <a:prstGeom prst="rect">
                      <a:avLst/>
                    </a:prstGeom>
                    <a:noFill/>
                    <a:ln>
                      <a:noFill/>
                    </a:ln>
                  </pic:spPr>
                </pic:pic>
              </a:graphicData>
            </a:graphic>
          </wp:inline>
        </w:drawing>
      </w: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pPr>
              <w:rPr>
                <w:noProof/>
                <w:snapToGrid/>
              </w:rPr>
            </w:pPr>
            <w:r w:rsidRPr="00650FF1">
              <w:rPr>
                <w:snapToGrid/>
                <w:lang w:val="es-ES_tradnl"/>
              </w:rPr>
              <w:t>Accidentes ferroviarios significativos</w:t>
            </w:r>
          </w:p>
        </w:tc>
        <w:tc>
          <w:tcPr>
            <w:tcW w:w="5211" w:type="dxa"/>
          </w:tcPr>
          <w:p w:rsidR="005C6E47" w:rsidRPr="00650FF1" w:rsidP="002F2972">
            <w:pPr>
              <w:rPr>
                <w:noProof/>
                <w:snapToGrid/>
              </w:rPr>
            </w:pPr>
            <w:r w:rsidRPr="00650FF1">
              <w:rPr>
                <w:snapToGrid/>
              </w:rPr>
              <w:t>Significant railway accidents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Excluida red RAM</w:t>
            </w:r>
          </w:p>
        </w:tc>
        <w:tc>
          <w:tcPr>
            <w:tcW w:w="5211" w:type="dxa"/>
          </w:tcPr>
          <w:p w:rsidR="005C6E47" w:rsidRPr="00650FF1" w:rsidP="002F2972">
            <w:pPr>
              <w:rPr>
                <w:noProof/>
                <w:snapToGrid/>
              </w:rPr>
            </w:pPr>
            <w:r w:rsidRPr="00650FF1">
              <w:rPr>
                <w:snapToGrid/>
              </w:rPr>
              <w:t>Excluding the RAM network</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Total red</w:t>
            </w:r>
          </w:p>
        </w:tc>
        <w:tc>
          <w:tcPr>
            <w:tcW w:w="5211" w:type="dxa"/>
          </w:tcPr>
          <w:p w:rsidR="005C6E47" w:rsidRPr="00650FF1" w:rsidP="002F2972">
            <w:pPr>
              <w:rPr>
                <w:noProof/>
                <w:snapToGrid/>
              </w:rPr>
            </w:pPr>
            <w:r w:rsidRPr="00650FF1">
              <w:rPr>
                <w:snapToGrid/>
              </w:rPr>
              <w:t>Total network</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A personas (por MR)</w:t>
            </w:r>
          </w:p>
        </w:tc>
        <w:tc>
          <w:tcPr>
            <w:tcW w:w="5211" w:type="dxa"/>
          </w:tcPr>
          <w:p w:rsidR="005C6E47" w:rsidRPr="00650FF1" w:rsidP="002F2972">
            <w:pPr>
              <w:rPr>
                <w:noProof/>
                <w:snapToGrid/>
              </w:rPr>
            </w:pPr>
            <w:r w:rsidRPr="00650FF1">
              <w:rPr>
                <w:snapToGrid/>
              </w:rPr>
              <w:t>Involving people (by rolling stock)</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En pasos a nivel</w:t>
            </w:r>
          </w:p>
        </w:tc>
        <w:tc>
          <w:tcPr>
            <w:tcW w:w="5211" w:type="dxa"/>
          </w:tcPr>
          <w:p w:rsidR="005C6E47" w:rsidRPr="00650FF1" w:rsidP="002F2972">
            <w:pPr>
              <w:rPr>
                <w:noProof/>
                <w:snapToGrid/>
              </w:rPr>
            </w:pPr>
            <w:r w:rsidRPr="00650FF1">
              <w:rPr>
                <w:snapToGrid/>
              </w:rPr>
              <w:t>At level crossings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Colisiones</w:t>
            </w:r>
          </w:p>
        </w:tc>
        <w:tc>
          <w:tcPr>
            <w:tcW w:w="5211" w:type="dxa"/>
          </w:tcPr>
          <w:p w:rsidR="005C6E47" w:rsidRPr="00650FF1" w:rsidP="002F2972">
            <w:pPr>
              <w:rPr>
                <w:noProof/>
                <w:snapToGrid/>
              </w:rPr>
            </w:pPr>
            <w:r w:rsidRPr="00650FF1">
              <w:rPr>
                <w:snapToGrid/>
              </w:rPr>
              <w:t>Collisions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Descarrilamientos</w:t>
            </w:r>
          </w:p>
        </w:tc>
        <w:tc>
          <w:tcPr>
            <w:tcW w:w="5211" w:type="dxa"/>
          </w:tcPr>
          <w:p w:rsidR="005C6E47" w:rsidRPr="00650FF1" w:rsidP="002F2972">
            <w:pPr>
              <w:rPr>
                <w:noProof/>
                <w:snapToGrid/>
              </w:rPr>
            </w:pPr>
            <w:r w:rsidRPr="00650FF1">
              <w:rPr>
                <w:snapToGrid/>
              </w:rPr>
              <w:t>Derailments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Incendios</w:t>
            </w:r>
          </w:p>
        </w:tc>
        <w:tc>
          <w:tcPr>
            <w:tcW w:w="5211" w:type="dxa"/>
          </w:tcPr>
          <w:p w:rsidR="005C6E47" w:rsidRPr="00650FF1" w:rsidP="002F2972">
            <w:pPr>
              <w:rPr>
                <w:noProof/>
                <w:snapToGrid/>
              </w:rPr>
            </w:pPr>
            <w:r w:rsidRPr="00650FF1">
              <w:rPr>
                <w:snapToGrid/>
              </w:rPr>
              <w:t>Fires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Otros</w:t>
            </w:r>
          </w:p>
        </w:tc>
        <w:tc>
          <w:tcPr>
            <w:tcW w:w="5211" w:type="dxa"/>
          </w:tcPr>
          <w:p w:rsidR="005C6E47" w:rsidRPr="00650FF1" w:rsidP="002F2972">
            <w:pPr>
              <w:rPr>
                <w:noProof/>
                <w:snapToGrid/>
              </w:rPr>
            </w:pPr>
            <w:r w:rsidRPr="00650FF1">
              <w:rPr>
                <w:snapToGrid/>
              </w:rPr>
              <w:t>Others</w:t>
            </w:r>
          </w:p>
        </w:tc>
      </w:tr>
    </w:tbl>
    <w:p w:rsidR="005C6E47" w:rsidRPr="00650FF1" w:rsidP="005C6E47">
      <w:pPr>
        <w:rPr>
          <w:noProof/>
          <w:snapToGrid/>
          <w:lang w:val="es-ES_tradnl"/>
        </w:rPr>
      </w:pPr>
    </w:p>
    <w:p w:rsidR="005C6E47" w:rsidRPr="00650FF1" w:rsidP="005C6E47">
      <w:pPr>
        <w:pStyle w:val="PUNTOS2"/>
        <w:numPr>
          <w:ilvl w:val="0"/>
          <w:numId w:val="0"/>
        </w:numPr>
        <w:jc w:val="center"/>
        <w:rPr>
          <w:noProof/>
          <w:snapToGrid/>
          <w:color w:val="auto"/>
        </w:rPr>
      </w:pPr>
      <w:r w:rsidRPr="00650FF1">
        <w:rPr>
          <w:noProof/>
          <w:snapToGrid/>
          <w:color w:val="auto"/>
          <w:lang w:val="fr-FR" w:eastAsia="fr-FR"/>
        </w:rPr>
        <w:drawing>
          <wp:inline distT="0" distB="0" distL="0" distR="0">
            <wp:extent cx="5760000" cy="3438518"/>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7092" name="Picture 20"/>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438518"/>
                    </a:xfrm>
                    <a:prstGeom prst="rect">
                      <a:avLst/>
                    </a:prstGeom>
                    <a:noFill/>
                  </pic:spPr>
                </pic:pic>
              </a:graphicData>
            </a:graphic>
          </wp:inline>
        </w:drawing>
      </w: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pPr>
              <w:rPr>
                <w:noProof/>
                <w:snapToGrid/>
              </w:rPr>
            </w:pPr>
            <w:r w:rsidRPr="00650FF1">
              <w:rPr>
                <w:snapToGrid/>
                <w:lang w:val="es-ES_tradnl"/>
              </w:rPr>
              <w:t>Precursores de accidentes por tipo</w:t>
            </w:r>
          </w:p>
        </w:tc>
        <w:tc>
          <w:tcPr>
            <w:tcW w:w="5211" w:type="dxa"/>
          </w:tcPr>
          <w:p w:rsidR="005C6E47" w:rsidRPr="00650FF1" w:rsidP="002F2972">
            <w:pPr>
              <w:rPr>
                <w:noProof/>
                <w:snapToGrid/>
              </w:rPr>
            </w:pPr>
            <w:r w:rsidRPr="00650FF1">
              <w:rPr>
                <w:snapToGrid/>
              </w:rPr>
              <w:t>Precursors of accidents by type</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Excluida red RAM</w:t>
            </w:r>
          </w:p>
        </w:tc>
        <w:tc>
          <w:tcPr>
            <w:tcW w:w="5211" w:type="dxa"/>
          </w:tcPr>
          <w:p w:rsidR="005C6E47" w:rsidRPr="00650FF1" w:rsidP="002F2972">
            <w:pPr>
              <w:rPr>
                <w:noProof/>
                <w:snapToGrid/>
              </w:rPr>
            </w:pPr>
            <w:r w:rsidRPr="00650FF1">
              <w:rPr>
                <w:snapToGrid/>
              </w:rPr>
              <w:t>Excluding the RAM network</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Deformaciones de vía</w:t>
            </w:r>
          </w:p>
        </w:tc>
        <w:tc>
          <w:tcPr>
            <w:tcW w:w="5211" w:type="dxa"/>
          </w:tcPr>
          <w:p w:rsidR="005C6E47" w:rsidRPr="00650FF1" w:rsidP="002F2972">
            <w:pPr>
              <w:rPr>
                <w:noProof/>
                <w:snapToGrid/>
              </w:rPr>
            </w:pPr>
            <w:r w:rsidRPr="00650FF1">
              <w:rPr>
                <w:snapToGrid/>
              </w:rPr>
              <w:t>Warped track</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Roturas de carril</w:t>
            </w:r>
          </w:p>
        </w:tc>
        <w:tc>
          <w:tcPr>
            <w:tcW w:w="5211" w:type="dxa"/>
          </w:tcPr>
          <w:p w:rsidR="005C6E47" w:rsidRPr="00650FF1" w:rsidP="002F2972">
            <w:pPr>
              <w:rPr>
                <w:noProof/>
                <w:snapToGrid/>
              </w:rPr>
            </w:pPr>
            <w:r w:rsidRPr="00650FF1">
              <w:rPr>
                <w:snapToGrid/>
              </w:rPr>
              <w:t>Broken rails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SPADs</w:t>
            </w:r>
          </w:p>
        </w:tc>
        <w:tc>
          <w:tcPr>
            <w:tcW w:w="5211" w:type="dxa"/>
          </w:tcPr>
          <w:p w:rsidR="005C6E47" w:rsidRPr="00650FF1" w:rsidP="002F2972">
            <w:pPr>
              <w:rPr>
                <w:noProof/>
                <w:snapToGrid/>
              </w:rPr>
            </w:pPr>
            <w:r w:rsidRPr="00650FF1">
              <w:rPr>
                <w:snapToGrid/>
              </w:rPr>
              <w:t>SPADs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Fallos de señalización</w:t>
            </w:r>
          </w:p>
        </w:tc>
        <w:tc>
          <w:tcPr>
            <w:tcW w:w="5211" w:type="dxa"/>
          </w:tcPr>
          <w:p w:rsidR="005C6E47" w:rsidRPr="00650FF1" w:rsidP="002F2972">
            <w:pPr>
              <w:rPr>
                <w:noProof/>
                <w:snapToGrid/>
              </w:rPr>
            </w:pPr>
            <w:r w:rsidRPr="00650FF1">
              <w:rPr>
                <w:snapToGrid/>
              </w:rPr>
              <w:t>Signal failures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Ruedas rotas</w:t>
            </w:r>
          </w:p>
        </w:tc>
        <w:tc>
          <w:tcPr>
            <w:tcW w:w="5211" w:type="dxa"/>
          </w:tcPr>
          <w:p w:rsidR="005C6E47" w:rsidRPr="00650FF1" w:rsidP="002F2972">
            <w:pPr>
              <w:rPr>
                <w:noProof/>
                <w:snapToGrid/>
              </w:rPr>
            </w:pPr>
            <w:r w:rsidRPr="00650FF1">
              <w:rPr>
                <w:snapToGrid/>
              </w:rPr>
              <w:t>Broken wheels</w:t>
            </w:r>
          </w:p>
        </w:tc>
      </w:tr>
      <w:tr w:rsidTr="002F2972">
        <w:tblPrEx>
          <w:tblW w:w="10421" w:type="dxa"/>
          <w:tblLook w:val="04A0"/>
        </w:tblPrEx>
        <w:tc>
          <w:tcPr>
            <w:tcW w:w="5210" w:type="dxa"/>
          </w:tcPr>
          <w:p w:rsidR="005C6E47" w:rsidRPr="00650FF1" w:rsidP="002F2972">
            <w:pPr>
              <w:rPr>
                <w:noProof/>
                <w:snapToGrid/>
              </w:rPr>
            </w:pPr>
            <w:r w:rsidRPr="00650FF1">
              <w:rPr>
                <w:snapToGrid/>
                <w:lang w:val="es-ES_tradnl"/>
              </w:rPr>
              <w:t>Ejes rotos</w:t>
            </w:r>
          </w:p>
        </w:tc>
        <w:tc>
          <w:tcPr>
            <w:tcW w:w="5211" w:type="dxa"/>
          </w:tcPr>
          <w:p w:rsidR="005C6E47" w:rsidRPr="00650FF1" w:rsidP="002F2972">
            <w:pPr>
              <w:rPr>
                <w:noProof/>
                <w:snapToGrid/>
              </w:rPr>
            </w:pPr>
            <w:r w:rsidRPr="00650FF1">
              <w:rPr>
                <w:snapToGrid/>
              </w:rPr>
              <w:t>Broken axles</w:t>
            </w:r>
          </w:p>
        </w:tc>
      </w:tr>
    </w:tbl>
    <w:p w:rsidR="005C6E47" w:rsidRPr="00650FF1" w:rsidP="005C6E47">
      <w:pPr>
        <w:rPr>
          <w:noProof/>
          <w:snapToGrid/>
          <w:lang w:val="es-ES_tradnl"/>
        </w:rPr>
      </w:pPr>
    </w:p>
    <w:p w:rsidR="005C6E47" w:rsidRPr="00650FF1" w:rsidP="005C6E47">
      <w:pPr>
        <w:pStyle w:val="PUNTOS2"/>
        <w:numPr>
          <w:ilvl w:val="0"/>
          <w:numId w:val="0"/>
        </w:numPr>
        <w:jc w:val="center"/>
        <w:rPr>
          <w:noProof/>
          <w:snapToGrid/>
          <w:color w:val="auto"/>
          <w:lang w:eastAsia="es-ES"/>
        </w:rPr>
      </w:pPr>
    </w:p>
    <w:p w:rsidR="005C6E47" w:rsidRPr="00650FF1" w:rsidP="005C6E47">
      <w:pPr>
        <w:pStyle w:val="PUNTOS2"/>
        <w:numPr>
          <w:ilvl w:val="0"/>
          <w:numId w:val="0"/>
        </w:numPr>
        <w:jc w:val="center"/>
        <w:rPr>
          <w:noProof/>
          <w:snapToGrid/>
          <w:color w:val="auto"/>
          <w:lang w:eastAsia="en-US"/>
        </w:rPr>
      </w:pPr>
    </w:p>
    <w:p w:rsidR="005C6E47" w:rsidRPr="00650FF1" w:rsidP="005C6E47">
      <w:pPr>
        <w:pStyle w:val="PUNTOS2"/>
        <w:keepNext/>
        <w:ind w:left="567"/>
        <w:rPr>
          <w:smallCaps/>
          <w:color w:val="auto"/>
          <w:sz w:val="32"/>
        </w:rPr>
      </w:pPr>
      <w:r w:rsidRPr="00650FF1">
        <w:rPr>
          <w:smallCaps/>
          <w:color w:val="auto"/>
          <w:sz w:val="32"/>
        </w:rPr>
        <w:t>Fatalities</w:t>
      </w:r>
    </w:p>
    <w:p w:rsidR="005C6E47" w:rsidRPr="00650FF1" w:rsidP="005C6E47">
      <w:pPr>
        <w:jc w:val="center"/>
        <w:rPr>
          <w:noProof/>
        </w:rPr>
      </w:pPr>
      <w:r w:rsidRPr="00650FF1">
        <w:rPr>
          <w:noProof/>
          <w:lang w:val="fr-FR" w:eastAsia="fr-FR"/>
        </w:rPr>
        <w:drawing>
          <wp:inline distT="0" distB="0" distL="0" distR="0">
            <wp:extent cx="5760000" cy="3888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41393" name="Picture 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888000"/>
                    </a:xfrm>
                    <a:prstGeom prst="rect">
                      <a:avLst/>
                    </a:prstGeom>
                    <a:noFill/>
                    <a:ln>
                      <a:noFill/>
                    </a:ln>
                  </pic:spPr>
                </pic:pic>
              </a:graphicData>
            </a:graphic>
          </wp:inline>
        </w:drawing>
      </w:r>
    </w:p>
    <w:p w:rsidR="005C6E47" w:rsidRPr="00650FF1" w:rsidP="005C6E47">
      <w:pPr>
        <w:jc w:val="center"/>
        <w:rPr>
          <w:noProof/>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pPr>
              <w:rPr>
                <w:noProof/>
              </w:rPr>
            </w:pPr>
            <w:r w:rsidRPr="00650FF1">
              <w:rPr>
                <w:lang w:val="es-ES_tradnl"/>
              </w:rPr>
              <w:t>Víctimas mortales por tipo de accidente</w:t>
            </w:r>
          </w:p>
        </w:tc>
        <w:tc>
          <w:tcPr>
            <w:tcW w:w="5211" w:type="dxa"/>
          </w:tcPr>
          <w:p w:rsidR="005C6E47" w:rsidRPr="00650FF1" w:rsidP="002F2972">
            <w:pPr>
              <w:rPr>
                <w:noProof/>
              </w:rPr>
            </w:pPr>
            <w:r w:rsidRPr="00650FF1">
              <w:t>Fatalities by type of accident</w:t>
            </w:r>
          </w:p>
        </w:tc>
      </w:tr>
      <w:tr w:rsidTr="002F2972">
        <w:tblPrEx>
          <w:tblW w:w="10421" w:type="dxa"/>
          <w:tblLook w:val="04A0"/>
        </w:tblPrEx>
        <w:tc>
          <w:tcPr>
            <w:tcW w:w="5210" w:type="dxa"/>
          </w:tcPr>
          <w:p w:rsidR="005C6E47" w:rsidRPr="00650FF1" w:rsidP="002F2972">
            <w:pPr>
              <w:rPr>
                <w:noProof/>
              </w:rPr>
            </w:pPr>
            <w:r w:rsidRPr="00650FF1">
              <w:rPr>
                <w:lang w:val="es-ES_tradnl"/>
              </w:rPr>
              <w:t>Accidentes a personas</w:t>
            </w:r>
          </w:p>
        </w:tc>
        <w:tc>
          <w:tcPr>
            <w:tcW w:w="5211" w:type="dxa"/>
          </w:tcPr>
          <w:p w:rsidR="005C6E47" w:rsidRPr="00650FF1" w:rsidP="002F2972">
            <w:pPr>
              <w:rPr>
                <w:noProof/>
              </w:rPr>
            </w:pPr>
            <w:r w:rsidRPr="00650FF1">
              <w:t>Accidents involving people</w:t>
            </w:r>
          </w:p>
        </w:tc>
      </w:tr>
      <w:tr w:rsidTr="002F2972">
        <w:tblPrEx>
          <w:tblW w:w="10421" w:type="dxa"/>
          <w:tblLook w:val="04A0"/>
        </w:tblPrEx>
        <w:tc>
          <w:tcPr>
            <w:tcW w:w="5210" w:type="dxa"/>
          </w:tcPr>
          <w:p w:rsidR="005C6E47" w:rsidRPr="00650FF1" w:rsidP="002F2972">
            <w:pPr>
              <w:rPr>
                <w:noProof/>
              </w:rPr>
            </w:pPr>
            <w:r w:rsidRPr="00650FF1">
              <w:rPr>
                <w:lang w:val="es-ES_tradnl"/>
              </w:rPr>
              <w:t>Accidentes en paso a nivel</w:t>
            </w:r>
          </w:p>
        </w:tc>
        <w:tc>
          <w:tcPr>
            <w:tcW w:w="5211" w:type="dxa"/>
          </w:tcPr>
          <w:p w:rsidR="005C6E47" w:rsidRPr="00650FF1" w:rsidP="002F2972">
            <w:pPr>
              <w:rPr>
                <w:noProof/>
              </w:rPr>
            </w:pPr>
            <w:r w:rsidRPr="00650FF1">
              <w:t>Accidents at level crossings</w:t>
            </w:r>
          </w:p>
        </w:tc>
      </w:tr>
      <w:tr w:rsidTr="002F2972">
        <w:tblPrEx>
          <w:tblW w:w="10421" w:type="dxa"/>
          <w:tblLook w:val="04A0"/>
        </w:tblPrEx>
        <w:tc>
          <w:tcPr>
            <w:tcW w:w="5210" w:type="dxa"/>
          </w:tcPr>
          <w:p w:rsidR="005C6E47" w:rsidRPr="00650FF1" w:rsidP="002F2972">
            <w:pPr>
              <w:rPr>
                <w:noProof/>
              </w:rPr>
            </w:pPr>
            <w:r w:rsidRPr="00650FF1">
              <w:rPr>
                <w:lang w:val="es-ES_tradnl"/>
              </w:rPr>
              <w:t xml:space="preserve">Colisiones (inc. Arrollamiento </w:t>
            </w:r>
            <w:r w:rsidRPr="00650FF1">
              <w:rPr>
                <w:lang w:val="es-ES_tradnl"/>
              </w:rPr>
              <w:t>obs</w:t>
            </w:r>
            <w:r w:rsidRPr="00650FF1">
              <w:rPr>
                <w:lang w:val="es-ES_tradnl"/>
              </w:rPr>
              <w:t>.)</w:t>
            </w:r>
          </w:p>
        </w:tc>
        <w:tc>
          <w:tcPr>
            <w:tcW w:w="5211" w:type="dxa"/>
          </w:tcPr>
          <w:p w:rsidR="005C6E47" w:rsidRPr="00650FF1" w:rsidP="002F2972">
            <w:pPr>
              <w:rPr>
                <w:noProof/>
              </w:rPr>
            </w:pPr>
            <w:r w:rsidRPr="00650FF1">
              <w:t>Collisions (including running over obstacles)</w:t>
            </w:r>
          </w:p>
        </w:tc>
      </w:tr>
      <w:tr w:rsidTr="002F2972">
        <w:tblPrEx>
          <w:tblW w:w="10421" w:type="dxa"/>
          <w:tblLook w:val="04A0"/>
        </w:tblPrEx>
        <w:tc>
          <w:tcPr>
            <w:tcW w:w="5210" w:type="dxa"/>
          </w:tcPr>
          <w:p w:rsidR="005C6E47" w:rsidRPr="00650FF1" w:rsidP="002F2972">
            <w:pPr>
              <w:rPr>
                <w:noProof/>
              </w:rPr>
            </w:pPr>
            <w:r w:rsidRPr="00650FF1">
              <w:rPr>
                <w:lang w:val="es-ES_tradnl"/>
              </w:rPr>
              <w:t>Descarrilamientos</w:t>
            </w:r>
          </w:p>
        </w:tc>
        <w:tc>
          <w:tcPr>
            <w:tcW w:w="5211" w:type="dxa"/>
          </w:tcPr>
          <w:p w:rsidR="005C6E47" w:rsidRPr="00650FF1" w:rsidP="002F2972">
            <w:pPr>
              <w:rPr>
                <w:noProof/>
              </w:rPr>
            </w:pPr>
            <w:r w:rsidRPr="00650FF1">
              <w:t>Derailments</w:t>
            </w:r>
          </w:p>
        </w:tc>
      </w:tr>
    </w:tbl>
    <w:p w:rsidR="005C6E47" w:rsidRPr="00650FF1" w:rsidP="005C6E47">
      <w:pPr>
        <w:rPr>
          <w:noProof/>
          <w:lang w:val="es-ES_tradnl"/>
        </w:rPr>
      </w:pPr>
    </w:p>
    <w:p w:rsidR="005C6E47" w:rsidRPr="00650FF1" w:rsidP="005C6E47">
      <w:pPr>
        <w:jc w:val="center"/>
        <w:rPr>
          <w:noProof/>
        </w:rPr>
      </w:pPr>
      <w:r w:rsidRPr="00650FF1">
        <w:rPr>
          <w:noProof/>
          <w:lang w:val="fr-FR" w:eastAsia="fr-FR"/>
        </w:rPr>
        <w:drawing>
          <wp:inline distT="0" distB="0" distL="0" distR="0">
            <wp:extent cx="5760000" cy="384120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11142" name="Picture 2"/>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841200"/>
                    </a:xfrm>
                    <a:prstGeom prst="rect">
                      <a:avLst/>
                    </a:prstGeom>
                    <a:noFill/>
                    <a:ln>
                      <a:noFill/>
                    </a:ln>
                  </pic:spPr>
                </pic:pic>
              </a:graphicData>
            </a:graphic>
          </wp:inline>
        </w:drawing>
      </w:r>
    </w:p>
    <w:p w:rsidR="005C6E47" w:rsidRPr="00650FF1" w:rsidP="005C6E47">
      <w:pPr>
        <w:jc w:val="center"/>
        <w:rPr>
          <w:noProof/>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pPr>
              <w:rPr>
                <w:noProof/>
              </w:rPr>
            </w:pPr>
            <w:r w:rsidRPr="00650FF1">
              <w:rPr>
                <w:lang w:val="es-ES_tradnl"/>
              </w:rPr>
              <w:t>Víctimas mortales por tipo de usuario</w:t>
            </w:r>
          </w:p>
        </w:tc>
        <w:tc>
          <w:tcPr>
            <w:tcW w:w="5211" w:type="dxa"/>
          </w:tcPr>
          <w:p w:rsidR="005C6E47" w:rsidRPr="00650FF1" w:rsidP="002F2972">
            <w:pPr>
              <w:rPr>
                <w:noProof/>
              </w:rPr>
            </w:pPr>
            <w:r w:rsidRPr="00650FF1">
              <w:t>Fatalities by type of user</w:t>
            </w:r>
          </w:p>
        </w:tc>
      </w:tr>
      <w:tr w:rsidTr="002F2972">
        <w:tblPrEx>
          <w:tblW w:w="10421" w:type="dxa"/>
          <w:tblLook w:val="04A0"/>
        </w:tblPrEx>
        <w:tc>
          <w:tcPr>
            <w:tcW w:w="5210" w:type="dxa"/>
          </w:tcPr>
          <w:p w:rsidR="005C6E47" w:rsidRPr="00650FF1" w:rsidP="002F2972">
            <w:pPr>
              <w:rPr>
                <w:noProof/>
              </w:rPr>
            </w:pPr>
            <w:r w:rsidRPr="00650FF1">
              <w:rPr>
                <w:lang w:val="es-ES_tradnl"/>
              </w:rPr>
              <w:t>Excluida red RAM</w:t>
            </w:r>
          </w:p>
        </w:tc>
        <w:tc>
          <w:tcPr>
            <w:tcW w:w="5211" w:type="dxa"/>
          </w:tcPr>
          <w:p w:rsidR="005C6E47" w:rsidRPr="00650FF1" w:rsidP="002F2972">
            <w:pPr>
              <w:rPr>
                <w:noProof/>
              </w:rPr>
            </w:pPr>
            <w:r w:rsidRPr="00650FF1">
              <w:t>Excluding the RAM network</w:t>
            </w:r>
          </w:p>
        </w:tc>
      </w:tr>
      <w:tr w:rsidTr="002F2972">
        <w:tblPrEx>
          <w:tblW w:w="10421" w:type="dxa"/>
          <w:tblLook w:val="04A0"/>
        </w:tblPrEx>
        <w:tc>
          <w:tcPr>
            <w:tcW w:w="5210" w:type="dxa"/>
          </w:tcPr>
          <w:p w:rsidR="005C6E47" w:rsidRPr="00650FF1" w:rsidP="002F2972">
            <w:pPr>
              <w:rPr>
                <w:noProof/>
              </w:rPr>
            </w:pPr>
            <w:r w:rsidRPr="00650FF1">
              <w:rPr>
                <w:lang w:val="es-ES_tradnl"/>
              </w:rPr>
              <w:t>Total red</w:t>
            </w:r>
          </w:p>
        </w:tc>
        <w:tc>
          <w:tcPr>
            <w:tcW w:w="5211" w:type="dxa"/>
          </w:tcPr>
          <w:p w:rsidR="005C6E47" w:rsidRPr="00650FF1" w:rsidP="002F2972">
            <w:pPr>
              <w:rPr>
                <w:noProof/>
              </w:rPr>
            </w:pPr>
            <w:r w:rsidRPr="00650FF1">
              <w:t>Total network</w:t>
            </w:r>
          </w:p>
        </w:tc>
      </w:tr>
      <w:tr w:rsidTr="002F2972">
        <w:tblPrEx>
          <w:tblW w:w="10421" w:type="dxa"/>
          <w:tblLook w:val="04A0"/>
        </w:tblPrEx>
        <w:tc>
          <w:tcPr>
            <w:tcW w:w="5210" w:type="dxa"/>
          </w:tcPr>
          <w:p w:rsidR="005C6E47" w:rsidRPr="00650FF1" w:rsidP="002F2972">
            <w:pPr>
              <w:rPr>
                <w:noProof/>
              </w:rPr>
            </w:pPr>
            <w:r w:rsidRPr="00650FF1">
              <w:rPr>
                <w:lang w:val="es-ES_tradnl"/>
              </w:rPr>
              <w:t>Personas no autorizadas*</w:t>
            </w:r>
          </w:p>
        </w:tc>
        <w:tc>
          <w:tcPr>
            <w:tcW w:w="5211" w:type="dxa"/>
          </w:tcPr>
          <w:p w:rsidR="005C6E47" w:rsidRPr="00650FF1" w:rsidP="002F2972">
            <w:pPr>
              <w:rPr>
                <w:noProof/>
              </w:rPr>
            </w:pPr>
            <w:r w:rsidRPr="00650FF1">
              <w:t>Unauthorised persons*</w:t>
            </w:r>
          </w:p>
        </w:tc>
      </w:tr>
      <w:tr w:rsidTr="002F2972">
        <w:tblPrEx>
          <w:tblW w:w="10421" w:type="dxa"/>
          <w:tblLook w:val="04A0"/>
        </w:tblPrEx>
        <w:tc>
          <w:tcPr>
            <w:tcW w:w="5210" w:type="dxa"/>
          </w:tcPr>
          <w:p w:rsidR="005C6E47" w:rsidRPr="00650FF1" w:rsidP="002F2972">
            <w:pPr>
              <w:rPr>
                <w:noProof/>
              </w:rPr>
            </w:pPr>
            <w:r w:rsidRPr="00650FF1">
              <w:rPr>
                <w:lang w:val="es-ES_tradnl"/>
              </w:rPr>
              <w:t>Usuarios de pasos a nivel</w:t>
            </w:r>
          </w:p>
        </w:tc>
        <w:tc>
          <w:tcPr>
            <w:tcW w:w="5211" w:type="dxa"/>
          </w:tcPr>
          <w:p w:rsidR="005C6E47" w:rsidRPr="00650FF1" w:rsidP="002F2972">
            <w:pPr>
              <w:rPr>
                <w:noProof/>
              </w:rPr>
            </w:pPr>
            <w:r w:rsidRPr="00650FF1">
              <w:t>Level crossing users</w:t>
            </w:r>
          </w:p>
        </w:tc>
      </w:tr>
      <w:tr w:rsidTr="002F2972">
        <w:tblPrEx>
          <w:tblW w:w="10421" w:type="dxa"/>
          <w:tblLook w:val="04A0"/>
        </w:tblPrEx>
        <w:tc>
          <w:tcPr>
            <w:tcW w:w="5210" w:type="dxa"/>
          </w:tcPr>
          <w:p w:rsidR="005C6E47" w:rsidRPr="00650FF1" w:rsidP="002F2972">
            <w:pPr>
              <w:rPr>
                <w:noProof/>
              </w:rPr>
            </w:pPr>
            <w:r w:rsidRPr="00650FF1">
              <w:rPr>
                <w:lang w:val="es-ES_tradnl"/>
              </w:rPr>
              <w:t>Viajeros</w:t>
            </w:r>
          </w:p>
        </w:tc>
        <w:tc>
          <w:tcPr>
            <w:tcW w:w="5211" w:type="dxa"/>
          </w:tcPr>
          <w:p w:rsidR="005C6E47" w:rsidRPr="00650FF1" w:rsidP="002F2972">
            <w:pPr>
              <w:rPr>
                <w:noProof/>
              </w:rPr>
            </w:pPr>
            <w:r w:rsidRPr="00650FF1">
              <w:t>Passengers</w:t>
            </w:r>
          </w:p>
        </w:tc>
      </w:tr>
      <w:tr w:rsidTr="002F2972">
        <w:tblPrEx>
          <w:tblW w:w="10421" w:type="dxa"/>
          <w:tblLook w:val="04A0"/>
        </w:tblPrEx>
        <w:tc>
          <w:tcPr>
            <w:tcW w:w="5210" w:type="dxa"/>
          </w:tcPr>
          <w:p w:rsidR="005C6E47" w:rsidRPr="00650FF1" w:rsidP="002F2972">
            <w:pPr>
              <w:rPr>
                <w:noProof/>
              </w:rPr>
            </w:pPr>
            <w:r w:rsidRPr="00650FF1">
              <w:rPr>
                <w:lang w:val="es-ES_tradnl"/>
              </w:rPr>
              <w:t>Empleados</w:t>
            </w:r>
          </w:p>
        </w:tc>
        <w:tc>
          <w:tcPr>
            <w:tcW w:w="5211" w:type="dxa"/>
          </w:tcPr>
          <w:p w:rsidR="005C6E47" w:rsidRPr="00650FF1" w:rsidP="002F2972">
            <w:pPr>
              <w:rPr>
                <w:noProof/>
              </w:rPr>
            </w:pPr>
            <w:r w:rsidRPr="00650FF1">
              <w:t>Employees</w:t>
            </w:r>
          </w:p>
        </w:tc>
      </w:tr>
      <w:tr w:rsidTr="002F2972">
        <w:tblPrEx>
          <w:tblW w:w="10421" w:type="dxa"/>
          <w:tblLook w:val="04A0"/>
        </w:tblPrEx>
        <w:tc>
          <w:tcPr>
            <w:tcW w:w="5210" w:type="dxa"/>
          </w:tcPr>
          <w:p w:rsidR="005C6E47" w:rsidRPr="00650FF1" w:rsidP="002F2972">
            <w:pPr>
              <w:rPr>
                <w:noProof/>
              </w:rPr>
            </w:pPr>
            <w:r w:rsidRPr="00650FF1">
              <w:rPr>
                <w:lang w:val="es-ES_tradnl"/>
              </w:rPr>
              <w:t>Otros*</w:t>
            </w:r>
          </w:p>
        </w:tc>
        <w:tc>
          <w:tcPr>
            <w:tcW w:w="5211" w:type="dxa"/>
          </w:tcPr>
          <w:p w:rsidR="005C6E47" w:rsidRPr="00650FF1" w:rsidP="002F2972">
            <w:pPr>
              <w:rPr>
                <w:noProof/>
              </w:rPr>
            </w:pPr>
            <w:r w:rsidRPr="00650FF1">
              <w:t>Others*</w:t>
            </w:r>
          </w:p>
        </w:tc>
      </w:tr>
    </w:tbl>
    <w:p w:rsidR="005C6E47" w:rsidRPr="00650FF1" w:rsidP="005C6E47">
      <w:pPr>
        <w:rPr>
          <w:noProof/>
          <w:lang w:val="es-ES_tradnl"/>
        </w:rPr>
      </w:pPr>
    </w:p>
    <w:p w:rsidR="005C6E47" w:rsidRPr="00650FF1" w:rsidP="005C6E47">
      <w:pPr>
        <w:jc w:val="center"/>
        <w:rPr>
          <w:sz w:val="14"/>
          <w:lang w:val="es-ES_tradnl"/>
        </w:rPr>
      </w:pPr>
    </w:p>
    <w:p w:rsidR="005C6E47" w:rsidRPr="00650FF1" w:rsidP="005C6E47">
      <w:pPr>
        <w:ind w:left="142" w:hanging="142"/>
        <w:rPr>
          <w:rFonts w:asciiTheme="minorHAnsi" w:hAnsiTheme="minorHAnsi" w:cstheme="minorHAnsi"/>
          <w:sz w:val="18"/>
        </w:rPr>
      </w:pPr>
      <w:r w:rsidRPr="00650FF1">
        <w:rPr>
          <w:rFonts w:asciiTheme="minorHAnsi" w:hAnsiTheme="minorHAnsi"/>
          <w:sz w:val="18"/>
        </w:rPr>
        <w:t xml:space="preserve">* In 2017, in order to maintain the historical series, various categories of victims (defined according to Royal Decree 1006/2005) </w:t>
      </w:r>
      <w:r w:rsidRPr="00650FF1">
        <w:rPr>
          <w:rFonts w:asciiTheme="minorHAnsi" w:hAnsiTheme="minorHAnsi"/>
          <w:sz w:val="18"/>
        </w:rPr>
        <w:t>have been considered</w:t>
      </w:r>
      <w:r w:rsidRPr="00650FF1">
        <w:rPr>
          <w:rFonts w:asciiTheme="minorHAnsi" w:hAnsiTheme="minorHAnsi"/>
          <w:sz w:val="18"/>
        </w:rPr>
        <w:t xml:space="preserve"> within the definitions used in previous years.  Specifically:</w:t>
      </w:r>
    </w:p>
    <w:p w:rsidR="005C6E47" w:rsidRPr="00650FF1" w:rsidP="005C6E47">
      <w:pPr>
        <w:ind w:left="142"/>
        <w:rPr>
          <w:rFonts w:asciiTheme="minorHAnsi" w:hAnsiTheme="minorHAnsi" w:cstheme="minorHAnsi"/>
          <w:sz w:val="18"/>
        </w:rPr>
      </w:pPr>
      <w:r w:rsidRPr="00650FF1">
        <w:rPr>
          <w:rFonts w:asciiTheme="minorHAnsi" w:hAnsiTheme="minorHAnsi"/>
          <w:sz w:val="18"/>
        </w:rPr>
        <w:t>Unauthorised persons: includes fatalities where the individual concerned is a 'Trespasser' or 'Another type of person present on the platform'.</w:t>
      </w:r>
    </w:p>
    <w:p w:rsidR="005C6E47" w:rsidRPr="00650FF1" w:rsidP="005C6E47">
      <w:pPr>
        <w:ind w:left="142"/>
        <w:rPr>
          <w:rFonts w:asciiTheme="minorHAnsi" w:hAnsiTheme="minorHAnsi" w:cstheme="minorHAnsi"/>
          <w:sz w:val="18"/>
        </w:rPr>
      </w:pPr>
      <w:r w:rsidRPr="00650FF1">
        <w:rPr>
          <w:rFonts w:asciiTheme="minorHAnsi" w:hAnsiTheme="minorHAnsi"/>
          <w:sz w:val="18"/>
        </w:rPr>
        <w:t>Others: includes fatalities where the individual concerned is 'Another type of person present on the platform'.</w:t>
      </w:r>
    </w:p>
    <w:p w:rsidR="005C6E47" w:rsidRPr="00650FF1" w:rsidP="005C6E47">
      <w:pPr>
        <w:rPr>
          <w:rFonts w:asciiTheme="minorHAnsi" w:hAnsiTheme="minorHAnsi" w:cstheme="minorHAnsi"/>
          <w:sz w:val="16"/>
          <w:lang w:val="es-ES_tradnl"/>
        </w:rPr>
      </w:pPr>
    </w:p>
    <w:p w:rsidR="005C6E47" w:rsidRPr="00650FF1" w:rsidP="005C6E47">
      <w:pPr>
        <w:jc w:val="center"/>
        <w:rPr>
          <w:lang w:val="es-ES_tradnl"/>
        </w:rPr>
      </w:pPr>
    </w:p>
    <w:p w:rsidR="005C6E47" w:rsidRPr="00650FF1" w:rsidP="005C6E47">
      <w:pPr>
        <w:pStyle w:val="PUNTOS2"/>
        <w:keepNext/>
        <w:ind w:left="567"/>
        <w:rPr>
          <w:smallCaps/>
          <w:color w:val="auto"/>
          <w:sz w:val="32"/>
        </w:rPr>
      </w:pPr>
      <w:r w:rsidRPr="00650FF1">
        <w:rPr>
          <w:smallCaps/>
          <w:color w:val="auto"/>
          <w:sz w:val="32"/>
        </w:rPr>
        <w:t>Serious injuries</w:t>
      </w:r>
    </w:p>
    <w:tbl>
      <w:tblPr>
        <w:tblW w:w="9720" w:type="dxa"/>
        <w:tblInd w:w="817" w:type="dxa"/>
        <w:tblLook w:val="01E0"/>
      </w:tblPr>
      <w:tblGrid>
        <w:gridCol w:w="9720"/>
      </w:tblGrid>
      <w:tr w:rsidTr="002F2972">
        <w:tblPrEx>
          <w:tblW w:w="9720" w:type="dxa"/>
          <w:tblInd w:w="817" w:type="dxa"/>
          <w:tblLook w:val="01E0"/>
        </w:tblPrEx>
        <w:tc>
          <w:tcPr>
            <w:tcW w:w="9720" w:type="dxa"/>
            <w:hideMark/>
          </w:tcPr>
          <w:p w:rsidR="005C6E47" w:rsidRPr="00650FF1" w:rsidP="002F2972">
            <w:pPr>
              <w:keepNext/>
              <w:ind w:left="284" w:hanging="142"/>
              <w:jc w:val="both"/>
              <w:rPr>
                <w:rFonts w:asciiTheme="minorHAnsi" w:hAnsiTheme="minorHAnsi" w:cstheme="minorHAnsi"/>
                <w:sz w:val="18"/>
                <w:szCs w:val="18"/>
                <w:lang w:val="es-ES_tradnl"/>
              </w:rPr>
            </w:pPr>
          </w:p>
        </w:tc>
      </w:tr>
    </w:tbl>
    <w:p w:rsidR="005C6E47" w:rsidRPr="00650FF1" w:rsidP="005C6E47">
      <w:pPr>
        <w:jc w:val="center"/>
        <w:rPr>
          <w:rFonts w:asciiTheme="minorHAnsi" w:hAnsiTheme="minorHAnsi" w:cstheme="minorHAnsi"/>
          <w:sz w:val="18"/>
          <w:szCs w:val="18"/>
        </w:rPr>
      </w:pPr>
      <w:r w:rsidRPr="00650FF1">
        <w:rPr>
          <w:rFonts w:asciiTheme="minorHAnsi" w:hAnsiTheme="minorHAnsi"/>
          <w:noProof/>
          <w:sz w:val="18"/>
          <w:szCs w:val="18"/>
          <w:lang w:val="fr-FR" w:eastAsia="fr-FR"/>
        </w:rPr>
        <w:drawing>
          <wp:inline distT="0" distB="0" distL="0" distR="0">
            <wp:extent cx="5760000" cy="374400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2824"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744000"/>
                    </a:xfrm>
                    <a:prstGeom prst="rect">
                      <a:avLst/>
                    </a:prstGeom>
                    <a:noFill/>
                    <a:ln>
                      <a:noFill/>
                    </a:ln>
                  </pic:spPr>
                </pic:pic>
              </a:graphicData>
            </a:graphic>
          </wp:inline>
        </w:drawing>
      </w:r>
    </w:p>
    <w:p w:rsidR="005C6E47" w:rsidRPr="00650FF1" w:rsidP="005C6E47">
      <w:pPr>
        <w:jc w:val="center"/>
        <w:rPr>
          <w:rFonts w:asciiTheme="minorHAnsi" w:hAnsiTheme="minorHAnsi" w:cstheme="minorHAnsi"/>
          <w:sz w:val="18"/>
          <w:szCs w:val="18"/>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r w:rsidRPr="00650FF1">
              <w:rPr>
                <w:lang w:val="es-ES_tradnl"/>
              </w:rPr>
              <w:t>Heridos graves por tipo de accidente</w:t>
            </w:r>
          </w:p>
        </w:tc>
        <w:tc>
          <w:tcPr>
            <w:tcW w:w="5211" w:type="dxa"/>
          </w:tcPr>
          <w:p w:rsidR="005C6E47" w:rsidRPr="00650FF1" w:rsidP="002F2972">
            <w:r w:rsidRPr="00650FF1">
              <w:t>Serious injuries by type of accident</w:t>
            </w:r>
          </w:p>
        </w:tc>
      </w:tr>
      <w:tr w:rsidTr="002F2972">
        <w:tblPrEx>
          <w:tblW w:w="10421" w:type="dxa"/>
          <w:tblLook w:val="04A0"/>
        </w:tblPrEx>
        <w:tc>
          <w:tcPr>
            <w:tcW w:w="5210" w:type="dxa"/>
          </w:tcPr>
          <w:p w:rsidR="005C6E47" w:rsidRPr="00650FF1" w:rsidP="002F2972">
            <w:r w:rsidRPr="00650FF1">
              <w:rPr>
                <w:lang w:val="es-ES_tradnl"/>
              </w:rPr>
              <w:t>Excluida red RAM</w:t>
            </w:r>
          </w:p>
        </w:tc>
        <w:tc>
          <w:tcPr>
            <w:tcW w:w="5211" w:type="dxa"/>
          </w:tcPr>
          <w:p w:rsidR="005C6E47" w:rsidRPr="00650FF1" w:rsidP="002F2972">
            <w:r w:rsidRPr="00650FF1">
              <w:t>Excluding the RAM network</w:t>
            </w:r>
          </w:p>
        </w:tc>
      </w:tr>
      <w:tr w:rsidTr="002F2972">
        <w:tblPrEx>
          <w:tblW w:w="10421" w:type="dxa"/>
          <w:tblLook w:val="04A0"/>
        </w:tblPrEx>
        <w:tc>
          <w:tcPr>
            <w:tcW w:w="5210" w:type="dxa"/>
          </w:tcPr>
          <w:p w:rsidR="005C6E47" w:rsidRPr="00650FF1" w:rsidP="002F2972">
            <w:r w:rsidRPr="00650FF1">
              <w:rPr>
                <w:lang w:val="es-ES_tradnl"/>
              </w:rPr>
              <w:t>Total Red</w:t>
            </w:r>
          </w:p>
        </w:tc>
        <w:tc>
          <w:tcPr>
            <w:tcW w:w="5211" w:type="dxa"/>
          </w:tcPr>
          <w:p w:rsidR="005C6E47" w:rsidRPr="00650FF1" w:rsidP="002F2972">
            <w:r w:rsidRPr="00650FF1">
              <w:t>Total network</w:t>
            </w:r>
          </w:p>
        </w:tc>
      </w:tr>
      <w:tr w:rsidTr="002F2972">
        <w:tblPrEx>
          <w:tblW w:w="10421" w:type="dxa"/>
          <w:tblLook w:val="04A0"/>
        </w:tblPrEx>
        <w:tc>
          <w:tcPr>
            <w:tcW w:w="5210" w:type="dxa"/>
          </w:tcPr>
          <w:p w:rsidR="005C6E47" w:rsidRPr="00650FF1" w:rsidP="002F2972">
            <w:r w:rsidRPr="00650FF1">
              <w:rPr>
                <w:lang w:val="es-ES_tradnl"/>
              </w:rPr>
              <w:t>Accidentes a personas</w:t>
            </w:r>
          </w:p>
        </w:tc>
        <w:tc>
          <w:tcPr>
            <w:tcW w:w="5211" w:type="dxa"/>
          </w:tcPr>
          <w:p w:rsidR="005C6E47" w:rsidRPr="00650FF1" w:rsidP="002F2972">
            <w:r w:rsidRPr="00650FF1">
              <w:t>Accidents involving people</w:t>
            </w:r>
          </w:p>
        </w:tc>
      </w:tr>
      <w:tr w:rsidTr="002F2972">
        <w:tblPrEx>
          <w:tblW w:w="10421" w:type="dxa"/>
          <w:tblLook w:val="04A0"/>
        </w:tblPrEx>
        <w:tc>
          <w:tcPr>
            <w:tcW w:w="5210" w:type="dxa"/>
          </w:tcPr>
          <w:p w:rsidR="005C6E47" w:rsidRPr="00650FF1" w:rsidP="002F2972">
            <w:r w:rsidRPr="00650FF1">
              <w:rPr>
                <w:lang w:val="es-ES_tradnl"/>
              </w:rPr>
              <w:t>Accidentes en pasos a nivel</w:t>
            </w:r>
          </w:p>
        </w:tc>
        <w:tc>
          <w:tcPr>
            <w:tcW w:w="5211" w:type="dxa"/>
          </w:tcPr>
          <w:p w:rsidR="005C6E47" w:rsidRPr="00650FF1" w:rsidP="002F2972">
            <w:r w:rsidRPr="00650FF1">
              <w:t>Accidents at level crossings</w:t>
            </w:r>
          </w:p>
        </w:tc>
      </w:tr>
      <w:tr w:rsidTr="002F2972">
        <w:tblPrEx>
          <w:tblW w:w="10421" w:type="dxa"/>
          <w:tblLook w:val="04A0"/>
        </w:tblPrEx>
        <w:tc>
          <w:tcPr>
            <w:tcW w:w="5210" w:type="dxa"/>
          </w:tcPr>
          <w:p w:rsidR="005C6E47" w:rsidRPr="00650FF1" w:rsidP="002F2972">
            <w:r w:rsidRPr="00650FF1">
              <w:rPr>
                <w:lang w:val="es-ES_tradnl"/>
              </w:rPr>
              <w:t>Colisiones</w:t>
            </w:r>
          </w:p>
        </w:tc>
        <w:tc>
          <w:tcPr>
            <w:tcW w:w="5211" w:type="dxa"/>
          </w:tcPr>
          <w:p w:rsidR="005C6E47" w:rsidRPr="00650FF1" w:rsidP="002F2972">
            <w:r w:rsidRPr="00650FF1">
              <w:t>Collisions</w:t>
            </w:r>
          </w:p>
        </w:tc>
      </w:tr>
      <w:tr w:rsidTr="002F2972">
        <w:tblPrEx>
          <w:tblW w:w="10421" w:type="dxa"/>
          <w:tblLook w:val="04A0"/>
        </w:tblPrEx>
        <w:tc>
          <w:tcPr>
            <w:tcW w:w="5210" w:type="dxa"/>
          </w:tcPr>
          <w:p w:rsidR="005C6E47" w:rsidRPr="00650FF1" w:rsidP="002F2972">
            <w:r w:rsidRPr="00650FF1">
              <w:rPr>
                <w:lang w:val="es-ES_tradnl"/>
              </w:rPr>
              <w:t>Descarrilamientos</w:t>
            </w:r>
          </w:p>
        </w:tc>
        <w:tc>
          <w:tcPr>
            <w:tcW w:w="5211" w:type="dxa"/>
          </w:tcPr>
          <w:p w:rsidR="005C6E47" w:rsidRPr="00650FF1" w:rsidP="002F2972">
            <w:r w:rsidRPr="00650FF1">
              <w:t>Derailments</w:t>
            </w:r>
          </w:p>
        </w:tc>
      </w:tr>
    </w:tbl>
    <w:p w:rsidR="005C6E47" w:rsidRPr="00650FF1" w:rsidP="005C6E47">
      <w:pPr>
        <w:rPr>
          <w:lang w:val="es-ES_tradnl"/>
        </w:rPr>
      </w:pPr>
    </w:p>
    <w:p w:rsidR="005C6E47" w:rsidRPr="00650FF1" w:rsidP="005C6E47">
      <w:pPr>
        <w:jc w:val="center"/>
        <w:rPr>
          <w:rFonts w:asciiTheme="minorHAnsi" w:hAnsiTheme="minorHAnsi" w:cstheme="minorHAnsi"/>
          <w:sz w:val="18"/>
          <w:szCs w:val="18"/>
          <w:lang w:val="es-ES_tradnl"/>
        </w:rPr>
      </w:pPr>
    </w:p>
    <w:p w:rsidR="005C6E47" w:rsidRPr="00650FF1" w:rsidP="005C6E47">
      <w:pPr>
        <w:jc w:val="center"/>
        <w:rPr>
          <w:rFonts w:asciiTheme="minorHAnsi" w:hAnsiTheme="minorHAnsi" w:cstheme="minorHAnsi"/>
          <w:sz w:val="18"/>
          <w:szCs w:val="18"/>
        </w:rPr>
      </w:pPr>
      <w:r w:rsidRPr="00650FF1">
        <w:rPr>
          <w:rFonts w:asciiTheme="minorHAnsi" w:hAnsiTheme="minorHAnsi"/>
          <w:noProof/>
          <w:sz w:val="18"/>
          <w:szCs w:val="18"/>
          <w:lang w:val="fr-FR" w:eastAsia="fr-FR"/>
        </w:rPr>
        <w:drawing>
          <wp:inline distT="0" distB="0" distL="0" distR="0">
            <wp:extent cx="5760000" cy="35928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7351" name="Picture 4"/>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592800"/>
                    </a:xfrm>
                    <a:prstGeom prst="rect">
                      <a:avLst/>
                    </a:prstGeom>
                    <a:noFill/>
                    <a:ln>
                      <a:noFill/>
                    </a:ln>
                  </pic:spPr>
                </pic:pic>
              </a:graphicData>
            </a:graphic>
          </wp:inline>
        </w:drawing>
      </w:r>
    </w:p>
    <w:p w:rsidR="005C6E47" w:rsidRPr="00650FF1" w:rsidP="005C6E47">
      <w:pPr>
        <w:jc w:val="center"/>
        <w:rPr>
          <w:rFonts w:asciiTheme="minorHAnsi" w:hAnsiTheme="minorHAnsi" w:cstheme="minorHAnsi"/>
          <w:sz w:val="18"/>
          <w:szCs w:val="18"/>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r w:rsidRPr="00650FF1">
              <w:rPr>
                <w:lang w:val="es-ES_tradnl"/>
              </w:rPr>
              <w:t>Heridos graves por tipo de usuario</w:t>
            </w:r>
          </w:p>
        </w:tc>
        <w:tc>
          <w:tcPr>
            <w:tcW w:w="5211" w:type="dxa"/>
          </w:tcPr>
          <w:p w:rsidR="005C6E47" w:rsidRPr="00650FF1" w:rsidP="002F2972">
            <w:r w:rsidRPr="00650FF1">
              <w:t>Serious injuries by type of user</w:t>
            </w:r>
          </w:p>
        </w:tc>
      </w:tr>
      <w:tr w:rsidTr="002F2972">
        <w:tblPrEx>
          <w:tblW w:w="10421" w:type="dxa"/>
          <w:tblLook w:val="04A0"/>
        </w:tblPrEx>
        <w:tc>
          <w:tcPr>
            <w:tcW w:w="5210" w:type="dxa"/>
          </w:tcPr>
          <w:p w:rsidR="005C6E47" w:rsidRPr="00650FF1" w:rsidP="002F2972">
            <w:r w:rsidRPr="00650FF1">
              <w:rPr>
                <w:lang w:val="es-ES_tradnl"/>
              </w:rPr>
              <w:t>Personas no autorizadas*</w:t>
            </w:r>
          </w:p>
        </w:tc>
        <w:tc>
          <w:tcPr>
            <w:tcW w:w="5211" w:type="dxa"/>
          </w:tcPr>
          <w:p w:rsidR="005C6E47" w:rsidRPr="00650FF1" w:rsidP="002F2972">
            <w:r w:rsidRPr="00650FF1">
              <w:t>Unauthorised persons*</w:t>
            </w:r>
          </w:p>
        </w:tc>
      </w:tr>
      <w:tr w:rsidTr="002F2972">
        <w:tblPrEx>
          <w:tblW w:w="10421" w:type="dxa"/>
          <w:tblLook w:val="04A0"/>
        </w:tblPrEx>
        <w:tc>
          <w:tcPr>
            <w:tcW w:w="5210" w:type="dxa"/>
          </w:tcPr>
          <w:p w:rsidR="005C6E47" w:rsidRPr="00650FF1" w:rsidP="002F2972">
            <w:r w:rsidRPr="00650FF1">
              <w:rPr>
                <w:lang w:val="es-ES_tradnl"/>
              </w:rPr>
              <w:t>Usuarios de pasos a nivel</w:t>
            </w:r>
          </w:p>
        </w:tc>
        <w:tc>
          <w:tcPr>
            <w:tcW w:w="5211" w:type="dxa"/>
          </w:tcPr>
          <w:p w:rsidR="005C6E47" w:rsidRPr="00650FF1" w:rsidP="002F2972">
            <w:r w:rsidRPr="00650FF1">
              <w:t>Level crossing users</w:t>
            </w:r>
          </w:p>
        </w:tc>
      </w:tr>
      <w:tr w:rsidTr="002F2972">
        <w:tblPrEx>
          <w:tblW w:w="10421" w:type="dxa"/>
          <w:tblLook w:val="04A0"/>
        </w:tblPrEx>
        <w:tc>
          <w:tcPr>
            <w:tcW w:w="5210" w:type="dxa"/>
          </w:tcPr>
          <w:p w:rsidR="005C6E47" w:rsidRPr="00650FF1" w:rsidP="002F2972">
            <w:r w:rsidRPr="00650FF1">
              <w:rPr>
                <w:lang w:val="es-ES_tradnl"/>
              </w:rPr>
              <w:t>Viajeros</w:t>
            </w:r>
          </w:p>
        </w:tc>
        <w:tc>
          <w:tcPr>
            <w:tcW w:w="5211" w:type="dxa"/>
          </w:tcPr>
          <w:p w:rsidR="005C6E47" w:rsidRPr="00650FF1" w:rsidP="002F2972">
            <w:r w:rsidRPr="00650FF1">
              <w:t>Passengers</w:t>
            </w:r>
          </w:p>
        </w:tc>
      </w:tr>
      <w:tr w:rsidTr="002F2972">
        <w:tblPrEx>
          <w:tblW w:w="10421" w:type="dxa"/>
          <w:tblLook w:val="04A0"/>
        </w:tblPrEx>
        <w:tc>
          <w:tcPr>
            <w:tcW w:w="5210" w:type="dxa"/>
          </w:tcPr>
          <w:p w:rsidR="005C6E47" w:rsidRPr="00650FF1" w:rsidP="002F2972">
            <w:r w:rsidRPr="00650FF1">
              <w:rPr>
                <w:lang w:val="es-ES_tradnl"/>
              </w:rPr>
              <w:t>Empleados</w:t>
            </w:r>
          </w:p>
        </w:tc>
        <w:tc>
          <w:tcPr>
            <w:tcW w:w="5211" w:type="dxa"/>
          </w:tcPr>
          <w:p w:rsidR="005C6E47" w:rsidRPr="00650FF1" w:rsidP="002F2972">
            <w:r w:rsidRPr="00650FF1">
              <w:t>Employees</w:t>
            </w:r>
          </w:p>
        </w:tc>
      </w:tr>
      <w:tr w:rsidTr="002F2972">
        <w:tblPrEx>
          <w:tblW w:w="10421" w:type="dxa"/>
          <w:tblLook w:val="04A0"/>
        </w:tblPrEx>
        <w:tc>
          <w:tcPr>
            <w:tcW w:w="5210" w:type="dxa"/>
          </w:tcPr>
          <w:p w:rsidR="005C6E47" w:rsidRPr="00650FF1" w:rsidP="002F2972">
            <w:r w:rsidRPr="00650FF1">
              <w:rPr>
                <w:lang w:val="es-ES_tradnl"/>
              </w:rPr>
              <w:t>Otros*</w:t>
            </w:r>
          </w:p>
        </w:tc>
        <w:tc>
          <w:tcPr>
            <w:tcW w:w="5211" w:type="dxa"/>
          </w:tcPr>
          <w:p w:rsidR="005C6E47" w:rsidRPr="00650FF1" w:rsidP="002F2972">
            <w:r w:rsidRPr="00650FF1">
              <w:t>Others*</w:t>
            </w:r>
          </w:p>
        </w:tc>
      </w:tr>
    </w:tbl>
    <w:p w:rsidR="005C6E47" w:rsidRPr="00650FF1" w:rsidP="005C6E47">
      <w:pPr>
        <w:rPr>
          <w:lang w:val="es-ES_tradnl"/>
        </w:rPr>
      </w:pPr>
    </w:p>
    <w:p w:rsidR="005C6E47" w:rsidRPr="00650FF1" w:rsidP="005C6E47">
      <w:pPr>
        <w:ind w:left="142" w:hanging="142"/>
        <w:rPr>
          <w:rFonts w:asciiTheme="minorHAnsi" w:hAnsiTheme="minorHAnsi" w:cstheme="minorHAnsi"/>
          <w:sz w:val="18"/>
        </w:rPr>
      </w:pPr>
      <w:r w:rsidRPr="00650FF1">
        <w:rPr>
          <w:rFonts w:asciiTheme="minorHAnsi" w:hAnsiTheme="minorHAnsi"/>
          <w:sz w:val="18"/>
        </w:rPr>
        <w:t xml:space="preserve">* In 2017, in order to maintain the historical series, various categories of victims (defined according to Royal Decree 1006/2005) </w:t>
      </w:r>
      <w:r w:rsidRPr="00650FF1">
        <w:rPr>
          <w:rFonts w:asciiTheme="minorHAnsi" w:hAnsiTheme="minorHAnsi"/>
          <w:sz w:val="18"/>
        </w:rPr>
        <w:t>have been considered</w:t>
      </w:r>
      <w:r w:rsidRPr="00650FF1">
        <w:rPr>
          <w:rFonts w:asciiTheme="minorHAnsi" w:hAnsiTheme="minorHAnsi"/>
          <w:sz w:val="18"/>
        </w:rPr>
        <w:t xml:space="preserve"> within the definitions used in previous years. Specifically:</w:t>
      </w:r>
    </w:p>
    <w:p w:rsidR="005C6E47" w:rsidRPr="00650FF1" w:rsidP="005C6E47">
      <w:pPr>
        <w:ind w:left="142"/>
        <w:rPr>
          <w:rFonts w:asciiTheme="minorHAnsi" w:hAnsiTheme="minorHAnsi" w:cstheme="minorHAnsi"/>
          <w:sz w:val="18"/>
        </w:rPr>
      </w:pPr>
      <w:r w:rsidRPr="00650FF1">
        <w:rPr>
          <w:rFonts w:asciiTheme="minorHAnsi" w:hAnsiTheme="minorHAnsi"/>
          <w:sz w:val="18"/>
        </w:rPr>
        <w:t>Unauthorised persons: includes fatalities where the individual concerned is a 'Trespasser' or 'Another type of person present on the platform'.</w:t>
      </w:r>
    </w:p>
    <w:p w:rsidR="005C6E47" w:rsidRPr="00650FF1" w:rsidP="005C6E47">
      <w:pPr>
        <w:ind w:left="142"/>
        <w:rPr>
          <w:rFonts w:asciiTheme="minorHAnsi" w:hAnsiTheme="minorHAnsi" w:cstheme="minorHAnsi"/>
          <w:sz w:val="18"/>
        </w:rPr>
      </w:pPr>
      <w:r w:rsidRPr="00650FF1">
        <w:rPr>
          <w:rFonts w:asciiTheme="minorHAnsi" w:hAnsiTheme="minorHAnsi"/>
          <w:sz w:val="18"/>
        </w:rPr>
        <w:t>Others: includes fatalities where the individual concerned is 'Another type of person present on the platform'.</w:t>
      </w:r>
    </w:p>
    <w:p w:rsidR="005C6E47" w:rsidRPr="00650FF1" w:rsidP="005C6E47">
      <w:pPr>
        <w:jc w:val="center"/>
        <w:rPr>
          <w:rFonts w:asciiTheme="minorHAnsi" w:hAnsiTheme="minorHAnsi" w:cstheme="minorHAnsi"/>
          <w:sz w:val="18"/>
          <w:szCs w:val="18"/>
          <w:lang w:val="es-ES_tradnl"/>
        </w:rPr>
      </w:pPr>
    </w:p>
    <w:p w:rsidR="005C6E47" w:rsidRPr="00650FF1" w:rsidP="005C6E47">
      <w:pPr>
        <w:jc w:val="center"/>
        <w:rPr>
          <w:rFonts w:asciiTheme="minorHAnsi" w:hAnsiTheme="minorHAnsi" w:cstheme="minorHAnsi"/>
          <w:sz w:val="18"/>
          <w:szCs w:val="18"/>
          <w:lang w:val="es-ES_tradnl"/>
        </w:rPr>
      </w:pPr>
    </w:p>
    <w:p w:rsidR="005C6E47" w:rsidRPr="00650FF1" w:rsidP="005C6E47">
      <w:pPr>
        <w:jc w:val="center"/>
        <w:rPr>
          <w:rFonts w:asciiTheme="minorHAnsi" w:hAnsiTheme="minorHAnsi" w:cstheme="minorHAnsi"/>
          <w:sz w:val="18"/>
          <w:szCs w:val="18"/>
          <w:lang w:val="es-ES_tradnl"/>
        </w:rPr>
      </w:pPr>
    </w:p>
    <w:p w:rsidR="005C6E47" w:rsidRPr="00650FF1" w:rsidP="005C6E47">
      <w:pPr>
        <w:jc w:val="center"/>
        <w:rPr>
          <w:rFonts w:asciiTheme="minorHAnsi" w:hAnsiTheme="minorHAnsi" w:cstheme="minorHAnsi"/>
          <w:sz w:val="18"/>
          <w:szCs w:val="18"/>
          <w:lang w:val="es-ES_tradnl"/>
        </w:rPr>
      </w:pPr>
    </w:p>
    <w:p w:rsidR="005C6E47" w:rsidRPr="00650FF1" w:rsidP="005C6E47">
      <w:pPr>
        <w:pStyle w:val="PUNTOS2"/>
        <w:keepNext/>
        <w:ind w:left="567" w:hanging="153"/>
        <w:rPr>
          <w:smallCaps/>
          <w:color w:val="auto"/>
          <w:sz w:val="32"/>
        </w:rPr>
      </w:pPr>
      <w:r w:rsidRPr="00650FF1">
        <w:rPr>
          <w:smallCaps/>
          <w:color w:val="auto"/>
          <w:sz w:val="32"/>
        </w:rPr>
        <w:t>Reference Data:</w:t>
      </w:r>
    </w:p>
    <w:p w:rsidR="005C6E47" w:rsidRPr="00650FF1" w:rsidP="005C6E47">
      <w:pPr>
        <w:pStyle w:val="PUNTOS2"/>
        <w:numPr>
          <w:ilvl w:val="0"/>
          <w:numId w:val="0"/>
        </w:numPr>
        <w:ind w:left="1069" w:hanging="360"/>
        <w:rPr>
          <w:smallCaps/>
          <w:color w:val="auto"/>
          <w:sz w:val="32"/>
        </w:rPr>
      </w:pPr>
      <w:r w:rsidRPr="00650FF1">
        <w:rPr>
          <w:smallCaps/>
          <w:noProof/>
          <w:color w:val="auto"/>
          <w:sz w:val="32"/>
          <w:lang w:val="fr-FR" w:eastAsia="fr-FR"/>
        </w:rPr>
        <w:drawing>
          <wp:inline distT="0" distB="0" distL="0" distR="0">
            <wp:extent cx="5760000" cy="3594615"/>
            <wp:effectExtent l="0" t="0" r="0" b="635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42923" name="Picture 26"/>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594615"/>
                    </a:xfrm>
                    <a:prstGeom prst="rect">
                      <a:avLst/>
                    </a:prstGeom>
                    <a:noFill/>
                  </pic:spPr>
                </pic:pic>
              </a:graphicData>
            </a:graphic>
          </wp:inline>
        </w:drawing>
      </w:r>
    </w:p>
    <w:p w:rsidR="005C6E47" w:rsidRPr="00650FF1" w:rsidP="005C6E47">
      <w:pPr>
        <w:rPr>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r w:rsidRPr="00650FF1">
              <w:rPr>
                <w:lang w:val="es-ES_tradnl"/>
              </w:rPr>
              <w:t>Nñumero</w:t>
            </w:r>
            <w:r w:rsidRPr="00650FF1">
              <w:rPr>
                <w:lang w:val="es-ES_tradnl"/>
              </w:rPr>
              <w:t xml:space="preserve"> de trenes-kilómetro (millones)</w:t>
            </w:r>
          </w:p>
        </w:tc>
        <w:tc>
          <w:tcPr>
            <w:tcW w:w="5211" w:type="dxa"/>
          </w:tcPr>
          <w:p w:rsidR="005C6E47" w:rsidRPr="00650FF1" w:rsidP="002F2972">
            <w:r w:rsidRPr="00650FF1">
              <w:t>Number of train-kilometres (million)</w:t>
            </w:r>
          </w:p>
        </w:tc>
      </w:tr>
      <w:tr w:rsidTr="002F2972">
        <w:tblPrEx>
          <w:tblW w:w="10421" w:type="dxa"/>
          <w:tblLook w:val="04A0"/>
        </w:tblPrEx>
        <w:tc>
          <w:tcPr>
            <w:tcW w:w="5210" w:type="dxa"/>
          </w:tcPr>
          <w:p w:rsidR="005C6E47" w:rsidRPr="00650FF1" w:rsidP="002F2972">
            <w:r w:rsidRPr="00650FF1">
              <w:rPr>
                <w:lang w:val="es-ES_tradnl"/>
              </w:rPr>
              <w:t>Excluida red RAM</w:t>
            </w:r>
          </w:p>
        </w:tc>
        <w:tc>
          <w:tcPr>
            <w:tcW w:w="5211" w:type="dxa"/>
          </w:tcPr>
          <w:p w:rsidR="005C6E47" w:rsidRPr="00650FF1" w:rsidP="002F2972">
            <w:r w:rsidRPr="00650FF1">
              <w:t>Excluding the RAM network</w:t>
            </w:r>
          </w:p>
        </w:tc>
      </w:tr>
      <w:tr w:rsidTr="002F2972">
        <w:tblPrEx>
          <w:tblW w:w="10421" w:type="dxa"/>
          <w:tblLook w:val="04A0"/>
        </w:tblPrEx>
        <w:tc>
          <w:tcPr>
            <w:tcW w:w="5210" w:type="dxa"/>
          </w:tcPr>
          <w:p w:rsidR="005C6E47" w:rsidRPr="00650FF1" w:rsidP="002F2972">
            <w:r w:rsidRPr="00650FF1">
              <w:rPr>
                <w:lang w:val="es-ES_tradnl"/>
              </w:rPr>
              <w:t>Total Red</w:t>
            </w:r>
          </w:p>
        </w:tc>
        <w:tc>
          <w:tcPr>
            <w:tcW w:w="5211" w:type="dxa"/>
          </w:tcPr>
          <w:p w:rsidR="005C6E47" w:rsidRPr="00650FF1" w:rsidP="002F2972">
            <w:r w:rsidRPr="00650FF1">
              <w:t>Total network</w:t>
            </w:r>
          </w:p>
        </w:tc>
      </w:tr>
      <w:tr w:rsidTr="002F2972">
        <w:tblPrEx>
          <w:tblW w:w="10421" w:type="dxa"/>
          <w:tblLook w:val="04A0"/>
        </w:tblPrEx>
        <w:tc>
          <w:tcPr>
            <w:tcW w:w="5210" w:type="dxa"/>
          </w:tcPr>
          <w:p w:rsidR="005C6E47" w:rsidRPr="00650FF1" w:rsidP="002F2972">
            <w:r w:rsidRPr="00650FF1">
              <w:rPr>
                <w:lang w:val="es-ES_tradnl"/>
              </w:rPr>
              <w:t>Viajeros</w:t>
            </w:r>
          </w:p>
        </w:tc>
        <w:tc>
          <w:tcPr>
            <w:tcW w:w="5211" w:type="dxa"/>
          </w:tcPr>
          <w:p w:rsidR="005C6E47" w:rsidRPr="00650FF1" w:rsidP="002F2972">
            <w:r w:rsidRPr="00650FF1">
              <w:t>Passengers</w:t>
            </w:r>
          </w:p>
        </w:tc>
      </w:tr>
      <w:tr w:rsidTr="002F2972">
        <w:tblPrEx>
          <w:tblW w:w="10421" w:type="dxa"/>
          <w:tblLook w:val="04A0"/>
        </w:tblPrEx>
        <w:tc>
          <w:tcPr>
            <w:tcW w:w="5210" w:type="dxa"/>
          </w:tcPr>
          <w:p w:rsidR="005C6E47" w:rsidRPr="00650FF1" w:rsidP="002F2972">
            <w:r w:rsidRPr="00650FF1">
              <w:rPr>
                <w:lang w:val="es-ES_tradnl"/>
              </w:rPr>
              <w:t>Mercancías</w:t>
            </w:r>
          </w:p>
        </w:tc>
        <w:tc>
          <w:tcPr>
            <w:tcW w:w="5211" w:type="dxa"/>
          </w:tcPr>
          <w:p w:rsidR="005C6E47" w:rsidRPr="00650FF1" w:rsidP="002F2972">
            <w:r w:rsidRPr="00650FF1">
              <w:t>Freight</w:t>
            </w:r>
          </w:p>
        </w:tc>
      </w:tr>
    </w:tbl>
    <w:p w:rsidR="005C6E47" w:rsidRPr="00650FF1" w:rsidP="005C6E47">
      <w:pPr>
        <w:rPr>
          <w:lang w:val="es-ES_tradnl"/>
        </w:rPr>
      </w:pPr>
    </w:p>
    <w:p w:rsidR="005C6E47" w:rsidRPr="00650FF1" w:rsidP="005C6E47">
      <w:pPr>
        <w:pStyle w:val="PUNTOS2"/>
        <w:keepNext/>
        <w:numPr>
          <w:ilvl w:val="0"/>
          <w:numId w:val="0"/>
        </w:numPr>
        <w:ind w:left="1069" w:hanging="360"/>
        <w:rPr>
          <w:smallCaps/>
          <w:noProof/>
          <w:snapToGrid/>
          <w:color w:val="auto"/>
          <w:sz w:val="32"/>
        </w:rPr>
      </w:pPr>
      <w:r w:rsidRPr="00650FF1">
        <w:rPr>
          <w:smallCaps/>
          <w:snapToGrid/>
          <w:color w:val="auto"/>
          <w:sz w:val="32"/>
        </w:rPr>
        <w:t>a</w:t>
      </w:r>
      <w:r w:rsidRPr="00650FF1">
        <w:rPr>
          <w:noProof/>
          <w:lang w:val="fr-FR" w:eastAsia="fr-FR"/>
        </w:rPr>
        <w:drawing>
          <wp:inline distT="0" distB="0" distL="0" distR="0">
            <wp:extent cx="5760000" cy="3612308"/>
            <wp:effectExtent l="0" t="0" r="0" b="762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59185" name="Picture 27"/>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612308"/>
                    </a:xfrm>
                    <a:prstGeom prst="rect">
                      <a:avLst/>
                    </a:prstGeom>
                    <a:noFill/>
                  </pic:spPr>
                </pic:pic>
              </a:graphicData>
            </a:graphic>
          </wp:inline>
        </w:drawing>
      </w:r>
    </w:p>
    <w:p w:rsidR="005C6E47" w:rsidRPr="00650FF1" w:rsidP="005C6E47">
      <w:pPr>
        <w:rPr>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r w:rsidRPr="00650FF1">
              <w:rPr>
                <w:lang w:val="es-ES_tradnl"/>
              </w:rPr>
              <w:t>Número de viajeros - km (millones)</w:t>
            </w:r>
          </w:p>
        </w:tc>
        <w:tc>
          <w:tcPr>
            <w:tcW w:w="5211" w:type="dxa"/>
          </w:tcPr>
          <w:p w:rsidR="005C6E47" w:rsidRPr="00650FF1" w:rsidP="002F2972">
            <w:r w:rsidRPr="00650FF1">
              <w:t>Number of passenger-kilometres (millions)</w:t>
            </w:r>
          </w:p>
        </w:tc>
      </w:tr>
      <w:tr w:rsidTr="002F2972">
        <w:tblPrEx>
          <w:tblW w:w="10421" w:type="dxa"/>
          <w:tblLook w:val="04A0"/>
        </w:tblPrEx>
        <w:tc>
          <w:tcPr>
            <w:tcW w:w="5210" w:type="dxa"/>
          </w:tcPr>
          <w:p w:rsidR="005C6E47" w:rsidRPr="00650FF1" w:rsidP="002F2972">
            <w:r w:rsidRPr="00650FF1">
              <w:rPr>
                <w:lang w:val="es-ES_tradnl"/>
              </w:rPr>
              <w:t>Excluida red RAM</w:t>
            </w:r>
          </w:p>
        </w:tc>
        <w:tc>
          <w:tcPr>
            <w:tcW w:w="5211" w:type="dxa"/>
          </w:tcPr>
          <w:p w:rsidR="005C6E47" w:rsidRPr="00650FF1" w:rsidP="002F2972">
            <w:r w:rsidRPr="00650FF1">
              <w:t>Excluding the RAM network</w:t>
            </w:r>
          </w:p>
        </w:tc>
      </w:tr>
      <w:tr w:rsidTr="002F2972">
        <w:tblPrEx>
          <w:tblW w:w="10421" w:type="dxa"/>
          <w:tblLook w:val="04A0"/>
        </w:tblPrEx>
        <w:tc>
          <w:tcPr>
            <w:tcW w:w="5210" w:type="dxa"/>
          </w:tcPr>
          <w:p w:rsidR="005C6E47" w:rsidRPr="00650FF1" w:rsidP="002F2972">
            <w:r w:rsidRPr="00650FF1">
              <w:rPr>
                <w:lang w:val="es-ES_tradnl"/>
              </w:rPr>
              <w:t>Total Red</w:t>
            </w:r>
          </w:p>
        </w:tc>
        <w:tc>
          <w:tcPr>
            <w:tcW w:w="5211" w:type="dxa"/>
          </w:tcPr>
          <w:p w:rsidR="005C6E47" w:rsidRPr="00650FF1" w:rsidP="002F2972">
            <w:r w:rsidRPr="00650FF1">
              <w:t>Total network</w:t>
            </w:r>
          </w:p>
        </w:tc>
      </w:tr>
    </w:tbl>
    <w:p w:rsidR="005C6E47" w:rsidRPr="00650FF1" w:rsidP="005C6E47">
      <w:pPr>
        <w:rPr>
          <w:lang w:val="es-ES_tradnl"/>
        </w:rPr>
      </w:pPr>
    </w:p>
    <w:p w:rsidR="005C6E47" w:rsidRPr="00650FF1" w:rsidP="005C6E47">
      <w:pPr>
        <w:pStyle w:val="PUNTOS2"/>
        <w:numPr>
          <w:ilvl w:val="0"/>
          <w:numId w:val="0"/>
        </w:numPr>
        <w:ind w:left="1069" w:hanging="360"/>
        <w:jc w:val="center"/>
        <w:rPr>
          <w:smallCaps/>
          <w:color w:val="auto"/>
          <w:sz w:val="32"/>
        </w:rPr>
      </w:pPr>
    </w:p>
    <w:p w:rsidR="005C6E47" w:rsidRPr="00650FF1" w:rsidP="005C6E47">
      <w:pPr>
        <w:pStyle w:val="PUNTOS2"/>
        <w:ind w:left="567"/>
        <w:rPr>
          <w:smallCaps/>
          <w:color w:val="auto"/>
          <w:sz w:val="32"/>
        </w:rPr>
      </w:pPr>
      <w:r w:rsidRPr="00650FF1">
        <w:rPr>
          <w:smallCaps/>
          <w:color w:val="auto"/>
          <w:sz w:val="32"/>
        </w:rPr>
        <w:br w:type="page"/>
      </w:r>
      <w:r w:rsidRPr="00650FF1">
        <w:rPr>
          <w:smallCaps/>
          <w:color w:val="auto"/>
          <w:sz w:val="32"/>
        </w:rPr>
        <w:t>Risk indicators by category of persons involved</w:t>
      </w:r>
    </w:p>
    <w:p w:rsidR="005C6E47" w:rsidRPr="00650FF1" w:rsidP="005C6E47">
      <w:pPr>
        <w:pStyle w:val="PUNTOS2"/>
        <w:ind w:left="851"/>
        <w:rPr>
          <w:smallCaps/>
          <w:color w:val="auto"/>
          <w:sz w:val="32"/>
        </w:rPr>
      </w:pPr>
      <w:r w:rsidRPr="00650FF1">
        <w:rPr>
          <w:smallCaps/>
          <w:color w:val="auto"/>
          <w:sz w:val="32"/>
        </w:rPr>
        <w:t>Total: all categories of persons involved:</w:t>
      </w:r>
    </w:p>
    <w:p w:rsidR="005C6E47" w:rsidRPr="00650FF1" w:rsidP="005C6E47">
      <w:pPr>
        <w:pStyle w:val="PUNTOS2"/>
        <w:numPr>
          <w:ilvl w:val="0"/>
          <w:numId w:val="0"/>
        </w:numPr>
        <w:jc w:val="center"/>
        <w:rPr>
          <w:smallCaps/>
          <w:color w:val="auto"/>
          <w:sz w:val="32"/>
        </w:rPr>
      </w:pPr>
    </w:p>
    <w:p w:rsidR="005C6E47" w:rsidRPr="00650FF1" w:rsidP="005C6E47">
      <w:pPr>
        <w:pStyle w:val="PUNTOS2"/>
        <w:numPr>
          <w:ilvl w:val="0"/>
          <w:numId w:val="0"/>
        </w:numPr>
        <w:jc w:val="center"/>
        <w:rPr>
          <w:smallCaps/>
          <w:color w:val="auto"/>
          <w:sz w:val="32"/>
        </w:rPr>
      </w:pPr>
      <w:r w:rsidRPr="00650FF1">
        <w:rPr>
          <w:smallCaps/>
          <w:noProof/>
          <w:color w:val="auto"/>
          <w:sz w:val="32"/>
          <w:lang w:val="fr-FR" w:eastAsia="fr-FR"/>
        </w:rPr>
        <w:drawing>
          <wp:inline distT="0" distB="0" distL="0" distR="0">
            <wp:extent cx="5760000" cy="351720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6363" name="Picture 5"/>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517200"/>
                    </a:xfrm>
                    <a:prstGeom prst="rect">
                      <a:avLst/>
                    </a:prstGeom>
                    <a:noFill/>
                    <a:ln>
                      <a:noFill/>
                    </a:ln>
                  </pic:spPr>
                </pic:pic>
              </a:graphicData>
            </a:graphic>
          </wp:inline>
        </w:drawing>
      </w:r>
    </w:p>
    <w:p w:rsidR="005C6E47" w:rsidRPr="00650FF1" w:rsidP="005C6E47">
      <w:pPr>
        <w:rPr>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r w:rsidRPr="00650FF1">
              <w:rPr>
                <w:lang w:val="es-ES_tradnl"/>
              </w:rPr>
              <w:t>Muertos y heridos graves ponderados (MGHP) / mil millones de trenes-km</w:t>
            </w:r>
          </w:p>
        </w:tc>
        <w:tc>
          <w:tcPr>
            <w:tcW w:w="5211" w:type="dxa"/>
          </w:tcPr>
          <w:p w:rsidR="005C6E47" w:rsidRPr="00650FF1" w:rsidP="002F2972">
            <w:r w:rsidRPr="00650FF1">
              <w:t>Weighted fatalities and serious injuries (MGHP) / billion train-kilometres</w:t>
            </w:r>
          </w:p>
        </w:tc>
      </w:tr>
      <w:tr w:rsidTr="002F2972">
        <w:tblPrEx>
          <w:tblW w:w="10421" w:type="dxa"/>
          <w:tblLook w:val="04A0"/>
        </w:tblPrEx>
        <w:tc>
          <w:tcPr>
            <w:tcW w:w="5210" w:type="dxa"/>
          </w:tcPr>
          <w:p w:rsidR="005C6E47" w:rsidRPr="00650FF1" w:rsidP="002F2972">
            <w:r w:rsidRPr="00650FF1">
              <w:rPr>
                <w:lang w:val="es-ES_tradnl"/>
              </w:rPr>
              <w:t>Categoría de víctima: Todas</w:t>
            </w:r>
          </w:p>
        </w:tc>
        <w:tc>
          <w:tcPr>
            <w:tcW w:w="5211" w:type="dxa"/>
          </w:tcPr>
          <w:p w:rsidR="005C6E47" w:rsidRPr="00650FF1" w:rsidP="002F2972">
            <w:r w:rsidRPr="00650FF1">
              <w:t>Victim category: All</w:t>
            </w:r>
          </w:p>
        </w:tc>
      </w:tr>
      <w:tr w:rsidTr="002F2972">
        <w:tblPrEx>
          <w:tblW w:w="10421" w:type="dxa"/>
          <w:tblLook w:val="04A0"/>
        </w:tblPrEx>
        <w:tc>
          <w:tcPr>
            <w:tcW w:w="5210" w:type="dxa"/>
          </w:tcPr>
          <w:p w:rsidR="005C6E47" w:rsidRPr="00650FF1" w:rsidP="002F2972">
            <w:r w:rsidRPr="00650FF1">
              <w:rPr>
                <w:lang w:val="es-ES_tradnl"/>
              </w:rPr>
              <w:t>Excluida red RAM</w:t>
            </w:r>
          </w:p>
        </w:tc>
        <w:tc>
          <w:tcPr>
            <w:tcW w:w="5211" w:type="dxa"/>
          </w:tcPr>
          <w:p w:rsidR="005C6E47" w:rsidRPr="00650FF1" w:rsidP="002F2972">
            <w:r w:rsidRPr="00650FF1">
              <w:t>Excluding the RAM network</w:t>
            </w:r>
          </w:p>
        </w:tc>
      </w:tr>
      <w:tr w:rsidTr="002F2972">
        <w:tblPrEx>
          <w:tblW w:w="10421" w:type="dxa"/>
          <w:tblLook w:val="04A0"/>
        </w:tblPrEx>
        <w:tc>
          <w:tcPr>
            <w:tcW w:w="5210" w:type="dxa"/>
          </w:tcPr>
          <w:p w:rsidR="005C6E47" w:rsidRPr="00650FF1" w:rsidP="002F2972">
            <w:r w:rsidRPr="00650FF1">
              <w:rPr>
                <w:lang w:val="es-ES_tradnl"/>
              </w:rPr>
              <w:t>Total Red</w:t>
            </w:r>
          </w:p>
        </w:tc>
        <w:tc>
          <w:tcPr>
            <w:tcW w:w="5211" w:type="dxa"/>
          </w:tcPr>
          <w:p w:rsidR="005C6E47" w:rsidRPr="00650FF1" w:rsidP="002F2972">
            <w:r w:rsidRPr="00650FF1">
              <w:t>Total network</w:t>
            </w:r>
          </w:p>
        </w:tc>
      </w:tr>
      <w:tr w:rsidTr="002F2972">
        <w:tblPrEx>
          <w:tblW w:w="10421" w:type="dxa"/>
          <w:tblLook w:val="04A0"/>
        </w:tblPrEx>
        <w:tc>
          <w:tcPr>
            <w:tcW w:w="5210" w:type="dxa"/>
          </w:tcPr>
          <w:p w:rsidR="005C6E47" w:rsidRPr="00650FF1" w:rsidP="002F2972">
            <w:r w:rsidRPr="00650FF1">
              <w:rPr>
                <w:lang w:val="es-ES_tradnl"/>
              </w:rPr>
              <w:t>MHGP / mil millones de trenes-km</w:t>
            </w:r>
          </w:p>
        </w:tc>
        <w:tc>
          <w:tcPr>
            <w:tcW w:w="5211" w:type="dxa"/>
          </w:tcPr>
          <w:p w:rsidR="005C6E47" w:rsidRPr="00650FF1" w:rsidP="002F2972">
            <w:r w:rsidRPr="00650FF1">
              <w:t>MHGP / billion train-km</w:t>
            </w:r>
          </w:p>
        </w:tc>
      </w:tr>
    </w:tbl>
    <w:p w:rsidR="005C6E47" w:rsidRPr="00650FF1" w:rsidP="005C6E47">
      <w:pPr>
        <w:rPr>
          <w:lang w:val="es-ES_tradnl"/>
        </w:rPr>
      </w:pPr>
    </w:p>
    <w:p w:rsidR="005C6E47" w:rsidRPr="00650FF1" w:rsidP="005C6E47">
      <w:pPr>
        <w:pStyle w:val="PUNTOS2"/>
        <w:keepNext/>
        <w:ind w:left="851"/>
        <w:rPr>
          <w:smallCaps/>
          <w:color w:val="auto"/>
          <w:sz w:val="32"/>
        </w:rPr>
      </w:pPr>
      <w:r w:rsidRPr="00650FF1">
        <w:rPr>
          <w:smallCaps/>
          <w:color w:val="auto"/>
          <w:sz w:val="32"/>
        </w:rPr>
        <w:t>Employees</w:t>
      </w:r>
    </w:p>
    <w:p w:rsidR="005C6E47" w:rsidRPr="00650FF1" w:rsidP="005C6E47">
      <w:pPr>
        <w:pStyle w:val="PUNTOS2"/>
        <w:numPr>
          <w:ilvl w:val="0"/>
          <w:numId w:val="0"/>
        </w:numPr>
        <w:jc w:val="center"/>
        <w:rPr>
          <w:smallCaps/>
          <w:noProof/>
          <w:color w:val="auto"/>
          <w:sz w:val="32"/>
        </w:rPr>
      </w:pPr>
      <w:r w:rsidRPr="00650FF1">
        <w:rPr>
          <w:smallCaps/>
          <w:noProof/>
          <w:color w:val="auto"/>
          <w:sz w:val="32"/>
          <w:lang w:val="fr-FR" w:eastAsia="fr-FR"/>
        </w:rPr>
        <w:drawing>
          <wp:inline distT="0" distB="0" distL="0" distR="0">
            <wp:extent cx="5760000" cy="3700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48357" name="Picture 6"/>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700800"/>
                    </a:xfrm>
                    <a:prstGeom prst="rect">
                      <a:avLst/>
                    </a:prstGeom>
                    <a:noFill/>
                    <a:ln>
                      <a:noFill/>
                    </a:ln>
                  </pic:spPr>
                </pic:pic>
              </a:graphicData>
            </a:graphic>
          </wp:inline>
        </w:drawing>
      </w:r>
    </w:p>
    <w:p w:rsidR="005C6E47" w:rsidRPr="00650FF1" w:rsidP="005C6E47">
      <w:pPr>
        <w:rPr>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r w:rsidRPr="00650FF1">
              <w:rPr>
                <w:lang w:val="es-ES_tradnl"/>
              </w:rPr>
              <w:t>Muertos y heridos graves ponderados (MGHP) / mil millones de trenes-km</w:t>
            </w:r>
          </w:p>
        </w:tc>
        <w:tc>
          <w:tcPr>
            <w:tcW w:w="5211" w:type="dxa"/>
          </w:tcPr>
          <w:p w:rsidR="005C6E47" w:rsidRPr="00650FF1" w:rsidP="002F2972">
            <w:r w:rsidRPr="00650FF1">
              <w:t>Weighted fatalities and serious injuries (MGHP) / billion train-km</w:t>
            </w:r>
          </w:p>
        </w:tc>
      </w:tr>
      <w:tr w:rsidTr="002F2972">
        <w:tblPrEx>
          <w:tblW w:w="10421" w:type="dxa"/>
          <w:tblLook w:val="04A0"/>
        </w:tblPrEx>
        <w:tc>
          <w:tcPr>
            <w:tcW w:w="5210" w:type="dxa"/>
          </w:tcPr>
          <w:p w:rsidR="005C6E47" w:rsidRPr="00650FF1" w:rsidP="002F2972">
            <w:r w:rsidRPr="00650FF1">
              <w:rPr>
                <w:lang w:val="es-ES_tradnl"/>
              </w:rPr>
              <w:t>Categoría de víctima: Empleados</w:t>
            </w:r>
          </w:p>
        </w:tc>
        <w:tc>
          <w:tcPr>
            <w:tcW w:w="5211" w:type="dxa"/>
          </w:tcPr>
          <w:p w:rsidR="005C6E47" w:rsidRPr="00650FF1" w:rsidP="002F2972">
            <w:r w:rsidRPr="00650FF1">
              <w:t>Victim category: Employees</w:t>
            </w:r>
          </w:p>
        </w:tc>
      </w:tr>
      <w:tr w:rsidTr="002F2972">
        <w:tblPrEx>
          <w:tblW w:w="10421" w:type="dxa"/>
          <w:tblLook w:val="04A0"/>
        </w:tblPrEx>
        <w:tc>
          <w:tcPr>
            <w:tcW w:w="5210" w:type="dxa"/>
          </w:tcPr>
          <w:p w:rsidR="005C6E47" w:rsidRPr="00650FF1" w:rsidP="002F2972">
            <w:r w:rsidRPr="00650FF1">
              <w:rPr>
                <w:lang w:val="es-ES_tradnl"/>
              </w:rPr>
              <w:t>Excluida red RAM</w:t>
            </w:r>
          </w:p>
        </w:tc>
        <w:tc>
          <w:tcPr>
            <w:tcW w:w="5211" w:type="dxa"/>
          </w:tcPr>
          <w:p w:rsidR="005C6E47" w:rsidRPr="00650FF1" w:rsidP="002F2972">
            <w:r w:rsidRPr="00650FF1">
              <w:t>Excluding the RAM network</w:t>
            </w:r>
          </w:p>
        </w:tc>
      </w:tr>
      <w:tr w:rsidTr="002F2972">
        <w:tblPrEx>
          <w:tblW w:w="10421" w:type="dxa"/>
          <w:tblLook w:val="04A0"/>
        </w:tblPrEx>
        <w:tc>
          <w:tcPr>
            <w:tcW w:w="5210" w:type="dxa"/>
          </w:tcPr>
          <w:p w:rsidR="005C6E47" w:rsidRPr="00650FF1" w:rsidP="002F2972">
            <w:r w:rsidRPr="00650FF1">
              <w:rPr>
                <w:lang w:val="es-ES_tradnl"/>
              </w:rPr>
              <w:t>Total Red</w:t>
            </w:r>
          </w:p>
        </w:tc>
        <w:tc>
          <w:tcPr>
            <w:tcW w:w="5211" w:type="dxa"/>
          </w:tcPr>
          <w:p w:rsidR="005C6E47" w:rsidRPr="00650FF1" w:rsidP="002F2972">
            <w:r w:rsidRPr="00650FF1">
              <w:t>Total network</w:t>
            </w:r>
          </w:p>
        </w:tc>
      </w:tr>
      <w:tr w:rsidTr="002F2972">
        <w:tblPrEx>
          <w:tblW w:w="10421" w:type="dxa"/>
          <w:tblLook w:val="04A0"/>
        </w:tblPrEx>
        <w:tc>
          <w:tcPr>
            <w:tcW w:w="5210" w:type="dxa"/>
          </w:tcPr>
          <w:p w:rsidR="005C6E47" w:rsidRPr="00650FF1" w:rsidP="002F2972">
            <w:r w:rsidRPr="00650FF1">
              <w:rPr>
                <w:lang w:val="es-ES_tradnl"/>
              </w:rPr>
              <w:t>MHGP / mil millones de trenes-km</w:t>
            </w:r>
          </w:p>
        </w:tc>
        <w:tc>
          <w:tcPr>
            <w:tcW w:w="5211" w:type="dxa"/>
          </w:tcPr>
          <w:p w:rsidR="005C6E47" w:rsidRPr="00650FF1" w:rsidP="002F2972">
            <w:r w:rsidRPr="00650FF1">
              <w:t>MHGP / billion train-km</w:t>
            </w:r>
          </w:p>
        </w:tc>
      </w:tr>
    </w:tbl>
    <w:p w:rsidR="005C6E47" w:rsidRPr="00650FF1" w:rsidP="005C6E47">
      <w:pPr>
        <w:rPr>
          <w:lang w:val="es-ES_tradnl"/>
        </w:rPr>
      </w:pPr>
    </w:p>
    <w:p w:rsidR="005C6E47" w:rsidRPr="00650FF1" w:rsidP="005C6E47">
      <w:pPr>
        <w:pStyle w:val="PUNTOS2"/>
        <w:keepNext/>
        <w:ind w:left="851"/>
        <w:rPr>
          <w:smallCaps/>
          <w:color w:val="auto"/>
          <w:sz w:val="32"/>
        </w:rPr>
      </w:pPr>
      <w:r w:rsidRPr="00650FF1">
        <w:rPr>
          <w:smallCaps/>
          <w:color w:val="auto"/>
          <w:sz w:val="32"/>
        </w:rPr>
        <w:t>Passengers</w:t>
      </w:r>
    </w:p>
    <w:p w:rsidR="005C6E47" w:rsidRPr="00650FF1" w:rsidP="005C6E47">
      <w:pPr>
        <w:pStyle w:val="PUNTOS2"/>
        <w:numPr>
          <w:ilvl w:val="0"/>
          <w:numId w:val="0"/>
        </w:numPr>
        <w:jc w:val="center"/>
        <w:rPr>
          <w:smallCaps/>
          <w:noProof/>
          <w:color w:val="auto"/>
          <w:sz w:val="32"/>
        </w:rPr>
      </w:pPr>
      <w:r w:rsidRPr="00650FF1">
        <w:rPr>
          <w:smallCaps/>
          <w:noProof/>
          <w:color w:val="auto"/>
          <w:sz w:val="32"/>
          <w:lang w:val="fr-FR" w:eastAsia="fr-FR"/>
        </w:rPr>
        <w:drawing>
          <wp:inline distT="0" distB="0" distL="0" distR="0">
            <wp:extent cx="5760000" cy="367560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1724" name="Picture 7"/>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675600"/>
                    </a:xfrm>
                    <a:prstGeom prst="rect">
                      <a:avLst/>
                    </a:prstGeom>
                    <a:noFill/>
                    <a:ln>
                      <a:noFill/>
                    </a:ln>
                  </pic:spPr>
                </pic:pic>
              </a:graphicData>
            </a:graphic>
          </wp:inline>
        </w:drawing>
      </w:r>
    </w:p>
    <w:p w:rsidR="005C6E47" w:rsidRPr="00650FF1" w:rsidP="005C6E47">
      <w:pPr>
        <w:rPr>
          <w:noProof/>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pPr>
              <w:rPr>
                <w:noProof/>
              </w:rPr>
            </w:pPr>
            <w:r w:rsidRPr="00650FF1">
              <w:rPr>
                <w:lang w:val="es-ES_tradnl"/>
              </w:rPr>
              <w:t>Muertos y heridos graves ponderados (MGHP) / mil millones de trenes-km</w:t>
            </w:r>
          </w:p>
        </w:tc>
        <w:tc>
          <w:tcPr>
            <w:tcW w:w="5211" w:type="dxa"/>
          </w:tcPr>
          <w:p w:rsidR="005C6E47" w:rsidRPr="00650FF1" w:rsidP="002F2972">
            <w:pPr>
              <w:rPr>
                <w:noProof/>
              </w:rPr>
            </w:pPr>
            <w:r w:rsidRPr="00650FF1">
              <w:t>Weighted fatalities and serious injuries (MGHP) / billion train-km</w:t>
            </w:r>
          </w:p>
        </w:tc>
      </w:tr>
      <w:tr w:rsidTr="002F2972">
        <w:tblPrEx>
          <w:tblW w:w="10421" w:type="dxa"/>
          <w:tblLook w:val="04A0"/>
        </w:tblPrEx>
        <w:tc>
          <w:tcPr>
            <w:tcW w:w="5210" w:type="dxa"/>
          </w:tcPr>
          <w:p w:rsidR="005C6E47" w:rsidRPr="00650FF1" w:rsidP="002F2972">
            <w:pPr>
              <w:rPr>
                <w:noProof/>
              </w:rPr>
            </w:pPr>
            <w:r w:rsidRPr="00650FF1">
              <w:rPr>
                <w:lang w:val="es-ES_tradnl"/>
              </w:rPr>
              <w:t xml:space="preserve">Categoría de </w:t>
            </w:r>
            <w:r w:rsidRPr="00650FF1">
              <w:rPr>
                <w:lang w:val="es-ES_tradnl"/>
              </w:rPr>
              <w:t>vícitma</w:t>
            </w:r>
            <w:r w:rsidRPr="00650FF1">
              <w:rPr>
                <w:lang w:val="es-ES_tradnl"/>
              </w:rPr>
              <w:t>: Viajeros</w:t>
            </w:r>
          </w:p>
        </w:tc>
        <w:tc>
          <w:tcPr>
            <w:tcW w:w="5211" w:type="dxa"/>
          </w:tcPr>
          <w:p w:rsidR="005C6E47" w:rsidRPr="00650FF1" w:rsidP="002F2972">
            <w:pPr>
              <w:rPr>
                <w:noProof/>
              </w:rPr>
            </w:pPr>
            <w:r w:rsidRPr="00650FF1">
              <w:t>Victim category: Passengers</w:t>
            </w:r>
          </w:p>
        </w:tc>
      </w:tr>
      <w:tr w:rsidTr="002F2972">
        <w:tblPrEx>
          <w:tblW w:w="10421" w:type="dxa"/>
          <w:tblLook w:val="04A0"/>
        </w:tblPrEx>
        <w:tc>
          <w:tcPr>
            <w:tcW w:w="5210" w:type="dxa"/>
          </w:tcPr>
          <w:p w:rsidR="005C6E47" w:rsidRPr="00650FF1" w:rsidP="002F2972">
            <w:pPr>
              <w:rPr>
                <w:noProof/>
              </w:rPr>
            </w:pPr>
            <w:r w:rsidRPr="00650FF1">
              <w:rPr>
                <w:lang w:val="es-ES_tradnl"/>
              </w:rPr>
              <w:t>Excluida red RAM</w:t>
            </w:r>
          </w:p>
        </w:tc>
        <w:tc>
          <w:tcPr>
            <w:tcW w:w="5211" w:type="dxa"/>
          </w:tcPr>
          <w:p w:rsidR="005C6E47" w:rsidRPr="00650FF1" w:rsidP="002F2972">
            <w:pPr>
              <w:rPr>
                <w:noProof/>
              </w:rPr>
            </w:pPr>
            <w:r w:rsidRPr="00650FF1">
              <w:t>Excluding the RAM network</w:t>
            </w:r>
          </w:p>
        </w:tc>
      </w:tr>
      <w:tr w:rsidTr="002F2972">
        <w:tblPrEx>
          <w:tblW w:w="10421" w:type="dxa"/>
          <w:tblLook w:val="04A0"/>
        </w:tblPrEx>
        <w:tc>
          <w:tcPr>
            <w:tcW w:w="5210" w:type="dxa"/>
          </w:tcPr>
          <w:p w:rsidR="005C6E47" w:rsidRPr="00650FF1" w:rsidP="002F2972">
            <w:pPr>
              <w:rPr>
                <w:noProof/>
              </w:rPr>
            </w:pPr>
            <w:r w:rsidRPr="00650FF1">
              <w:rPr>
                <w:lang w:val="es-ES_tradnl"/>
              </w:rPr>
              <w:t>Total Red</w:t>
            </w:r>
          </w:p>
        </w:tc>
        <w:tc>
          <w:tcPr>
            <w:tcW w:w="5211" w:type="dxa"/>
          </w:tcPr>
          <w:p w:rsidR="005C6E47" w:rsidRPr="00650FF1" w:rsidP="002F2972">
            <w:pPr>
              <w:rPr>
                <w:noProof/>
              </w:rPr>
            </w:pPr>
            <w:r w:rsidRPr="00650FF1">
              <w:t>Total network</w:t>
            </w:r>
          </w:p>
        </w:tc>
      </w:tr>
      <w:tr w:rsidTr="002F2972">
        <w:tblPrEx>
          <w:tblW w:w="10421" w:type="dxa"/>
          <w:tblLook w:val="04A0"/>
        </w:tblPrEx>
        <w:tc>
          <w:tcPr>
            <w:tcW w:w="5210" w:type="dxa"/>
          </w:tcPr>
          <w:p w:rsidR="005C6E47" w:rsidRPr="00650FF1" w:rsidP="002F2972">
            <w:pPr>
              <w:rPr>
                <w:noProof/>
              </w:rPr>
            </w:pPr>
            <w:r w:rsidRPr="00650FF1">
              <w:rPr>
                <w:lang w:val="es-ES_tradnl"/>
              </w:rPr>
              <w:t>MHGP / mil millones de trenes-km</w:t>
            </w:r>
          </w:p>
        </w:tc>
        <w:tc>
          <w:tcPr>
            <w:tcW w:w="5211" w:type="dxa"/>
          </w:tcPr>
          <w:p w:rsidR="005C6E47" w:rsidRPr="00650FF1" w:rsidP="002F2972">
            <w:pPr>
              <w:rPr>
                <w:noProof/>
              </w:rPr>
            </w:pPr>
            <w:r w:rsidRPr="00650FF1">
              <w:t>MHGP / billion train-km</w:t>
            </w:r>
          </w:p>
        </w:tc>
      </w:tr>
    </w:tbl>
    <w:p w:rsidR="005C6E47" w:rsidRPr="00650FF1" w:rsidP="005C6E47">
      <w:pPr>
        <w:rPr>
          <w:noProof/>
          <w:lang w:val="es-ES_tradnl"/>
        </w:rPr>
      </w:pPr>
    </w:p>
    <w:p w:rsidR="005C6E47" w:rsidRPr="00650FF1" w:rsidP="005C6E47">
      <w:pPr>
        <w:pStyle w:val="PUNTOS2"/>
        <w:numPr>
          <w:ilvl w:val="0"/>
          <w:numId w:val="0"/>
        </w:numPr>
        <w:jc w:val="center"/>
        <w:rPr>
          <w:smallCaps/>
          <w:noProof/>
          <w:color w:val="auto"/>
          <w:sz w:val="32"/>
        </w:rPr>
      </w:pPr>
      <w:r w:rsidRPr="00650FF1">
        <w:rPr>
          <w:smallCaps/>
          <w:noProof/>
          <w:color w:val="auto"/>
          <w:sz w:val="32"/>
          <w:lang w:val="fr-FR" w:eastAsia="fr-FR"/>
        </w:rPr>
        <w:drawing>
          <wp:inline distT="0" distB="0" distL="0" distR="0">
            <wp:extent cx="5760000" cy="3708000"/>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19742" name="Picture 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708000"/>
                    </a:xfrm>
                    <a:prstGeom prst="rect">
                      <a:avLst/>
                    </a:prstGeom>
                    <a:noFill/>
                    <a:ln>
                      <a:noFill/>
                    </a:ln>
                  </pic:spPr>
                </pic:pic>
              </a:graphicData>
            </a:graphic>
          </wp:inline>
        </w:drawing>
      </w:r>
    </w:p>
    <w:p w:rsidR="005C6E47" w:rsidRPr="00650FF1" w:rsidP="005C6E47">
      <w:pPr>
        <w:rPr>
          <w:lang w:val="es-ES_tradnl"/>
        </w:rPr>
      </w:pPr>
    </w:p>
    <w:tbl>
      <w:tblPr>
        <w:tblStyle w:val="TableGrid"/>
        <w:tblW w:w="0" w:type="auto"/>
        <w:tblLook w:val="04A0"/>
      </w:tblPr>
      <w:tblGrid>
        <w:gridCol w:w="5098"/>
        <w:gridCol w:w="5097"/>
      </w:tblGrid>
      <w:tr w:rsidTr="002F2972">
        <w:tblPrEx>
          <w:tblW w:w="0" w:type="auto"/>
          <w:tblLook w:val="04A0"/>
        </w:tblPrEx>
        <w:tc>
          <w:tcPr>
            <w:tcW w:w="5210" w:type="dxa"/>
          </w:tcPr>
          <w:p w:rsidR="005C6E47" w:rsidRPr="00650FF1" w:rsidP="002F2972">
            <w:r w:rsidRPr="00650FF1">
              <w:rPr>
                <w:lang w:val="es-ES_tradnl"/>
              </w:rPr>
              <w:t>Muertos y heridos graves ponderados (MGHP) / mil millones de viajeros-km</w:t>
            </w:r>
          </w:p>
        </w:tc>
        <w:tc>
          <w:tcPr>
            <w:tcW w:w="5211" w:type="dxa"/>
          </w:tcPr>
          <w:p w:rsidR="005C6E47" w:rsidRPr="00650FF1" w:rsidP="002F2972">
            <w:r w:rsidRPr="00650FF1">
              <w:t>Weighted fatalities and serious injuries (MGHP) / billion passenger-km</w:t>
            </w:r>
          </w:p>
        </w:tc>
      </w:tr>
      <w:tr w:rsidTr="002F2972">
        <w:tblPrEx>
          <w:tblW w:w="0" w:type="auto"/>
          <w:tblLook w:val="04A0"/>
        </w:tblPrEx>
        <w:tc>
          <w:tcPr>
            <w:tcW w:w="5210" w:type="dxa"/>
          </w:tcPr>
          <w:p w:rsidR="005C6E47" w:rsidRPr="00650FF1" w:rsidP="002F2972">
            <w:r w:rsidRPr="00650FF1">
              <w:rPr>
                <w:lang w:val="es-ES_tradnl"/>
              </w:rPr>
              <w:t>Categoría de víctima: Viajeros</w:t>
            </w:r>
          </w:p>
        </w:tc>
        <w:tc>
          <w:tcPr>
            <w:tcW w:w="5211" w:type="dxa"/>
          </w:tcPr>
          <w:p w:rsidR="005C6E47" w:rsidRPr="00650FF1" w:rsidP="002F2972">
            <w:r w:rsidRPr="00650FF1">
              <w:t>Victim category: Passengers</w:t>
            </w:r>
          </w:p>
        </w:tc>
      </w:tr>
      <w:tr w:rsidTr="002F2972">
        <w:tblPrEx>
          <w:tblW w:w="0" w:type="auto"/>
          <w:tblLook w:val="04A0"/>
        </w:tblPrEx>
        <w:tc>
          <w:tcPr>
            <w:tcW w:w="5210" w:type="dxa"/>
          </w:tcPr>
          <w:p w:rsidR="005C6E47" w:rsidRPr="00650FF1" w:rsidP="002F2972">
            <w:pPr>
              <w:rPr>
                <w:noProof/>
              </w:rPr>
            </w:pPr>
            <w:r w:rsidRPr="00650FF1">
              <w:rPr>
                <w:lang w:val="es-ES_tradnl"/>
              </w:rPr>
              <w:t>Excluida red RAM</w:t>
            </w:r>
          </w:p>
        </w:tc>
        <w:tc>
          <w:tcPr>
            <w:tcW w:w="5211" w:type="dxa"/>
          </w:tcPr>
          <w:p w:rsidR="005C6E47" w:rsidRPr="00650FF1" w:rsidP="002F2972">
            <w:pPr>
              <w:rPr>
                <w:noProof/>
              </w:rPr>
            </w:pPr>
            <w:r w:rsidRPr="00650FF1">
              <w:t>Excluding the RAM network</w:t>
            </w:r>
          </w:p>
        </w:tc>
      </w:tr>
      <w:tr w:rsidTr="002F2972">
        <w:tblPrEx>
          <w:tblW w:w="0" w:type="auto"/>
          <w:tblLook w:val="04A0"/>
        </w:tblPrEx>
        <w:tc>
          <w:tcPr>
            <w:tcW w:w="5210" w:type="dxa"/>
          </w:tcPr>
          <w:p w:rsidR="005C6E47" w:rsidRPr="00650FF1" w:rsidP="002F2972">
            <w:pPr>
              <w:rPr>
                <w:noProof/>
              </w:rPr>
            </w:pPr>
            <w:r w:rsidRPr="00650FF1">
              <w:rPr>
                <w:lang w:val="es-ES_tradnl"/>
              </w:rPr>
              <w:t>Total Red</w:t>
            </w:r>
          </w:p>
        </w:tc>
        <w:tc>
          <w:tcPr>
            <w:tcW w:w="5211" w:type="dxa"/>
          </w:tcPr>
          <w:p w:rsidR="005C6E47" w:rsidRPr="00650FF1" w:rsidP="002F2972">
            <w:pPr>
              <w:rPr>
                <w:noProof/>
              </w:rPr>
            </w:pPr>
            <w:r w:rsidRPr="00650FF1">
              <w:t>Total network</w:t>
            </w:r>
          </w:p>
        </w:tc>
      </w:tr>
      <w:tr w:rsidTr="002F2972">
        <w:tblPrEx>
          <w:tblW w:w="0" w:type="auto"/>
          <w:tblLook w:val="04A0"/>
        </w:tblPrEx>
        <w:tc>
          <w:tcPr>
            <w:tcW w:w="5210" w:type="dxa"/>
          </w:tcPr>
          <w:p w:rsidR="005C6E47" w:rsidRPr="00650FF1" w:rsidP="002F2972">
            <w:pPr>
              <w:rPr>
                <w:noProof/>
              </w:rPr>
            </w:pPr>
            <w:r w:rsidRPr="00650FF1">
              <w:rPr>
                <w:lang w:val="es-ES_tradnl"/>
              </w:rPr>
              <w:t>MHGP / mil millones de trenes-km</w:t>
            </w:r>
          </w:p>
        </w:tc>
        <w:tc>
          <w:tcPr>
            <w:tcW w:w="5211" w:type="dxa"/>
          </w:tcPr>
          <w:p w:rsidR="005C6E47" w:rsidRPr="00650FF1" w:rsidP="002F2972">
            <w:pPr>
              <w:rPr>
                <w:noProof/>
              </w:rPr>
            </w:pPr>
            <w:r w:rsidRPr="00650FF1">
              <w:t>MHGP / billion train-km</w:t>
            </w:r>
          </w:p>
        </w:tc>
      </w:tr>
    </w:tbl>
    <w:p w:rsidR="005C6E47" w:rsidRPr="00650FF1" w:rsidP="005C6E47">
      <w:pPr>
        <w:rPr>
          <w:lang w:val="es-ES_tradnl"/>
        </w:rPr>
      </w:pPr>
    </w:p>
    <w:p w:rsidR="005C6E47" w:rsidRPr="00650FF1" w:rsidP="005C6E47">
      <w:pPr>
        <w:pStyle w:val="PUNTOS2"/>
        <w:ind w:left="851"/>
        <w:rPr>
          <w:smallCaps/>
          <w:color w:val="auto"/>
          <w:sz w:val="32"/>
        </w:rPr>
      </w:pPr>
      <w:r w:rsidRPr="00650FF1">
        <w:rPr>
          <w:smallCaps/>
          <w:color w:val="auto"/>
          <w:sz w:val="32"/>
        </w:rPr>
        <w:br w:type="page"/>
      </w:r>
      <w:r w:rsidRPr="00650FF1">
        <w:rPr>
          <w:smallCaps/>
          <w:color w:val="auto"/>
          <w:sz w:val="32"/>
        </w:rPr>
        <w:t>Level crossing users</w:t>
      </w:r>
    </w:p>
    <w:p w:rsidR="005C6E47" w:rsidRPr="00650FF1" w:rsidP="005C6E47">
      <w:pPr>
        <w:pStyle w:val="PUNTOS2"/>
        <w:numPr>
          <w:ilvl w:val="0"/>
          <w:numId w:val="0"/>
        </w:numPr>
        <w:jc w:val="center"/>
        <w:rPr>
          <w:smallCaps/>
          <w:noProof/>
          <w:color w:val="auto"/>
          <w:sz w:val="32"/>
        </w:rPr>
      </w:pPr>
      <w:r w:rsidRPr="00650FF1">
        <w:rPr>
          <w:smallCaps/>
          <w:noProof/>
          <w:color w:val="auto"/>
          <w:sz w:val="32"/>
          <w:lang w:val="fr-FR" w:eastAsia="fr-FR"/>
        </w:rPr>
        <w:drawing>
          <wp:inline distT="0" distB="0" distL="0" distR="0">
            <wp:extent cx="5760000" cy="3682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53441" name="Picture 1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682800"/>
                    </a:xfrm>
                    <a:prstGeom prst="rect">
                      <a:avLst/>
                    </a:prstGeom>
                    <a:noFill/>
                    <a:ln>
                      <a:noFill/>
                    </a:ln>
                  </pic:spPr>
                </pic:pic>
              </a:graphicData>
            </a:graphic>
          </wp:inline>
        </w:drawing>
      </w:r>
    </w:p>
    <w:p w:rsidR="005C6E47" w:rsidRPr="00650FF1" w:rsidP="005C6E47">
      <w:pPr>
        <w:rPr>
          <w:noProof/>
          <w:lang w:val="es-ES_tradnl"/>
        </w:rPr>
      </w:pPr>
    </w:p>
    <w:tbl>
      <w:tblPr>
        <w:tblStyle w:val="TableGrid"/>
        <w:tblW w:w="10420" w:type="dxa"/>
        <w:tblLook w:val="04A0"/>
      </w:tblPr>
      <w:tblGrid>
        <w:gridCol w:w="5210"/>
        <w:gridCol w:w="5210"/>
      </w:tblGrid>
      <w:tr w:rsidTr="002F2972">
        <w:tblPrEx>
          <w:tblW w:w="10420" w:type="dxa"/>
          <w:tblLook w:val="04A0"/>
        </w:tblPrEx>
        <w:tc>
          <w:tcPr>
            <w:tcW w:w="5210" w:type="dxa"/>
          </w:tcPr>
          <w:p w:rsidR="005C6E47" w:rsidRPr="00650FF1" w:rsidP="002F2972">
            <w:r w:rsidRPr="00650FF1">
              <w:rPr>
                <w:lang w:val="es-ES_tradnl"/>
              </w:rPr>
              <w:t>Muertos y heridos graves ponderados (MGHP) / mil millones de trenes-km</w:t>
            </w:r>
          </w:p>
        </w:tc>
        <w:tc>
          <w:tcPr>
            <w:tcW w:w="5210" w:type="dxa"/>
          </w:tcPr>
          <w:p w:rsidR="005C6E47" w:rsidRPr="00650FF1" w:rsidP="002F2972">
            <w:r w:rsidRPr="00650FF1">
              <w:t>Weighted fatalities and serious injuries (MGHP) / billion train-km</w:t>
            </w:r>
          </w:p>
        </w:tc>
      </w:tr>
      <w:tr w:rsidTr="002F2972">
        <w:tblPrEx>
          <w:tblW w:w="10420" w:type="dxa"/>
          <w:tblLook w:val="04A0"/>
        </w:tblPrEx>
        <w:tc>
          <w:tcPr>
            <w:tcW w:w="5210" w:type="dxa"/>
          </w:tcPr>
          <w:p w:rsidR="005C6E47" w:rsidRPr="00650FF1" w:rsidP="002F2972">
            <w:r w:rsidRPr="00650FF1">
              <w:rPr>
                <w:lang w:val="es-ES_tradnl"/>
              </w:rPr>
              <w:t>Categoría de víctima: Usuarios de pasos a nivel</w:t>
            </w:r>
          </w:p>
        </w:tc>
        <w:tc>
          <w:tcPr>
            <w:tcW w:w="5210" w:type="dxa"/>
          </w:tcPr>
          <w:p w:rsidR="005C6E47" w:rsidRPr="00650FF1" w:rsidP="002F2972">
            <w:r w:rsidRPr="00650FF1">
              <w:t>Victim category: Level crossing users</w:t>
            </w:r>
          </w:p>
        </w:tc>
      </w:tr>
      <w:tr w:rsidTr="002F2972">
        <w:tblPrEx>
          <w:tblW w:w="10420" w:type="dxa"/>
          <w:tblLook w:val="04A0"/>
        </w:tblPrEx>
        <w:tc>
          <w:tcPr>
            <w:tcW w:w="5210" w:type="dxa"/>
          </w:tcPr>
          <w:p w:rsidR="005C6E47" w:rsidRPr="00650FF1" w:rsidP="002F2972">
            <w:pPr>
              <w:rPr>
                <w:noProof/>
              </w:rPr>
            </w:pPr>
            <w:r w:rsidRPr="00650FF1">
              <w:rPr>
                <w:lang w:val="es-ES_tradnl"/>
              </w:rPr>
              <w:t>Excluida red RAM</w:t>
            </w:r>
          </w:p>
        </w:tc>
        <w:tc>
          <w:tcPr>
            <w:tcW w:w="5210" w:type="dxa"/>
          </w:tcPr>
          <w:p w:rsidR="005C6E47" w:rsidRPr="00650FF1" w:rsidP="002F2972">
            <w:pPr>
              <w:rPr>
                <w:noProof/>
              </w:rPr>
            </w:pPr>
            <w:r w:rsidRPr="00650FF1">
              <w:t>Excluding the RAM network</w:t>
            </w:r>
          </w:p>
        </w:tc>
      </w:tr>
      <w:tr w:rsidTr="002F2972">
        <w:tblPrEx>
          <w:tblW w:w="10420" w:type="dxa"/>
          <w:tblLook w:val="04A0"/>
        </w:tblPrEx>
        <w:tc>
          <w:tcPr>
            <w:tcW w:w="5210" w:type="dxa"/>
          </w:tcPr>
          <w:p w:rsidR="005C6E47" w:rsidRPr="00650FF1" w:rsidP="002F2972">
            <w:pPr>
              <w:rPr>
                <w:noProof/>
              </w:rPr>
            </w:pPr>
            <w:r w:rsidRPr="00650FF1">
              <w:rPr>
                <w:lang w:val="es-ES_tradnl"/>
              </w:rPr>
              <w:t>Total Red</w:t>
            </w:r>
          </w:p>
        </w:tc>
        <w:tc>
          <w:tcPr>
            <w:tcW w:w="5210" w:type="dxa"/>
          </w:tcPr>
          <w:p w:rsidR="005C6E47" w:rsidRPr="00650FF1" w:rsidP="002F2972">
            <w:pPr>
              <w:rPr>
                <w:noProof/>
              </w:rPr>
            </w:pPr>
            <w:r w:rsidRPr="00650FF1">
              <w:t>Total network</w:t>
            </w:r>
          </w:p>
        </w:tc>
      </w:tr>
      <w:tr w:rsidTr="002F2972">
        <w:tblPrEx>
          <w:tblW w:w="10420" w:type="dxa"/>
          <w:tblLook w:val="04A0"/>
        </w:tblPrEx>
        <w:tc>
          <w:tcPr>
            <w:tcW w:w="5210" w:type="dxa"/>
          </w:tcPr>
          <w:p w:rsidR="005C6E47" w:rsidRPr="00650FF1" w:rsidP="002F2972">
            <w:pPr>
              <w:rPr>
                <w:noProof/>
              </w:rPr>
            </w:pPr>
            <w:r w:rsidRPr="00650FF1">
              <w:rPr>
                <w:lang w:val="es-ES_tradnl"/>
              </w:rPr>
              <w:t>MHGP / mil millones de trenes-km</w:t>
            </w:r>
          </w:p>
        </w:tc>
        <w:tc>
          <w:tcPr>
            <w:tcW w:w="5210" w:type="dxa"/>
          </w:tcPr>
          <w:p w:rsidR="005C6E47" w:rsidRPr="00650FF1" w:rsidP="002F2972">
            <w:pPr>
              <w:rPr>
                <w:noProof/>
              </w:rPr>
            </w:pPr>
            <w:r w:rsidRPr="00650FF1">
              <w:t>MHGP / billion train-km</w:t>
            </w:r>
          </w:p>
        </w:tc>
      </w:tr>
    </w:tbl>
    <w:p w:rsidR="005C6E47" w:rsidRPr="00650FF1" w:rsidP="005C6E47">
      <w:pPr>
        <w:rPr>
          <w:noProof/>
          <w:lang w:val="es-ES_tradnl"/>
        </w:rPr>
      </w:pPr>
    </w:p>
    <w:p w:rsidR="005C6E47" w:rsidRPr="00650FF1" w:rsidP="005C6E47">
      <w:pPr>
        <w:pStyle w:val="PUNTOS2"/>
        <w:numPr>
          <w:ilvl w:val="0"/>
          <w:numId w:val="0"/>
        </w:numPr>
        <w:jc w:val="center"/>
        <w:rPr>
          <w:smallCaps/>
          <w:noProof/>
          <w:color w:val="auto"/>
          <w:sz w:val="32"/>
        </w:rPr>
      </w:pPr>
      <w:r w:rsidRPr="00650FF1">
        <w:rPr>
          <w:smallCaps/>
          <w:noProof/>
          <w:color w:val="auto"/>
          <w:sz w:val="32"/>
          <w:lang w:val="fr-FR" w:eastAsia="fr-FR"/>
        </w:rPr>
        <w:drawing>
          <wp:inline distT="0" distB="0" distL="0" distR="0">
            <wp:extent cx="5760000" cy="39852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72287" name="Picture 11"/>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00" cy="3985200"/>
                    </a:xfrm>
                    <a:prstGeom prst="rect">
                      <a:avLst/>
                    </a:prstGeom>
                    <a:noFill/>
                    <a:ln>
                      <a:noFill/>
                    </a:ln>
                  </pic:spPr>
                </pic:pic>
              </a:graphicData>
            </a:graphic>
          </wp:inline>
        </w:drawing>
      </w:r>
    </w:p>
    <w:p w:rsidR="005C6E47" w:rsidRPr="00650FF1" w:rsidP="005C6E47">
      <w:pPr>
        <w:rPr>
          <w:noProof/>
          <w:lang w:val="es-ES_tradnl"/>
        </w:rPr>
      </w:pPr>
    </w:p>
    <w:tbl>
      <w:tblPr>
        <w:tblStyle w:val="TableGrid"/>
        <w:tblW w:w="10420" w:type="dxa"/>
        <w:tblLook w:val="04A0"/>
      </w:tblPr>
      <w:tblGrid>
        <w:gridCol w:w="5210"/>
        <w:gridCol w:w="5210"/>
      </w:tblGrid>
      <w:tr w:rsidTr="002F2972">
        <w:tblPrEx>
          <w:tblW w:w="10420" w:type="dxa"/>
          <w:tblLook w:val="04A0"/>
        </w:tblPrEx>
        <w:tc>
          <w:tcPr>
            <w:tcW w:w="5210" w:type="dxa"/>
          </w:tcPr>
          <w:p w:rsidR="005C6E47" w:rsidRPr="00650FF1" w:rsidP="002F2972">
            <w:r w:rsidRPr="00650FF1">
              <w:rPr>
                <w:lang w:val="es-ES_tradnl"/>
              </w:rPr>
              <w:t>Muertos y heridos graves ponderados (MGHP) por mil millones de trenes-km / km de vía por nº de pasos a nivel</w:t>
            </w:r>
          </w:p>
        </w:tc>
        <w:tc>
          <w:tcPr>
            <w:tcW w:w="5210" w:type="dxa"/>
          </w:tcPr>
          <w:p w:rsidR="005C6E47" w:rsidRPr="00650FF1" w:rsidP="002F2972">
            <w:r w:rsidRPr="00650FF1">
              <w:t>Weighted fatalities and serious injuries (MGHP) per billion train-km / km of track per no. of level crossings</w:t>
            </w:r>
          </w:p>
        </w:tc>
      </w:tr>
      <w:tr w:rsidTr="002F2972">
        <w:tblPrEx>
          <w:tblW w:w="10420" w:type="dxa"/>
          <w:tblLook w:val="04A0"/>
        </w:tblPrEx>
        <w:tc>
          <w:tcPr>
            <w:tcW w:w="5210" w:type="dxa"/>
          </w:tcPr>
          <w:p w:rsidR="005C6E47" w:rsidRPr="00650FF1" w:rsidP="002F2972">
            <w:r w:rsidRPr="00650FF1">
              <w:rPr>
                <w:lang w:val="es-ES_tradnl"/>
              </w:rPr>
              <w:t>Categoría de víctima: Usuarios de pasos a nivel</w:t>
            </w:r>
          </w:p>
        </w:tc>
        <w:tc>
          <w:tcPr>
            <w:tcW w:w="5210" w:type="dxa"/>
          </w:tcPr>
          <w:p w:rsidR="005C6E47" w:rsidRPr="00650FF1" w:rsidP="002F2972">
            <w:r w:rsidRPr="00650FF1">
              <w:t>Victim category: Level crossing users</w:t>
            </w:r>
          </w:p>
        </w:tc>
      </w:tr>
      <w:tr w:rsidTr="002F2972">
        <w:tblPrEx>
          <w:tblW w:w="10420" w:type="dxa"/>
          <w:tblLook w:val="04A0"/>
        </w:tblPrEx>
        <w:tc>
          <w:tcPr>
            <w:tcW w:w="5210" w:type="dxa"/>
          </w:tcPr>
          <w:p w:rsidR="005C6E47" w:rsidRPr="00650FF1" w:rsidP="002F2972">
            <w:pPr>
              <w:rPr>
                <w:noProof/>
              </w:rPr>
            </w:pPr>
            <w:r w:rsidRPr="00650FF1">
              <w:rPr>
                <w:lang w:val="es-ES_tradnl"/>
              </w:rPr>
              <w:t>Excluida red RAM</w:t>
            </w:r>
          </w:p>
        </w:tc>
        <w:tc>
          <w:tcPr>
            <w:tcW w:w="5210" w:type="dxa"/>
          </w:tcPr>
          <w:p w:rsidR="005C6E47" w:rsidRPr="00650FF1" w:rsidP="002F2972">
            <w:pPr>
              <w:rPr>
                <w:noProof/>
              </w:rPr>
            </w:pPr>
            <w:r w:rsidRPr="00650FF1">
              <w:t>Excluding the RAM network</w:t>
            </w:r>
          </w:p>
        </w:tc>
      </w:tr>
      <w:tr w:rsidTr="002F2972">
        <w:tblPrEx>
          <w:tblW w:w="10420" w:type="dxa"/>
          <w:tblLook w:val="04A0"/>
        </w:tblPrEx>
        <w:tc>
          <w:tcPr>
            <w:tcW w:w="5210" w:type="dxa"/>
          </w:tcPr>
          <w:p w:rsidR="005C6E47" w:rsidRPr="00650FF1" w:rsidP="002F2972">
            <w:pPr>
              <w:rPr>
                <w:noProof/>
              </w:rPr>
            </w:pPr>
            <w:r w:rsidRPr="00650FF1">
              <w:rPr>
                <w:lang w:val="es-ES_tradnl"/>
              </w:rPr>
              <w:t>Total Red</w:t>
            </w:r>
          </w:p>
        </w:tc>
        <w:tc>
          <w:tcPr>
            <w:tcW w:w="5210" w:type="dxa"/>
          </w:tcPr>
          <w:p w:rsidR="005C6E47" w:rsidRPr="00650FF1" w:rsidP="002F2972">
            <w:pPr>
              <w:rPr>
                <w:noProof/>
              </w:rPr>
            </w:pPr>
            <w:r w:rsidRPr="00650FF1">
              <w:t>Total network</w:t>
            </w:r>
          </w:p>
        </w:tc>
      </w:tr>
      <w:tr w:rsidTr="002F2972">
        <w:tblPrEx>
          <w:tblW w:w="10420" w:type="dxa"/>
          <w:tblLook w:val="04A0"/>
        </w:tblPrEx>
        <w:tc>
          <w:tcPr>
            <w:tcW w:w="5210" w:type="dxa"/>
          </w:tcPr>
          <w:p w:rsidR="005C6E47" w:rsidRPr="00650FF1" w:rsidP="002F2972">
            <w:pPr>
              <w:rPr>
                <w:noProof/>
              </w:rPr>
            </w:pPr>
            <w:r w:rsidRPr="00650FF1">
              <w:rPr>
                <w:lang w:val="es-ES_tradnl"/>
              </w:rPr>
              <w:t>(MHGP / mil millones de trenes-km / km. de vía / nº de PN)</w:t>
            </w:r>
          </w:p>
        </w:tc>
        <w:tc>
          <w:tcPr>
            <w:tcW w:w="5210" w:type="dxa"/>
          </w:tcPr>
          <w:p w:rsidR="005C6E47" w:rsidRPr="00650FF1" w:rsidP="002F2972">
            <w:pPr>
              <w:rPr>
                <w:noProof/>
              </w:rPr>
            </w:pPr>
            <w:r w:rsidRPr="00650FF1">
              <w:t>(MGHP / billion train-km) / (track km / no. LCs)</w:t>
            </w:r>
          </w:p>
        </w:tc>
      </w:tr>
    </w:tbl>
    <w:p w:rsidR="005C6E47" w:rsidRPr="00650FF1" w:rsidP="005C6E47">
      <w:pPr>
        <w:rPr>
          <w:noProof/>
          <w:lang w:val="es-ES_tradnl"/>
        </w:rPr>
      </w:pPr>
    </w:p>
    <w:p w:rsidR="005C6E47" w:rsidRPr="00650FF1" w:rsidP="005C6E47">
      <w:pPr>
        <w:rPr>
          <w:smallCaps/>
          <w:sz w:val="32"/>
        </w:rPr>
      </w:pPr>
      <w:r w:rsidRPr="00650FF1">
        <w:br w:type="page"/>
      </w:r>
    </w:p>
    <w:p w:rsidR="005C6E47" w:rsidRPr="00650FF1" w:rsidP="005C6E47">
      <w:pPr>
        <w:pStyle w:val="PUNTOS2"/>
        <w:ind w:left="851"/>
        <w:rPr>
          <w:smallCaps/>
          <w:color w:val="auto"/>
          <w:sz w:val="32"/>
        </w:rPr>
      </w:pPr>
      <w:r w:rsidRPr="00650FF1">
        <w:rPr>
          <w:smallCaps/>
          <w:color w:val="auto"/>
          <w:sz w:val="32"/>
        </w:rPr>
        <w:t>Unauthorised persons</w:t>
      </w:r>
    </w:p>
    <w:p w:rsidR="005C6E47" w:rsidRPr="00650FF1" w:rsidP="005C6E47">
      <w:pPr>
        <w:pStyle w:val="PUNTOS2"/>
        <w:numPr>
          <w:ilvl w:val="0"/>
          <w:numId w:val="0"/>
        </w:numPr>
        <w:jc w:val="center"/>
        <w:rPr>
          <w:smallCaps/>
          <w:noProof/>
          <w:color w:val="auto"/>
          <w:sz w:val="32"/>
        </w:rPr>
      </w:pPr>
      <w:r w:rsidRPr="00650FF1">
        <w:rPr>
          <w:smallCaps/>
          <w:color w:val="auto"/>
          <w:sz w:val="32"/>
        </w:rPr>
        <w:t xml:space="preserve"> </w:t>
      </w:r>
      <w:r w:rsidRPr="00650FF1">
        <w:rPr>
          <w:noProof/>
          <w:lang w:val="fr-FR" w:eastAsia="fr-FR"/>
        </w:rPr>
        <w:drawing>
          <wp:inline distT="0" distB="0" distL="0" distR="0">
            <wp:extent cx="5508000" cy="3600000"/>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0822" name="Picture 1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8000" cy="3600000"/>
                    </a:xfrm>
                    <a:prstGeom prst="rect">
                      <a:avLst/>
                    </a:prstGeom>
                    <a:noFill/>
                    <a:ln>
                      <a:noFill/>
                    </a:ln>
                  </pic:spPr>
                </pic:pic>
              </a:graphicData>
            </a:graphic>
          </wp:inline>
        </w:drawing>
      </w:r>
    </w:p>
    <w:p w:rsidR="005C6E47" w:rsidRPr="00650FF1" w:rsidP="005C6E47">
      <w:pPr>
        <w:rPr>
          <w:noProof/>
          <w:lang w:val="es-ES_tradnl"/>
        </w:rPr>
      </w:pPr>
    </w:p>
    <w:tbl>
      <w:tblPr>
        <w:tblStyle w:val="TableGrid"/>
        <w:tblW w:w="10421" w:type="dxa"/>
        <w:tblLook w:val="04A0"/>
      </w:tblPr>
      <w:tblGrid>
        <w:gridCol w:w="5210"/>
        <w:gridCol w:w="5211"/>
      </w:tblGrid>
      <w:tr w:rsidTr="002F2972">
        <w:tblPrEx>
          <w:tblW w:w="10421" w:type="dxa"/>
          <w:tblLook w:val="04A0"/>
        </w:tblPrEx>
        <w:tc>
          <w:tcPr>
            <w:tcW w:w="5210" w:type="dxa"/>
          </w:tcPr>
          <w:p w:rsidR="005C6E47" w:rsidRPr="00650FF1" w:rsidP="002F2972">
            <w:r w:rsidRPr="00650FF1">
              <w:rPr>
                <w:lang w:val="es-ES_tradnl"/>
              </w:rPr>
              <w:t>Muertos y heridos graves ponderados (MGHP) / mil millones de trenes-km</w:t>
            </w:r>
          </w:p>
        </w:tc>
        <w:tc>
          <w:tcPr>
            <w:tcW w:w="5211" w:type="dxa"/>
          </w:tcPr>
          <w:p w:rsidR="005C6E47" w:rsidRPr="00650FF1" w:rsidP="002F2972">
            <w:r w:rsidRPr="00650FF1">
              <w:t>Weighted fatalities and serious injuries (MGHP) / billion train-km</w:t>
            </w:r>
          </w:p>
        </w:tc>
      </w:tr>
      <w:tr w:rsidTr="002F2972">
        <w:tblPrEx>
          <w:tblW w:w="10421" w:type="dxa"/>
          <w:tblLook w:val="04A0"/>
        </w:tblPrEx>
        <w:tc>
          <w:tcPr>
            <w:tcW w:w="5210" w:type="dxa"/>
          </w:tcPr>
          <w:p w:rsidR="005C6E47" w:rsidRPr="00650FF1" w:rsidP="002F2972">
            <w:r w:rsidRPr="00650FF1">
              <w:rPr>
                <w:lang w:val="es-ES_tradnl"/>
              </w:rPr>
              <w:t>Categoría de víctima: Personas no autorizadas*</w:t>
            </w:r>
          </w:p>
        </w:tc>
        <w:tc>
          <w:tcPr>
            <w:tcW w:w="5211" w:type="dxa"/>
          </w:tcPr>
          <w:p w:rsidR="005C6E47" w:rsidRPr="00650FF1" w:rsidP="002F2972">
            <w:r w:rsidRPr="00650FF1">
              <w:t>Victim category: Unauthorised persons*</w:t>
            </w:r>
          </w:p>
        </w:tc>
      </w:tr>
      <w:tr w:rsidTr="002F2972">
        <w:tblPrEx>
          <w:tblW w:w="10421" w:type="dxa"/>
          <w:tblLook w:val="04A0"/>
        </w:tblPrEx>
        <w:tc>
          <w:tcPr>
            <w:tcW w:w="5210" w:type="dxa"/>
          </w:tcPr>
          <w:p w:rsidR="005C6E47" w:rsidRPr="00650FF1" w:rsidP="002F2972">
            <w:pPr>
              <w:rPr>
                <w:noProof/>
              </w:rPr>
            </w:pPr>
            <w:r w:rsidRPr="00650FF1">
              <w:rPr>
                <w:lang w:val="es-ES_tradnl"/>
              </w:rPr>
              <w:t>Excluida red RAM</w:t>
            </w:r>
          </w:p>
        </w:tc>
        <w:tc>
          <w:tcPr>
            <w:tcW w:w="5211" w:type="dxa"/>
          </w:tcPr>
          <w:p w:rsidR="005C6E47" w:rsidRPr="00650FF1" w:rsidP="002F2972">
            <w:pPr>
              <w:rPr>
                <w:noProof/>
              </w:rPr>
            </w:pPr>
            <w:r w:rsidRPr="00650FF1">
              <w:t>Excluding the RAM network</w:t>
            </w:r>
          </w:p>
        </w:tc>
      </w:tr>
      <w:tr w:rsidTr="002F2972">
        <w:tblPrEx>
          <w:tblW w:w="10421" w:type="dxa"/>
          <w:tblLook w:val="04A0"/>
        </w:tblPrEx>
        <w:tc>
          <w:tcPr>
            <w:tcW w:w="5210" w:type="dxa"/>
          </w:tcPr>
          <w:p w:rsidR="005C6E47" w:rsidRPr="00650FF1" w:rsidP="002F2972">
            <w:pPr>
              <w:rPr>
                <w:noProof/>
              </w:rPr>
            </w:pPr>
            <w:r w:rsidRPr="00650FF1">
              <w:rPr>
                <w:lang w:val="es-ES_tradnl"/>
              </w:rPr>
              <w:t>Total Red</w:t>
            </w:r>
          </w:p>
        </w:tc>
        <w:tc>
          <w:tcPr>
            <w:tcW w:w="5211" w:type="dxa"/>
          </w:tcPr>
          <w:p w:rsidR="005C6E47" w:rsidRPr="00650FF1" w:rsidP="002F2972">
            <w:pPr>
              <w:rPr>
                <w:noProof/>
              </w:rPr>
            </w:pPr>
            <w:r w:rsidRPr="00650FF1">
              <w:t>Total network</w:t>
            </w:r>
          </w:p>
        </w:tc>
      </w:tr>
      <w:tr w:rsidTr="002F2972">
        <w:tblPrEx>
          <w:tblW w:w="10421" w:type="dxa"/>
          <w:tblLook w:val="04A0"/>
        </w:tblPrEx>
        <w:tc>
          <w:tcPr>
            <w:tcW w:w="5210" w:type="dxa"/>
          </w:tcPr>
          <w:p w:rsidR="005C6E47" w:rsidRPr="00650FF1" w:rsidP="002F2972">
            <w:pPr>
              <w:rPr>
                <w:noProof/>
              </w:rPr>
            </w:pPr>
            <w:r w:rsidRPr="00650FF1">
              <w:rPr>
                <w:lang w:val="es-ES_tradnl"/>
              </w:rPr>
              <w:t>(MHGP / mil millones de trenes-km</w:t>
            </w:r>
          </w:p>
        </w:tc>
        <w:tc>
          <w:tcPr>
            <w:tcW w:w="5211" w:type="dxa"/>
          </w:tcPr>
          <w:p w:rsidR="005C6E47" w:rsidRPr="00650FF1" w:rsidP="002F2972">
            <w:pPr>
              <w:rPr>
                <w:noProof/>
              </w:rPr>
            </w:pPr>
            <w:r w:rsidRPr="00650FF1">
              <w:t>(MHGP / billion train-km</w:t>
            </w:r>
          </w:p>
        </w:tc>
      </w:tr>
    </w:tbl>
    <w:p w:rsidR="005C6E47" w:rsidRPr="00650FF1" w:rsidP="005C6E47">
      <w:pPr>
        <w:rPr>
          <w:noProof/>
          <w:lang w:val="es-ES_tradnl"/>
        </w:rPr>
      </w:pPr>
    </w:p>
    <w:p w:rsidR="005C6E47" w:rsidRPr="00650FF1" w:rsidP="005C6E47">
      <w:pPr>
        <w:ind w:left="851" w:right="424" w:hanging="284"/>
        <w:jc w:val="both"/>
        <w:rPr>
          <w:rFonts w:asciiTheme="minorHAnsi" w:hAnsiTheme="minorHAnsi" w:cstheme="minorHAnsi"/>
          <w:sz w:val="18"/>
          <w:szCs w:val="18"/>
        </w:rPr>
      </w:pPr>
      <w:r w:rsidRPr="00650FF1">
        <w:rPr>
          <w:rFonts w:asciiTheme="minorHAnsi" w:hAnsiTheme="minorHAnsi"/>
          <w:sz w:val="18"/>
          <w:szCs w:val="18"/>
          <w:lang w:val="es-ES_tradnl"/>
        </w:rPr>
        <w:t>(*)</w:t>
      </w:r>
      <w:r w:rsidRPr="00650FF1">
        <w:rPr>
          <w:rFonts w:asciiTheme="minorHAnsi" w:hAnsiTheme="minorHAnsi"/>
          <w:sz w:val="18"/>
          <w:szCs w:val="18"/>
          <w:lang w:val="es-ES_tradnl"/>
        </w:rPr>
        <w:tab/>
      </w:r>
      <w:r w:rsidRPr="00650FF1">
        <w:rPr>
          <w:rFonts w:asciiTheme="minorHAnsi" w:hAnsiTheme="minorHAnsi"/>
          <w:sz w:val="18"/>
          <w:szCs w:val="18"/>
        </w:rPr>
        <w:t xml:space="preserve"> In 2017, in order to maintain the historical series, various categories of victims (defined according to Royal Decree 1006/2005) have been considered within the definitions used in previous years. Specifically: Unauthorised persons: includes fatalities where the individual concerned is a 'Trespasser' or 'Another type of person present on the platform'.</w:t>
      </w:r>
    </w:p>
    <w:p w:rsidR="005C6E47" w:rsidRPr="00650FF1" w:rsidP="005C6E47">
      <w:pPr>
        <w:ind w:left="851" w:hanging="284"/>
        <w:jc w:val="both"/>
        <w:rPr>
          <w:rFonts w:asciiTheme="minorHAnsi" w:hAnsiTheme="minorHAnsi" w:cstheme="minorHAnsi"/>
          <w:sz w:val="18"/>
          <w:szCs w:val="18"/>
          <w:lang w:val="es-ES_tradnl"/>
        </w:rPr>
      </w:pPr>
    </w:p>
    <w:p w:rsidR="005C6E47" w:rsidRPr="00650FF1" w:rsidP="005C6E47">
      <w:pPr>
        <w:pStyle w:val="PUNTOS2"/>
        <w:keepNext/>
        <w:ind w:left="851"/>
        <w:rPr>
          <w:smallCaps/>
          <w:color w:val="auto"/>
          <w:sz w:val="32"/>
        </w:rPr>
      </w:pPr>
      <w:r w:rsidRPr="00650FF1">
        <w:rPr>
          <w:smallCaps/>
          <w:color w:val="auto"/>
          <w:sz w:val="32"/>
        </w:rPr>
        <w:t>Others</w:t>
      </w:r>
    </w:p>
    <w:p w:rsidR="005C6E47" w:rsidRPr="00650FF1" w:rsidP="005C6E47">
      <w:pPr>
        <w:pStyle w:val="PUNTOS2"/>
        <w:numPr>
          <w:ilvl w:val="0"/>
          <w:numId w:val="0"/>
        </w:numPr>
        <w:jc w:val="center"/>
        <w:rPr>
          <w:smallCaps/>
          <w:noProof/>
          <w:color w:val="auto"/>
          <w:sz w:val="32"/>
        </w:rPr>
      </w:pPr>
      <w:r w:rsidRPr="00650FF1">
        <w:rPr>
          <w:smallCaps/>
          <w:color w:val="auto"/>
          <w:sz w:val="32"/>
        </w:rPr>
        <w:t xml:space="preserve"> </w:t>
      </w:r>
      <w:r w:rsidRPr="00650FF1">
        <w:rPr>
          <w:noProof/>
          <w:lang w:val="fr-FR" w:eastAsia="fr-FR"/>
        </w:rPr>
        <w:drawing>
          <wp:inline distT="0" distB="0" distL="0" distR="0">
            <wp:extent cx="5508000" cy="3355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68731" name="Picture 14"/>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8000" cy="3355200"/>
                    </a:xfrm>
                    <a:prstGeom prst="rect">
                      <a:avLst/>
                    </a:prstGeom>
                    <a:noFill/>
                    <a:ln>
                      <a:noFill/>
                    </a:ln>
                  </pic:spPr>
                </pic:pic>
              </a:graphicData>
            </a:graphic>
          </wp:inline>
        </w:drawing>
      </w:r>
    </w:p>
    <w:p w:rsidR="005C6E47" w:rsidRPr="00650FF1" w:rsidP="005C6E47">
      <w:pPr>
        <w:rPr>
          <w:noProof/>
          <w:lang w:val="es-ES_tradnl"/>
        </w:rPr>
      </w:pPr>
    </w:p>
    <w:tbl>
      <w:tblPr>
        <w:tblStyle w:val="TableGrid"/>
        <w:tblW w:w="10420" w:type="dxa"/>
        <w:tblLook w:val="04A0"/>
      </w:tblPr>
      <w:tblGrid>
        <w:gridCol w:w="5210"/>
        <w:gridCol w:w="5210"/>
      </w:tblGrid>
      <w:tr w:rsidTr="00A154AD">
        <w:tblPrEx>
          <w:tblW w:w="10420" w:type="dxa"/>
          <w:tblLook w:val="04A0"/>
        </w:tblPrEx>
        <w:tc>
          <w:tcPr>
            <w:tcW w:w="5210" w:type="dxa"/>
          </w:tcPr>
          <w:p w:rsidR="00A154AD" w:rsidRPr="00650FF1" w:rsidP="002F2972">
            <w:r w:rsidRPr="00650FF1">
              <w:rPr>
                <w:lang w:val="es-ES_tradnl"/>
              </w:rPr>
              <w:t>Muertos y heridos graves ponderados (MGHP) / mil millones de trenes-km</w:t>
            </w:r>
          </w:p>
        </w:tc>
        <w:tc>
          <w:tcPr>
            <w:tcW w:w="5210" w:type="dxa"/>
          </w:tcPr>
          <w:p w:rsidR="00A154AD" w:rsidRPr="00650FF1" w:rsidP="002F2972">
            <w:r w:rsidRPr="00650FF1">
              <w:t>Weighted fatalities and serious injuries (MGHP) / billion train-km</w:t>
            </w:r>
          </w:p>
        </w:tc>
      </w:tr>
      <w:tr w:rsidTr="00A154AD">
        <w:tblPrEx>
          <w:tblW w:w="10420" w:type="dxa"/>
          <w:tblLook w:val="04A0"/>
        </w:tblPrEx>
        <w:tc>
          <w:tcPr>
            <w:tcW w:w="5210" w:type="dxa"/>
          </w:tcPr>
          <w:p w:rsidR="00A154AD" w:rsidRPr="00650FF1" w:rsidP="002F2972">
            <w:r w:rsidRPr="00650FF1">
              <w:rPr>
                <w:lang w:val="es-ES_tradnl"/>
              </w:rPr>
              <w:t>Categoría de víctima: Otros*</w:t>
            </w:r>
          </w:p>
        </w:tc>
        <w:tc>
          <w:tcPr>
            <w:tcW w:w="5210" w:type="dxa"/>
          </w:tcPr>
          <w:p w:rsidR="00A154AD" w:rsidRPr="00650FF1" w:rsidP="002F2972">
            <w:r w:rsidRPr="00650FF1">
              <w:t>Victim category: Others*</w:t>
            </w:r>
          </w:p>
        </w:tc>
      </w:tr>
      <w:tr w:rsidTr="00A154AD">
        <w:tblPrEx>
          <w:tblW w:w="10420" w:type="dxa"/>
          <w:tblLook w:val="04A0"/>
        </w:tblPrEx>
        <w:tc>
          <w:tcPr>
            <w:tcW w:w="5210" w:type="dxa"/>
          </w:tcPr>
          <w:p w:rsidR="00A154AD" w:rsidRPr="00650FF1" w:rsidP="002F2972">
            <w:pPr>
              <w:rPr>
                <w:noProof/>
              </w:rPr>
            </w:pPr>
            <w:r w:rsidRPr="00650FF1">
              <w:rPr>
                <w:lang w:val="es-ES_tradnl"/>
              </w:rPr>
              <w:t>Excluida red RAM</w:t>
            </w:r>
          </w:p>
        </w:tc>
        <w:tc>
          <w:tcPr>
            <w:tcW w:w="5210" w:type="dxa"/>
          </w:tcPr>
          <w:p w:rsidR="00A154AD" w:rsidRPr="00650FF1" w:rsidP="002F2972">
            <w:pPr>
              <w:rPr>
                <w:noProof/>
              </w:rPr>
            </w:pPr>
            <w:r w:rsidRPr="00650FF1">
              <w:t>Excluding the RAM network</w:t>
            </w:r>
          </w:p>
        </w:tc>
      </w:tr>
      <w:tr w:rsidTr="00A154AD">
        <w:tblPrEx>
          <w:tblW w:w="10420" w:type="dxa"/>
          <w:tblLook w:val="04A0"/>
        </w:tblPrEx>
        <w:tc>
          <w:tcPr>
            <w:tcW w:w="5210" w:type="dxa"/>
          </w:tcPr>
          <w:p w:rsidR="00A154AD" w:rsidRPr="00650FF1" w:rsidP="002F2972">
            <w:pPr>
              <w:rPr>
                <w:noProof/>
              </w:rPr>
            </w:pPr>
            <w:r w:rsidRPr="00650FF1">
              <w:rPr>
                <w:lang w:val="es-ES_tradnl"/>
              </w:rPr>
              <w:t>Total Red</w:t>
            </w:r>
          </w:p>
        </w:tc>
        <w:tc>
          <w:tcPr>
            <w:tcW w:w="5210" w:type="dxa"/>
          </w:tcPr>
          <w:p w:rsidR="00A154AD" w:rsidRPr="00650FF1" w:rsidP="002F2972">
            <w:pPr>
              <w:rPr>
                <w:noProof/>
              </w:rPr>
            </w:pPr>
            <w:r w:rsidRPr="00650FF1">
              <w:t>Total network</w:t>
            </w:r>
          </w:p>
        </w:tc>
      </w:tr>
      <w:tr w:rsidTr="00A154AD">
        <w:tblPrEx>
          <w:tblW w:w="10420" w:type="dxa"/>
          <w:tblLook w:val="04A0"/>
        </w:tblPrEx>
        <w:tc>
          <w:tcPr>
            <w:tcW w:w="5210" w:type="dxa"/>
          </w:tcPr>
          <w:p w:rsidR="00A154AD" w:rsidRPr="00650FF1" w:rsidP="002F2972">
            <w:pPr>
              <w:rPr>
                <w:noProof/>
              </w:rPr>
            </w:pPr>
            <w:r w:rsidRPr="00650FF1">
              <w:rPr>
                <w:lang w:val="es-ES_tradnl"/>
              </w:rPr>
              <w:t>(MHGP / mil millones de trenes-km</w:t>
            </w:r>
          </w:p>
        </w:tc>
        <w:tc>
          <w:tcPr>
            <w:tcW w:w="5210" w:type="dxa"/>
          </w:tcPr>
          <w:p w:rsidR="00A154AD" w:rsidRPr="00650FF1" w:rsidP="002F2972">
            <w:pPr>
              <w:rPr>
                <w:noProof/>
              </w:rPr>
            </w:pPr>
            <w:r w:rsidRPr="00650FF1">
              <w:t>(MHGP / billion train-km</w:t>
            </w:r>
          </w:p>
        </w:tc>
      </w:tr>
    </w:tbl>
    <w:p w:rsidR="005C6E47" w:rsidRPr="00650FF1" w:rsidP="005C6E47">
      <w:pPr>
        <w:rPr>
          <w:noProof/>
          <w:lang w:val="es-ES_tradnl"/>
        </w:rPr>
      </w:pPr>
    </w:p>
    <w:p w:rsidR="005C6E47" w:rsidRPr="00650FF1" w:rsidP="005C6E47">
      <w:pPr>
        <w:ind w:left="851" w:right="424" w:hanging="284"/>
        <w:jc w:val="both"/>
        <w:rPr>
          <w:rFonts w:asciiTheme="minorHAnsi" w:hAnsiTheme="minorHAnsi" w:cstheme="minorHAnsi"/>
          <w:sz w:val="18"/>
          <w:szCs w:val="18"/>
        </w:rPr>
      </w:pPr>
      <w:r w:rsidRPr="00650FF1">
        <w:rPr>
          <w:rFonts w:asciiTheme="minorHAnsi" w:hAnsiTheme="minorHAnsi"/>
          <w:sz w:val="18"/>
          <w:szCs w:val="18"/>
          <w:lang w:val="es-ES_tradnl"/>
        </w:rPr>
        <w:t>(*)</w:t>
      </w:r>
      <w:r w:rsidRPr="00650FF1">
        <w:rPr>
          <w:rFonts w:asciiTheme="minorHAnsi" w:hAnsiTheme="minorHAnsi"/>
          <w:sz w:val="18"/>
          <w:szCs w:val="18"/>
          <w:lang w:val="es-ES_tradnl"/>
        </w:rPr>
        <w:tab/>
      </w:r>
      <w:r w:rsidRPr="00650FF1">
        <w:rPr>
          <w:rFonts w:asciiTheme="minorHAnsi" w:hAnsiTheme="minorHAnsi"/>
          <w:sz w:val="18"/>
          <w:szCs w:val="18"/>
        </w:rPr>
        <w:t xml:space="preserve"> In 2017, in order to maintain the historical series, various categories of victims (defined according to Royal Decree 1006/2005) have been considered within the definitions used in previous years. Specifically:</w:t>
      </w:r>
    </w:p>
    <w:p w:rsidR="005C6E47" w:rsidRPr="00650FF1" w:rsidP="005C6E47">
      <w:pPr>
        <w:ind w:left="851" w:right="424"/>
        <w:jc w:val="both"/>
        <w:rPr>
          <w:rFonts w:asciiTheme="minorHAnsi" w:hAnsiTheme="minorHAnsi" w:cstheme="minorHAnsi"/>
          <w:sz w:val="18"/>
          <w:szCs w:val="18"/>
        </w:rPr>
      </w:pPr>
      <w:r w:rsidRPr="00650FF1">
        <w:rPr>
          <w:rFonts w:asciiTheme="minorHAnsi" w:hAnsiTheme="minorHAnsi"/>
          <w:sz w:val="18"/>
          <w:szCs w:val="18"/>
        </w:rPr>
        <w:t>Others: includes fatalities where the individual concerned is 'Another type of person present on the platform'.</w:t>
      </w:r>
    </w:p>
    <w:p w:rsidR="005C6E47" w:rsidRPr="00650FF1" w:rsidP="005C6E47">
      <w:pPr>
        <w:rPr>
          <w:lang w:val="es-ES_tradnl"/>
        </w:rPr>
        <w:sectPr w:rsidSect="00F93C52">
          <w:headerReference w:type="even" r:id="rId52"/>
          <w:type w:val="oddPage"/>
          <w:pgSz w:w="11906" w:h="16838"/>
          <w:pgMar w:top="1418" w:right="567" w:bottom="1418" w:left="1134" w:header="709" w:footer="8" w:gutter="0"/>
          <w:cols w:space="708"/>
          <w:titlePg/>
          <w:docGrid w:linePitch="360"/>
        </w:sectPr>
      </w:pPr>
    </w:p>
    <w:p w:rsidR="008F290A" w:rsidRPr="00650FF1" w:rsidP="005C6E47">
      <w:r w:rsidRPr="00650FF1">
        <w:rPr>
          <w:noProof/>
          <w:lang w:val="fr-FR" w:eastAsia="fr-FR"/>
        </w:rPr>
        <w:drawing>
          <wp:anchor distT="0" distB="0" distL="114300" distR="114300" simplePos="0" relativeHeight="251658240" behindDoc="0" locked="0" layoutInCell="1" allowOverlap="1">
            <wp:simplePos x="0" y="0"/>
            <wp:positionH relativeFrom="column">
              <wp:posOffset>-419735</wp:posOffset>
            </wp:positionH>
            <wp:positionV relativeFrom="paragraph">
              <wp:posOffset>-532130</wp:posOffset>
            </wp:positionV>
            <wp:extent cx="6894195" cy="9772650"/>
            <wp:effectExtent l="0" t="0" r="1905" b="0"/>
            <wp:wrapNone/>
            <wp:docPr id="9" name="Imagen 4"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8594" name="Picture 4" descr="Portada"/>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6894195" cy="9772650"/>
                    </a:xfrm>
                    <a:prstGeom prst="rect">
                      <a:avLst/>
                    </a:prstGeom>
                    <a:noFill/>
                  </pic:spPr>
                </pic:pic>
              </a:graphicData>
            </a:graphic>
            <wp14:sizeRelH relativeFrom="page">
              <wp14:pctWidth>0</wp14:pctWidth>
            </wp14:sizeRelH>
            <wp14:sizeRelV relativeFrom="page">
              <wp14:pctHeight>0</wp14:pctHeight>
            </wp14:sizeRelV>
          </wp:anchor>
        </w:drawing>
      </w:r>
    </w:p>
    <w:sectPr w:rsidSect="004F03FF">
      <w:headerReference w:type="first" r:id="rId54"/>
      <w:footerReference w:type="first" r:id="rId55"/>
      <w:pgSz w:w="11906" w:h="16838"/>
      <w:pgMar w:top="1418" w:right="567" w:bottom="1418" w:left="1134" w:header="709" w:footer="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927B9F2-62EF-477B-B53E-B5196EB01611}"/>
    <w:embedBold r:id="rId2" w:fontKey="{94E72C8A-2A50-42EE-91D0-E4393403493D}"/>
    <w:embedItalic r:id="rId3" w:fontKey="{061B589C-419F-4C9F-BA94-BC15D0611764}"/>
    <w:embedBoldItalic r:id="rId4" w:fontKey="{D75EF294-6381-4316-AE21-78B273137B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embedRegular r:id="rId5" w:fontKey="{E336EF16-C802-481F-B8FB-E2F174081247}"/>
    <w:embedBold r:id="rId6" w:fontKey="{FA85B490-8CD2-4D54-8E5B-451BC6137627}"/>
  </w:font>
  <w:font w:name="Cambria">
    <w:panose1 w:val="02040503050406030204"/>
    <w:charset w:val="00"/>
    <w:family w:val="roman"/>
    <w:pitch w:val="variable"/>
    <w:sig w:usb0="E00006FF" w:usb1="420024FF" w:usb2="02000000" w:usb3="00000000" w:csb0="0000019F" w:csb1="00000000"/>
    <w:embedRegular r:id="rId7" w:fontKey="{7F4144C6-F00D-4460-91A7-2313EC7E01B4}"/>
    <w:embedBold r:id="rId8" w:fontKey="{159DC938-DB64-450F-A26D-72F9024C4B3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A3CA070F-E4A0-40D2-B8CE-8BDAD3B346D5}"/>
  </w:font>
  <w:font w:name="Verdana">
    <w:panose1 w:val="020B0604030504040204"/>
    <w:charset w:val="00"/>
    <w:family w:val="swiss"/>
    <w:pitch w:val="variable"/>
    <w:sig w:usb0="A00006FF" w:usb1="4000205B" w:usb2="00000010" w:usb3="00000000" w:csb0="0000019F" w:csb1="00000000"/>
    <w:embedRegular r:id="rId10" w:fontKey="{572AE602-6E63-461A-A2BE-96CAADC1A7C6}"/>
  </w:font>
  <w:font w:name="EUAlbertina">
    <w:altName w:val="EU Albertina"/>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11" w:fontKey="{CD066588-4262-467C-B247-7989679EB2E2}"/>
  </w:font>
  <w:font w:name="Franklin Gothic Demi">
    <w:panose1 w:val="020B0703020102020204"/>
    <w:charset w:val="00"/>
    <w:family w:val="swiss"/>
    <w:pitch w:val="variable"/>
    <w:sig w:usb0="00000287" w:usb1="00000000" w:usb2="00000000" w:usb3="00000000" w:csb0="0000009F" w:csb1="00000000"/>
    <w:embedRegular r:id="rId12" w:fontKey="{3AE80CD9-BFB2-43B5-982C-515D699D4437}"/>
  </w:font>
  <w:font w:name="Franklin Gothic Demi Cond">
    <w:panose1 w:val="020B0706030402020204"/>
    <w:charset w:val="00"/>
    <w:family w:val="swiss"/>
    <w:pitch w:val="variable"/>
    <w:sig w:usb0="00000287" w:usb1="00000000" w:usb2="00000000" w:usb3="00000000" w:csb0="0000009F" w:csb1="00000000"/>
    <w:embedRegular r:id="rId13" w:fontKey="{602870CA-EC4B-45E1-BEFC-55763D57FCBA}"/>
  </w:font>
  <w:font w:name="Franklin Gothic Medium Cond">
    <w:panose1 w:val="020B0606030402020204"/>
    <w:charset w:val="00"/>
    <w:family w:val="swiss"/>
    <w:pitch w:val="variable"/>
    <w:sig w:usb0="00000287" w:usb1="00000000" w:usb2="00000000" w:usb3="00000000" w:csb0="0000009F" w:csb1="00000000"/>
    <w:embedRegular r:id="rId14" w:fontKey="{51F8CE1B-7FE6-4021-9905-6307F3D6E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EB6947">
    <w:pPr>
      <w:pStyle w:val="Footer"/>
      <w:ind w:right="-56"/>
    </w:pPr>
  </w:p>
  <w:p w:rsidR="00140FC2" w:rsidRPr="00650F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0097" w:type="dxa"/>
      <w:tblLook w:val="04A0"/>
    </w:tblPr>
    <w:tblGrid>
      <w:gridCol w:w="1526"/>
      <w:gridCol w:w="7630"/>
      <w:gridCol w:w="941"/>
    </w:tblGrid>
    <w:tr w:rsidTr="009E3F09">
      <w:tblPrEx>
        <w:tblW w:w="10097" w:type="dxa"/>
        <w:tblLook w:val="04A0"/>
      </w:tblPrEx>
      <w:trPr>
        <w:trHeight w:val="542"/>
      </w:trPr>
      <w:tc>
        <w:tcPr>
          <w:tcW w:w="1526" w:type="dxa"/>
          <w:tcBorders>
            <w:top w:val="single" w:sz="12" w:space="0" w:color="808080"/>
            <w:left w:val="nil"/>
            <w:bottom w:val="nil"/>
            <w:right w:val="nil"/>
          </w:tcBorders>
        </w:tcPr>
        <w:p w:rsidR="00140FC2" w:rsidRPr="00650FF1" w:rsidP="005C6E47">
          <w:pPr>
            <w:spacing w:before="60"/>
            <w:rPr>
              <w:rFonts w:ascii="Franklin Gothic Demi Cond" w:hAnsi="Franklin Gothic Demi Cond"/>
              <w:color w:val="808080"/>
              <w:sz w:val="20"/>
            </w:rPr>
          </w:pPr>
          <w:r w:rsidRPr="00650FF1">
            <w:rPr>
              <w:rFonts w:ascii="Franklin Gothic Demi Cond" w:hAnsi="Franklin Gothic Demi Cond"/>
              <w:noProof/>
              <w:color w:val="808080"/>
              <w:sz w:val="20"/>
              <w:lang w:val="fr-FR" w:eastAsia="fr-FR"/>
            </w:rPr>
            <w:drawing>
              <wp:inline distT="0" distB="0" distL="0" distR="0">
                <wp:extent cx="734060" cy="193675"/>
                <wp:effectExtent l="0" t="0" r="8890" b="0"/>
                <wp:docPr id="21" name="Imagen 67" descr="LOGO AESF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48456" name="Picture 41" descr="LOGO AESF Colo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4060" cy="193675"/>
                        </a:xfrm>
                        <a:prstGeom prst="rect">
                          <a:avLst/>
                        </a:prstGeom>
                        <a:noFill/>
                        <a:ln>
                          <a:noFill/>
                        </a:ln>
                      </pic:spPr>
                    </pic:pic>
                  </a:graphicData>
                </a:graphic>
              </wp:inline>
            </w:drawing>
          </w:r>
        </w:p>
      </w:tc>
      <w:tc>
        <w:tcPr>
          <w:tcW w:w="7630" w:type="dxa"/>
          <w:tcBorders>
            <w:top w:val="single" w:sz="12" w:space="0" w:color="808080"/>
            <w:left w:val="nil"/>
            <w:bottom w:val="nil"/>
            <w:right w:val="nil"/>
          </w:tcBorders>
          <w:shd w:val="clear" w:color="auto" w:fill="FFFFFF"/>
        </w:tcPr>
        <w:p w:rsidR="00140FC2" w:rsidRPr="00650FF1" w:rsidP="005C6E47">
          <w:pPr>
            <w:tabs>
              <w:tab w:val="left" w:pos="1765"/>
            </w:tabs>
            <w:rPr>
              <w:rFonts w:ascii="Franklin Gothic Demi Cond" w:hAnsi="Franklin Gothic Demi Cond" w:cs="Calibri"/>
              <w:color w:val="808080"/>
              <w:sz w:val="20"/>
            </w:rPr>
          </w:pPr>
          <w:r w:rsidRPr="00650FF1">
            <w:rPr>
              <w:rFonts w:ascii="Franklin Gothic Demi Cond" w:hAnsi="Franklin Gothic Demi Cond"/>
              <w:color w:val="808080"/>
              <w:sz w:val="20"/>
            </w:rPr>
            <w:t>Annual Report 2015</w:t>
          </w:r>
        </w:p>
        <w:p w:rsidR="00140FC2" w:rsidRPr="00650FF1" w:rsidP="005C6E47">
          <w:pPr>
            <w:rPr>
              <w:rFonts w:ascii="Franklin Gothic Medium Cond" w:hAnsi="Franklin Gothic Medium Cond" w:cs="Calibri"/>
              <w:color w:val="808080"/>
              <w:sz w:val="20"/>
            </w:rPr>
          </w:pPr>
          <w:r w:rsidRPr="00650FF1">
            <w:rPr>
              <w:rFonts w:ascii="Franklin Gothic Medium Cond" w:hAnsi="Franklin Gothic Medium Cond"/>
              <w:color w:val="808080"/>
              <w:sz w:val="20"/>
            </w:rPr>
            <w:t xml:space="preserve">National Railway Safety Agency  </w:t>
          </w:r>
        </w:p>
      </w:tc>
      <w:tc>
        <w:tcPr>
          <w:tcW w:w="941" w:type="dxa"/>
          <w:tcBorders>
            <w:top w:val="single" w:sz="12" w:space="0" w:color="808080"/>
            <w:left w:val="nil"/>
            <w:bottom w:val="nil"/>
            <w:right w:val="nil"/>
          </w:tcBorders>
          <w:shd w:val="clear" w:color="auto" w:fill="DBE5F1"/>
          <w:vAlign w:val="center"/>
        </w:tcPr>
        <w:p w:rsidR="00140FC2" w:rsidRPr="00650FF1" w:rsidP="005C6E47">
          <w:pPr>
            <w:jc w:val="center"/>
            <w:rPr>
              <w:rFonts w:ascii="Calibri" w:hAnsi="Calibri" w:cs="Calibri"/>
              <w:b/>
              <w:sz w:val="28"/>
            </w:rPr>
          </w:pPr>
          <w:r w:rsidRPr="00650FF1">
            <w:rPr>
              <w:rFonts w:ascii="Calibri" w:hAnsi="Calibri"/>
              <w:b/>
              <w:sz w:val="28"/>
            </w:rPr>
            <w:t xml:space="preserve"> [</w:t>
          </w:r>
          <w:r w:rsidRPr="00650FF1">
            <w:rPr>
              <w:rFonts w:ascii="Calibri" w:hAnsi="Calibri" w:cs="Calibri"/>
              <w:b/>
              <w:sz w:val="28"/>
            </w:rPr>
            <w:fldChar w:fldCharType="begin"/>
          </w:r>
          <w:r w:rsidRPr="00650FF1">
            <w:rPr>
              <w:rFonts w:ascii="Calibri" w:hAnsi="Calibri" w:cs="Calibri"/>
              <w:b/>
              <w:sz w:val="28"/>
            </w:rPr>
            <w:instrText>PAGE   \* MERGEFORMAT</w:instrText>
          </w:r>
          <w:r w:rsidRPr="00650FF1">
            <w:rPr>
              <w:rFonts w:ascii="Calibri" w:hAnsi="Calibri" w:cs="Calibri"/>
              <w:b/>
              <w:sz w:val="28"/>
            </w:rPr>
            <w:fldChar w:fldCharType="separate"/>
          </w:r>
          <w:r w:rsidRPr="00650FF1">
            <w:rPr>
              <w:rFonts w:ascii="Calibri" w:hAnsi="Calibri" w:cs="Calibri"/>
              <w:b/>
              <w:sz w:val="28"/>
            </w:rPr>
            <w:t>42</w:t>
          </w:r>
          <w:r w:rsidRPr="00650FF1">
            <w:rPr>
              <w:rFonts w:ascii="Calibri" w:hAnsi="Calibri" w:cs="Calibri"/>
              <w:b/>
              <w:sz w:val="28"/>
            </w:rPr>
            <w:fldChar w:fldCharType="end"/>
          </w:r>
          <w:r w:rsidRPr="00650FF1">
            <w:rPr>
              <w:rFonts w:ascii="Calibri" w:hAnsi="Calibri"/>
              <w:b/>
              <w:sz w:val="28"/>
            </w:rPr>
            <w:t>]</w:t>
          </w:r>
        </w:p>
      </w:tc>
    </w:tr>
  </w:tbl>
  <w:p w:rsidR="00140FC2" w:rsidRPr="00650FF1" w:rsidP="005C6E47">
    <w:pPr>
      <w:pStyle w:val="Footer"/>
    </w:pPr>
  </w:p>
  <w:p w:rsidR="00140FC2" w:rsidRPr="00650FF1" w:rsidP="005C6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5C6E47">
    <w:pPr>
      <w:tabs>
        <w:tab w:val="left" w:pos="1765"/>
      </w:tabs>
      <w:rPr>
        <w:rFonts w:ascii="Franklin Gothic Demi Cond" w:hAnsi="Franklin Gothic Demi Cond"/>
        <w:color w:val="808080"/>
        <w:sz w:val="20"/>
      </w:rPr>
    </w:pPr>
    <w:r w:rsidRPr="00650FF1">
      <w:rPr>
        <w:rFonts w:ascii="Franklin Gothic Demi Cond" w:hAnsi="Franklin Gothic Demi Cond"/>
        <w:noProof/>
        <w:color w:val="808080"/>
        <w:sz w:val="20"/>
        <w:lang w:val="fr-FR" w:eastAsia="fr-FR"/>
      </w:rPr>
      <mc:AlternateContent>
        <mc:Choice Requires="wps">
          <w:drawing>
            <wp:anchor distT="0" distB="0" distL="114300" distR="114300" simplePos="0" relativeHeight="251686912" behindDoc="1" locked="0" layoutInCell="1" allowOverlap="1">
              <wp:simplePos x="0" y="0"/>
              <wp:positionH relativeFrom="column">
                <wp:posOffset>5870575</wp:posOffset>
              </wp:positionH>
              <wp:positionV relativeFrom="paragraph">
                <wp:posOffset>114935</wp:posOffset>
              </wp:positionV>
              <wp:extent cx="429895" cy="429895"/>
              <wp:effectExtent l="8890" t="2540" r="8890" b="5715"/>
              <wp:wrapNone/>
              <wp:docPr id="17" name="15 Elips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29895" cy="429895"/>
                      </a:xfrm>
                      <a:prstGeom prst="ellipse">
                        <a:avLst/>
                      </a:prstGeom>
                      <a:solidFill>
                        <a:srgbClr val="B9CDE5"/>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id="15 Elipse" o:spid="_x0000_s2067" style="width:33.85pt;height:33.85pt;margin-top:9.05pt;margin-left:462.25pt;mso-height-percent:0;mso-height-relative:page;mso-width-percent:0;mso-width-relative:page;mso-wrap-distance-bottom:0;mso-wrap-distance-left:9pt;mso-wrap-distance-right:9pt;mso-wrap-distance-top:0;mso-wrap-style:square;position:absolute;visibility:visible;v-text-anchor:middle;z-index:-251628544" fillcolor="#b9cde5" stroked="f" strokeweight="2pt"/>
          </w:pict>
        </mc:Fallback>
      </mc:AlternateContent>
    </w:r>
    <w:r w:rsidRPr="00650FF1">
      <w:rPr>
        <w:rFonts w:ascii="Franklin Gothic Demi Cond" w:hAnsi="Franklin Gothic Demi Cond"/>
        <w:color w:val="808080"/>
        <w:sz w:val="20"/>
      </w:rPr>
      <w:tab/>
    </w:r>
  </w:p>
  <w:tbl>
    <w:tblPr>
      <w:tblW w:w="10031" w:type="dxa"/>
      <w:tblLook w:val="04A0"/>
    </w:tblPr>
    <w:tblGrid>
      <w:gridCol w:w="9322"/>
      <w:gridCol w:w="709"/>
    </w:tblGrid>
    <w:tr w:rsidTr="00F93C52">
      <w:tblPrEx>
        <w:tblW w:w="10031" w:type="dxa"/>
        <w:tblLook w:val="04A0"/>
      </w:tblPrEx>
      <w:tc>
        <w:tcPr>
          <w:tcW w:w="9322" w:type="dxa"/>
          <w:tcBorders>
            <w:top w:val="single" w:sz="12" w:space="0" w:color="FF6600"/>
          </w:tcBorders>
          <w:shd w:val="clear" w:color="auto" w:fill="auto"/>
          <w:vAlign w:val="center"/>
        </w:tcPr>
        <w:p w:rsidR="00140FC2" w:rsidRPr="00650FF1" w:rsidP="005C6E47">
          <w:pPr>
            <w:tabs>
              <w:tab w:val="left" w:pos="1526"/>
              <w:tab w:val="left" w:pos="9156"/>
            </w:tabs>
            <w:rPr>
              <w:rFonts w:ascii="Arial Rounded MT Bold" w:hAnsi="Arial Rounded MT Bold" w:cs="Calibri"/>
              <w:color w:val="002060"/>
              <w:sz w:val="18"/>
              <w:szCs w:val="18"/>
            </w:rPr>
          </w:pPr>
          <w:r w:rsidRPr="00650FF1">
            <w:rPr>
              <w:rFonts w:ascii="Arial Rounded MT Bold" w:hAnsi="Arial Rounded MT Bold"/>
              <w:color w:val="002060"/>
              <w:sz w:val="18"/>
              <w:szCs w:val="18"/>
            </w:rPr>
            <w:t>Annual Report 2018</w:t>
          </w:r>
        </w:p>
        <w:p w:rsidR="00140FC2" w:rsidRPr="00650FF1" w:rsidP="005C6E47">
          <w:pPr>
            <w:tabs>
              <w:tab w:val="left" w:pos="1526"/>
              <w:tab w:val="left" w:pos="9156"/>
            </w:tabs>
            <w:rPr>
              <w:rFonts w:ascii="Arial Rounded MT Bold" w:hAnsi="Arial Rounded MT Bold" w:cs="Calibri"/>
              <w:color w:val="808080"/>
              <w:sz w:val="18"/>
              <w:szCs w:val="18"/>
            </w:rPr>
          </w:pPr>
          <w:r w:rsidRPr="00650FF1">
            <w:rPr>
              <w:rFonts w:ascii="Arial Rounded MT Bold" w:hAnsi="Arial Rounded MT Bold"/>
              <w:color w:val="808080"/>
              <w:sz w:val="18"/>
              <w:szCs w:val="18"/>
            </w:rPr>
            <w:t>National Railway Safety Agency</w:t>
          </w:r>
        </w:p>
      </w:tc>
      <w:tc>
        <w:tcPr>
          <w:tcW w:w="709" w:type="dxa"/>
          <w:shd w:val="clear" w:color="auto" w:fill="auto"/>
          <w:vAlign w:val="center"/>
        </w:tcPr>
        <w:p w:rsidR="00140FC2" w:rsidRPr="00650FF1" w:rsidP="005C6E47">
          <w:pPr>
            <w:tabs>
              <w:tab w:val="left" w:pos="1526"/>
              <w:tab w:val="left" w:pos="9156"/>
            </w:tabs>
            <w:ind w:left="-250" w:firstLine="250"/>
            <w:jc w:val="center"/>
            <w:rPr>
              <w:rFonts w:ascii="Calibri" w:hAnsi="Calibri" w:cs="Calibri"/>
              <w:b/>
            </w:rPr>
          </w:pPr>
          <w:r w:rsidRPr="00650FF1">
            <w:rPr>
              <w:rFonts w:ascii="Calibri" w:hAnsi="Calibri"/>
              <w:b/>
            </w:rPr>
            <w:t>[</w:t>
          </w:r>
          <w:r w:rsidRPr="00650FF1">
            <w:rPr>
              <w:rFonts w:ascii="Calibri" w:hAnsi="Calibri" w:cs="Calibri"/>
              <w:b/>
            </w:rPr>
            <w:fldChar w:fldCharType="begin"/>
          </w:r>
          <w:r w:rsidRPr="00650FF1">
            <w:rPr>
              <w:rFonts w:ascii="Calibri" w:hAnsi="Calibri" w:cs="Calibri"/>
              <w:b/>
            </w:rPr>
            <w:instrText>PAGE   \* MERGEFORMAT</w:instrText>
          </w:r>
          <w:r w:rsidRPr="00650FF1">
            <w:rPr>
              <w:rFonts w:ascii="Calibri" w:hAnsi="Calibri" w:cs="Calibri"/>
              <w:b/>
            </w:rPr>
            <w:fldChar w:fldCharType="separate"/>
          </w:r>
          <w:r w:rsidR="001B1357">
            <w:rPr>
              <w:rFonts w:ascii="Calibri" w:hAnsi="Calibri" w:cs="Calibri"/>
              <w:b/>
              <w:noProof/>
            </w:rPr>
            <w:t>65</w:t>
          </w:r>
          <w:r w:rsidRPr="00650FF1">
            <w:rPr>
              <w:rFonts w:ascii="Calibri" w:hAnsi="Calibri" w:cs="Calibri"/>
              <w:b/>
            </w:rPr>
            <w:fldChar w:fldCharType="end"/>
          </w:r>
          <w:r w:rsidRPr="00650FF1">
            <w:rPr>
              <w:rFonts w:ascii="Calibri" w:hAnsi="Calibri"/>
              <w:b/>
            </w:rPr>
            <w:t>]</w:t>
          </w:r>
        </w:p>
      </w:tc>
    </w:tr>
  </w:tbl>
  <w:p w:rsidR="00140FC2" w:rsidRPr="00650FF1" w:rsidP="005C6E47">
    <w:pPr>
      <w:tabs>
        <w:tab w:val="left" w:pos="1526"/>
        <w:tab w:val="left" w:pos="9156"/>
      </w:tabs>
      <w:jc w:val="right"/>
      <w:rPr>
        <w:rFonts w:ascii="Franklin Gothic Medium Cond" w:hAnsi="Franklin Gothic Medium Cond" w:cs="Calibri"/>
        <w:color w:val="808080"/>
        <w:sz w:val="20"/>
      </w:rPr>
    </w:pPr>
    <w:r w:rsidRPr="00650FF1">
      <w:rPr>
        <w:rFonts w:ascii="Franklin Gothic Medium Cond" w:hAnsi="Franklin Gothic Medium Cond"/>
        <w:color w:val="808080"/>
        <w:sz w:val="20"/>
      </w:rPr>
      <w:tab/>
    </w:r>
  </w:p>
  <w:p w:rsidR="00140FC2" w:rsidRPr="00650FF1" w:rsidP="005C6E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5C6E47">
    <w:pPr>
      <w:tabs>
        <w:tab w:val="left" w:pos="1765"/>
      </w:tabs>
      <w:rPr>
        <w:rFonts w:ascii="Franklin Gothic Demi Cond" w:hAnsi="Franklin Gothic Demi Cond"/>
        <w:color w:val="808080"/>
        <w:sz w:val="20"/>
      </w:rPr>
    </w:pPr>
    <w:r w:rsidRPr="00650FF1">
      <w:rPr>
        <w:rFonts w:ascii="Franklin Gothic Demi Cond" w:hAnsi="Franklin Gothic Demi Cond"/>
        <w:noProof/>
        <w:color w:val="808080"/>
        <w:sz w:val="20"/>
        <w:lang w:val="fr-FR" w:eastAsia="fr-FR"/>
      </w:rPr>
      <mc:AlternateContent>
        <mc:Choice Requires="wps">
          <w:drawing>
            <wp:anchor distT="0" distB="0" distL="114300" distR="114300" simplePos="0" relativeHeight="251688960" behindDoc="1" locked="0" layoutInCell="1" allowOverlap="1">
              <wp:simplePos x="0" y="0"/>
              <wp:positionH relativeFrom="column">
                <wp:posOffset>5870575</wp:posOffset>
              </wp:positionH>
              <wp:positionV relativeFrom="paragraph">
                <wp:posOffset>114935</wp:posOffset>
              </wp:positionV>
              <wp:extent cx="429895" cy="429895"/>
              <wp:effectExtent l="8890" t="2540" r="8890" b="5715"/>
              <wp:wrapNone/>
              <wp:docPr id="16" name="15 Elips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29895" cy="429895"/>
                      </a:xfrm>
                      <a:prstGeom prst="ellipse">
                        <a:avLst/>
                      </a:prstGeom>
                      <a:solidFill>
                        <a:srgbClr val="B9CDE5"/>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id="15 Elipse" o:spid="_x0000_s2068" style="width:33.85pt;height:33.85pt;margin-top:9.05pt;margin-left:462.25pt;mso-height-percent:0;mso-height-relative:page;mso-width-percent:0;mso-width-relative:page;mso-wrap-distance-bottom:0;mso-wrap-distance-left:9pt;mso-wrap-distance-right:9pt;mso-wrap-distance-top:0;mso-wrap-style:square;position:absolute;visibility:visible;v-text-anchor:middle;z-index:-251626496" fillcolor="#b9cde5" stroked="f" strokeweight="2pt"/>
          </w:pict>
        </mc:Fallback>
      </mc:AlternateContent>
    </w:r>
    <w:r w:rsidRPr="00650FF1">
      <w:rPr>
        <w:rFonts w:ascii="Franklin Gothic Demi Cond" w:hAnsi="Franklin Gothic Demi Cond"/>
        <w:color w:val="808080"/>
        <w:sz w:val="20"/>
      </w:rPr>
      <w:tab/>
    </w:r>
  </w:p>
  <w:tbl>
    <w:tblPr>
      <w:tblW w:w="10031" w:type="dxa"/>
      <w:tblLook w:val="04A0"/>
    </w:tblPr>
    <w:tblGrid>
      <w:gridCol w:w="9322"/>
      <w:gridCol w:w="709"/>
    </w:tblGrid>
    <w:tr w:rsidTr="00C1653E">
      <w:tblPrEx>
        <w:tblW w:w="10031" w:type="dxa"/>
        <w:tblLook w:val="04A0"/>
      </w:tblPrEx>
      <w:tc>
        <w:tcPr>
          <w:tcW w:w="9322" w:type="dxa"/>
          <w:tcBorders>
            <w:top w:val="single" w:sz="12" w:space="0" w:color="FF6600"/>
          </w:tcBorders>
          <w:shd w:val="clear" w:color="auto" w:fill="auto"/>
          <w:vAlign w:val="center"/>
        </w:tcPr>
        <w:p w:rsidR="00140FC2" w:rsidRPr="00650FF1" w:rsidP="005C6E47">
          <w:pPr>
            <w:tabs>
              <w:tab w:val="left" w:pos="1526"/>
              <w:tab w:val="left" w:pos="9156"/>
            </w:tabs>
            <w:rPr>
              <w:rFonts w:ascii="Arial Rounded MT Bold" w:hAnsi="Arial Rounded MT Bold" w:cs="Calibri"/>
              <w:color w:val="002060"/>
              <w:sz w:val="18"/>
              <w:szCs w:val="18"/>
            </w:rPr>
          </w:pPr>
          <w:r w:rsidRPr="00650FF1">
            <w:rPr>
              <w:rFonts w:ascii="Arial Rounded MT Bold" w:hAnsi="Arial Rounded MT Bold"/>
              <w:color w:val="002060"/>
              <w:sz w:val="18"/>
              <w:szCs w:val="18"/>
            </w:rPr>
            <w:t>Annual Report 2018</w:t>
          </w:r>
        </w:p>
        <w:p w:rsidR="00140FC2" w:rsidRPr="00650FF1" w:rsidP="005C6E47">
          <w:pPr>
            <w:tabs>
              <w:tab w:val="left" w:pos="1526"/>
              <w:tab w:val="left" w:pos="9156"/>
            </w:tabs>
            <w:rPr>
              <w:rFonts w:ascii="Arial Rounded MT Bold" w:hAnsi="Arial Rounded MT Bold" w:cs="Calibri"/>
              <w:color w:val="808080"/>
              <w:sz w:val="18"/>
              <w:szCs w:val="18"/>
            </w:rPr>
          </w:pPr>
          <w:r w:rsidRPr="00650FF1">
            <w:rPr>
              <w:rFonts w:ascii="Arial Rounded MT Bold" w:hAnsi="Arial Rounded MT Bold"/>
              <w:color w:val="808080"/>
              <w:sz w:val="18"/>
              <w:szCs w:val="18"/>
            </w:rPr>
            <w:t>National Railway Safety Agency</w:t>
          </w:r>
        </w:p>
      </w:tc>
      <w:tc>
        <w:tcPr>
          <w:tcW w:w="709" w:type="dxa"/>
          <w:shd w:val="clear" w:color="auto" w:fill="auto"/>
          <w:vAlign w:val="center"/>
        </w:tcPr>
        <w:p w:rsidR="00140FC2" w:rsidRPr="00650FF1" w:rsidP="005C6E47">
          <w:pPr>
            <w:tabs>
              <w:tab w:val="left" w:pos="1526"/>
              <w:tab w:val="left" w:pos="9156"/>
            </w:tabs>
            <w:ind w:left="-250" w:firstLine="250"/>
            <w:jc w:val="center"/>
            <w:rPr>
              <w:rFonts w:ascii="Calibri" w:hAnsi="Calibri" w:cs="Calibri"/>
              <w:b/>
            </w:rPr>
          </w:pPr>
          <w:r w:rsidRPr="00650FF1">
            <w:rPr>
              <w:rFonts w:ascii="Calibri" w:hAnsi="Calibri"/>
              <w:b/>
            </w:rPr>
            <w:t>[</w:t>
          </w:r>
          <w:r w:rsidRPr="00650FF1">
            <w:rPr>
              <w:rFonts w:ascii="Calibri" w:hAnsi="Calibri" w:cs="Calibri"/>
              <w:b/>
            </w:rPr>
            <w:fldChar w:fldCharType="begin"/>
          </w:r>
          <w:r w:rsidRPr="00650FF1">
            <w:rPr>
              <w:rFonts w:ascii="Calibri" w:hAnsi="Calibri" w:cs="Calibri"/>
              <w:b/>
            </w:rPr>
            <w:instrText>PAGE   \* MERGEFORMAT</w:instrText>
          </w:r>
          <w:r w:rsidRPr="00650FF1">
            <w:rPr>
              <w:rFonts w:ascii="Calibri" w:hAnsi="Calibri" w:cs="Calibri"/>
              <w:b/>
            </w:rPr>
            <w:fldChar w:fldCharType="separate"/>
          </w:r>
          <w:r w:rsidR="001B1357">
            <w:rPr>
              <w:rFonts w:ascii="Calibri" w:hAnsi="Calibri" w:cs="Calibri"/>
              <w:b/>
              <w:noProof/>
            </w:rPr>
            <w:t>51</w:t>
          </w:r>
          <w:r w:rsidRPr="00650FF1">
            <w:rPr>
              <w:rFonts w:ascii="Calibri" w:hAnsi="Calibri" w:cs="Calibri"/>
              <w:b/>
            </w:rPr>
            <w:fldChar w:fldCharType="end"/>
          </w:r>
          <w:r w:rsidRPr="00650FF1">
            <w:rPr>
              <w:rFonts w:ascii="Calibri" w:hAnsi="Calibri"/>
              <w:b/>
            </w:rPr>
            <w:t>]</w:t>
          </w:r>
        </w:p>
      </w:tc>
    </w:tr>
  </w:tbl>
  <w:p w:rsidR="00140FC2" w:rsidRPr="00650FF1" w:rsidP="005C6E47">
    <w:pPr>
      <w:tabs>
        <w:tab w:val="left" w:pos="1526"/>
        <w:tab w:val="left" w:pos="9156"/>
      </w:tabs>
      <w:jc w:val="right"/>
      <w:rPr>
        <w:rFonts w:ascii="Franklin Gothic Medium Cond" w:hAnsi="Franklin Gothic Medium Cond" w:cs="Calibri"/>
        <w:color w:val="808080"/>
        <w:sz w:val="20"/>
      </w:rPr>
    </w:pPr>
    <w:r w:rsidRPr="00650FF1">
      <w:rPr>
        <w:rFonts w:ascii="Franklin Gothic Medium Cond" w:hAnsi="Franklin Gothic Medium Cond"/>
        <w:color w:val="808080"/>
        <w:sz w:val="20"/>
      </w:rPr>
      <w:tab/>
    </w:r>
  </w:p>
  <w:p w:rsidR="00140FC2" w:rsidRPr="00650FF1" w:rsidP="005C6E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F93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40FC2" w:rsidRPr="00650FF1" w:rsidP="005C6E47">
      <w:r w:rsidRPr="00650FF1">
        <w:separator/>
      </w:r>
    </w:p>
    <w:p w:rsidR="00140FC2" w:rsidRPr="00650FF1" w:rsidP="005C6E47"/>
  </w:footnote>
  <w:footnote w:type="continuationSeparator" w:id="1">
    <w:p w:rsidR="00140FC2" w:rsidRPr="00650FF1" w:rsidP="005C6E47">
      <w:r w:rsidRPr="00650FF1">
        <w:continuationSeparator/>
      </w:r>
    </w:p>
    <w:p w:rsidR="00140FC2" w:rsidRPr="00650FF1" w:rsidP="005C6E47"/>
  </w:footnote>
  <w:footnote w:type="continuationNotice" w:id="2">
    <w:p w:rsidR="00140FC2" w:rsidRPr="00650FF1"/>
  </w:footnote>
  <w:footnote w:id="3">
    <w:p w:rsidR="00140FC2" w:rsidRPr="00650FF1" w:rsidP="005C6E47">
      <w:pPr>
        <w:pStyle w:val="FootnoteText"/>
      </w:pPr>
      <w:r w:rsidRPr="00650FF1">
        <w:rPr>
          <w:vertAlign w:val="superscript"/>
        </w:rPr>
        <w:footnoteRef/>
      </w:r>
      <w:r w:rsidRPr="00650FF1">
        <w:t xml:space="preserve"> </w:t>
      </w:r>
      <w:r w:rsidRPr="00650FF1">
        <w:tab/>
        <w:t>Transposed into national legislation through Royal Decree 810/2007, of 22 June, approving the Regulation on traffic safety on the Public Railway Network.</w:t>
      </w:r>
    </w:p>
  </w:footnote>
  <w:footnote w:id="4">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w:t>
      </w:r>
      <w:r w:rsidRPr="00650FF1">
        <w:rPr>
          <w:rFonts w:asciiTheme="minorHAnsi" w:hAnsiTheme="minorHAnsi"/>
        </w:rPr>
        <w:tab/>
        <w:t xml:space="preserve">The AESF’s annual action plans may be consulted on its website: </w:t>
      </w:r>
      <w:hyperlink r:id="rId1" w:history="1">
        <w:r w:rsidRPr="00650FF1">
          <w:rPr>
            <w:rStyle w:val="Hyperlink"/>
            <w:rFonts w:asciiTheme="minorHAnsi" w:hAnsiTheme="minorHAnsi"/>
          </w:rPr>
          <w:t>http://www.seguridadferroviaria.es/quienes-somos/plan-de-accion</w:t>
        </w:r>
      </w:hyperlink>
    </w:p>
    <w:p w:rsidR="00140FC2" w:rsidRPr="00650FF1" w:rsidP="005C6E47">
      <w:pPr>
        <w:pStyle w:val="FootnoteText"/>
      </w:pPr>
    </w:p>
  </w:footnote>
  <w:footnote w:id="5">
    <w:p w:rsidR="00140FC2" w:rsidRPr="00650FF1" w:rsidP="005C6E47">
      <w:pPr>
        <w:pStyle w:val="FootnoteText"/>
        <w:rPr>
          <w:rFonts w:cs="Times New Roman"/>
        </w:rPr>
      </w:pPr>
      <w:r w:rsidRPr="00650FF1">
        <w:rPr>
          <w:rFonts w:cs="Times New Roman"/>
          <w:vertAlign w:val="superscript"/>
        </w:rPr>
        <w:footnoteRef/>
      </w:r>
      <w:r w:rsidRPr="00650FF1">
        <w:t xml:space="preserve"> </w:t>
      </w:r>
      <w:r w:rsidRPr="00650FF1">
        <w:tab/>
        <w:t>Royal Decree 664/2015, of 17 July, approving the Rail Traffic Regulations.</w:t>
      </w:r>
    </w:p>
    <w:p w:rsidR="00140FC2" w:rsidRPr="00650FF1" w:rsidP="005C6E47">
      <w:pPr>
        <w:pStyle w:val="FootnoteText"/>
      </w:pPr>
    </w:p>
  </w:footnote>
  <w:footnote w:id="6">
    <w:p w:rsidR="00140FC2" w:rsidRPr="00650FF1" w:rsidP="005C6E47">
      <w:pPr>
        <w:pStyle w:val="FootnoteText"/>
      </w:pPr>
      <w:r w:rsidRPr="00650FF1">
        <w:rPr>
          <w:vertAlign w:val="superscript"/>
        </w:rPr>
        <w:footnoteRef/>
      </w:r>
      <w:r w:rsidRPr="00650FF1">
        <w:t xml:space="preserve"> </w:t>
      </w:r>
      <w:r w:rsidRPr="00650FF1">
        <w:tab/>
        <w:t>Royal Decree 1011/2017, of 1 July, to amend Royal Decree 664/2015, of 17 July, approving the Rail Traffic Regulations.</w:t>
      </w:r>
    </w:p>
  </w:footnote>
  <w:footnote w:id="7">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w:t>
      </w:r>
      <w:r w:rsidRPr="00650FF1">
        <w:rPr>
          <w:rFonts w:asciiTheme="minorHAnsi" w:hAnsiTheme="minorHAnsi"/>
        </w:rPr>
        <w:tab/>
        <w:t>Approved by means of Royal Decree 1011/2017, of 1 December, amending Royal Decree 664/2015, of 17 July, approving the Rail Traffic Regulations.</w:t>
      </w:r>
    </w:p>
    <w:p w:rsidR="00140FC2" w:rsidRPr="00650FF1" w:rsidP="005C6E47">
      <w:pPr>
        <w:pStyle w:val="FootnoteText"/>
      </w:pPr>
    </w:p>
  </w:footnote>
  <w:footnote w:id="8">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w:t>
      </w:r>
      <w:r w:rsidRPr="00650FF1">
        <w:rPr>
          <w:rFonts w:asciiTheme="minorHAnsi" w:hAnsiTheme="minorHAnsi"/>
        </w:rPr>
        <w:tab/>
        <w:t>Approved by means of Royal Decree 1011/2017, of 1 December, amending Royal Decree 664/2015, of 17 July, approving the Rail Traffic Regulations.</w:t>
      </w:r>
    </w:p>
  </w:footnote>
  <w:footnote w:id="9">
    <w:p w:rsidR="00140FC2" w:rsidRPr="00650FF1" w:rsidP="005C6E47">
      <w:pPr>
        <w:pStyle w:val="FootnoteText"/>
        <w:rPr>
          <w:rFonts w:cs="Times New Roman"/>
        </w:rPr>
      </w:pPr>
      <w:r w:rsidRPr="00650FF1">
        <w:rPr>
          <w:rFonts w:cs="Times New Roman"/>
          <w:vertAlign w:val="superscript"/>
        </w:rPr>
        <w:footnoteRef/>
      </w:r>
      <w:r w:rsidRPr="00650FF1">
        <w:t xml:space="preserve"> </w:t>
      </w:r>
      <w:r w:rsidRPr="00650FF1">
        <w:tab/>
        <w:t xml:space="preserve">In accordance with the Order of 2 August 2001, implementing article 235 of the Regulations of the Land Transport Act (Ley de </w:t>
      </w:r>
      <w:r w:rsidRPr="00650FF1">
        <w:t>Ordenación</w:t>
      </w:r>
      <w:r w:rsidRPr="00650FF1">
        <w:t xml:space="preserve"> de </w:t>
      </w:r>
      <w:r w:rsidRPr="00650FF1">
        <w:t>los</w:t>
      </w:r>
      <w:r w:rsidRPr="00650FF1">
        <w:t xml:space="preserve"> </w:t>
      </w:r>
      <w:r w:rsidRPr="00650FF1">
        <w:t>Transportes</w:t>
      </w:r>
      <w:r w:rsidRPr="00650FF1">
        <w:t xml:space="preserve"> </w:t>
      </w:r>
      <w:r w:rsidRPr="00650FF1">
        <w:t>Terrestres</w:t>
      </w:r>
      <w:r w:rsidRPr="00650FF1">
        <w:t>), regarding the removal and protection of level crossings, a level crossing with type A protection has protection with exclusively fixed signals.</w:t>
      </w:r>
    </w:p>
  </w:footnote>
  <w:footnote w:id="10">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w:t>
      </w:r>
      <w:r w:rsidRPr="00650FF1">
        <w:rPr>
          <w:rFonts w:asciiTheme="minorHAnsi" w:hAnsiTheme="minorHAnsi"/>
        </w:rPr>
        <w:tab/>
      </w:r>
      <w:r w:rsidRPr="00650FF1">
        <w:rPr>
          <w:rFonts w:asciiTheme="minorHAnsi" w:hAnsiTheme="minorHAnsi"/>
          <w:b/>
        </w:rPr>
        <w:t>Significant accident:</w:t>
      </w:r>
      <w:r w:rsidRPr="00650FF1">
        <w:rPr>
          <w:rFonts w:asciiTheme="minorHAnsi" w:hAnsiTheme="minorHAnsi"/>
        </w:rPr>
        <w:t xml:space="preserve"> According to Annex I of the Rail Traffic Safety Regulations, approved by means of Royal Decree 810/2007, of 22 June: </w:t>
      </w:r>
      <w:r w:rsidRPr="00650FF1">
        <w:rPr>
          <w:rFonts w:asciiTheme="minorHAnsi" w:hAnsiTheme="minorHAnsi"/>
          <w:i/>
        </w:rPr>
        <w:t>‘any accident involving at least one railway vehicle in motion, with at least one fatality or serious injury or serious damage to the rolling stock, track, other installations or environments, or prolonged traffic disruptions. Accidents at workshops, warehouses and depots are excluded.’</w:t>
      </w:r>
    </w:p>
    <w:p w:rsidR="00140FC2" w:rsidRPr="00650FF1" w:rsidP="005C6E47">
      <w:pPr>
        <w:pStyle w:val="FootnoteText"/>
      </w:pPr>
      <w:r w:rsidRPr="00650FF1">
        <w:t>'Serious damage to the rolling stock, track, other installations or environments' is understood to mean damage with a value equivalent to or greater than €150,000, and 'prolonged traffic disruptions' are understood to mean railway services on a main railway line that are suspended for a minimum period of six hours.</w:t>
      </w:r>
    </w:p>
    <w:p w:rsidR="00140FC2" w:rsidRPr="00650FF1" w:rsidP="005C6E47">
      <w:pPr>
        <w:pStyle w:val="FootnoteText"/>
      </w:pPr>
    </w:p>
  </w:footnote>
  <w:footnote w:id="11">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w:t>
      </w:r>
      <w:r w:rsidRPr="00650FF1">
        <w:rPr>
          <w:rFonts w:asciiTheme="minorHAnsi" w:hAnsiTheme="minorHAnsi"/>
        </w:rPr>
        <w:tab/>
      </w:r>
      <w:r w:rsidRPr="00650FF1">
        <w:rPr>
          <w:rFonts w:asciiTheme="minorHAnsi" w:hAnsiTheme="minorHAnsi"/>
          <w:b/>
        </w:rPr>
        <w:t>Serious accident:</w:t>
      </w:r>
      <w:r w:rsidRPr="00650FF1">
        <w:rPr>
          <w:rFonts w:asciiTheme="minorHAnsi" w:hAnsiTheme="minorHAnsi"/>
        </w:rPr>
        <w:t xml:space="preserve"> According to article 2 of the Rail Traffic Safety Regulations, approved by means of Royal Decree 810/2007, of 22 June: </w:t>
      </w:r>
      <w:r w:rsidRPr="00650FF1">
        <w:rPr>
          <w:rFonts w:asciiTheme="minorHAnsi" w:hAnsiTheme="minorHAnsi"/>
          <w:i/>
        </w:rPr>
        <w:t>‘any collision or derailment of trains with the result of at least one fatality or five or more serious injuries, or major damage to the rolling stock, to the infrastructure or to the environment, and any other, similar accident, with an evident effect on railway safety or on safety management; major damage is understood to mean damage that can be immediately assessed by the investigation body to cost at least two million euros in total'.</w:t>
      </w:r>
    </w:p>
    <w:p w:rsidR="00140FC2" w:rsidRPr="00650FF1" w:rsidP="005C6E47">
      <w:pPr>
        <w:pStyle w:val="FootnoteText"/>
      </w:pPr>
    </w:p>
    <w:p w:rsidR="00140FC2" w:rsidRPr="00650FF1" w:rsidP="005C6E47">
      <w:pPr>
        <w:pStyle w:val="FootnoteText"/>
        <w:ind w:firstLine="0"/>
      </w:pPr>
      <w:r w:rsidRPr="00650FF1">
        <w:t xml:space="preserve">For consistency with the criteria used in the past, serious accidents (regardless of the type of accident) </w:t>
      </w:r>
      <w:r w:rsidRPr="00650FF1">
        <w:t>are considered</w:t>
      </w:r>
      <w:r w:rsidRPr="00650FF1">
        <w:t xml:space="preserve"> to include all accidents in which there is at least one fatality or five or more serious injuries or major damage.</w:t>
      </w:r>
    </w:p>
    <w:p w:rsidR="00140FC2" w:rsidRPr="00650FF1" w:rsidP="005C6E47">
      <w:pPr>
        <w:pStyle w:val="FootnoteText"/>
      </w:pPr>
    </w:p>
  </w:footnote>
  <w:footnote w:id="12">
    <w:p w:rsidR="00140FC2" w:rsidRPr="00650FF1" w:rsidP="005C6E47">
      <w:pPr>
        <w:pStyle w:val="FootnoteText"/>
        <w:rPr>
          <w:rFonts w:cs="Times New Roman"/>
        </w:rPr>
      </w:pPr>
      <w:r w:rsidRPr="00650FF1">
        <w:rPr>
          <w:rFonts w:cs="Times New Roman"/>
          <w:vertAlign w:val="superscript"/>
        </w:rPr>
        <w:footnoteRef/>
      </w:r>
      <w:r w:rsidRPr="00650FF1">
        <w:t xml:space="preserve"> </w:t>
      </w:r>
      <w:r w:rsidRPr="00650FF1">
        <w:tab/>
        <w:t>MHGP: Weighted fatalities and serious injuries (No of fatalities + 0.1 x No of serious injuries)</w:t>
      </w:r>
    </w:p>
    <w:p w:rsidR="00140FC2" w:rsidRPr="00650FF1" w:rsidP="005C6E47">
      <w:pPr>
        <w:pStyle w:val="FootnoteText"/>
      </w:pPr>
    </w:p>
  </w:footnote>
  <w:footnote w:id="13">
    <w:p w:rsidR="00140FC2" w:rsidRPr="00650FF1" w:rsidP="005C6E47">
      <w:pPr>
        <w:pStyle w:val="FootnoteText"/>
        <w:rPr>
          <w:rFonts w:cs="Times New Roman"/>
        </w:rPr>
      </w:pPr>
      <w:r w:rsidRPr="00650FF1">
        <w:rPr>
          <w:rFonts w:cs="Times New Roman"/>
          <w:vertAlign w:val="superscript"/>
        </w:rPr>
        <w:footnoteRef/>
      </w:r>
      <w:r w:rsidRPr="00650FF1">
        <w:t xml:space="preserve"> </w:t>
      </w:r>
      <w:r w:rsidRPr="00650FF1">
        <w:tab/>
        <w:t>Source: Report on Railway Safety and Interoperability in the EU – 2018. Figure 2</w:t>
      </w:r>
    </w:p>
  </w:footnote>
  <w:footnote w:id="14">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w:t>
      </w:r>
      <w:r w:rsidRPr="00650FF1">
        <w:rPr>
          <w:rFonts w:asciiTheme="minorHAnsi" w:hAnsiTheme="minorHAnsi"/>
        </w:rPr>
        <w:tab/>
      </w:r>
      <w:hyperlink r:id="rId2" w:history="1">
        <w:r w:rsidRPr="00650FF1">
          <w:rPr>
            <w:rStyle w:val="Hyperlink"/>
            <w:rFonts w:asciiTheme="minorHAnsi" w:hAnsiTheme="minorHAnsi"/>
          </w:rPr>
          <w:t>http://www.seguridadferroviaria.es/recursos_aesf/o030201gu01guiasolicitudcertificados.pdf</w:t>
        </w:r>
      </w:hyperlink>
    </w:p>
    <w:p w:rsidR="00140FC2" w:rsidRPr="00650FF1" w:rsidP="005C6E47">
      <w:pPr>
        <w:pStyle w:val="FootnoteText"/>
        <w:rPr>
          <w:rFonts w:asciiTheme="minorHAnsi" w:hAnsiTheme="minorHAnsi" w:cstheme="minorHAnsi"/>
        </w:rPr>
      </w:pPr>
      <w:hyperlink r:id="rId3" w:history="1">
        <w:r w:rsidRPr="00650FF1">
          <w:rPr>
            <w:rStyle w:val="Hyperlink"/>
            <w:rFonts w:asciiTheme="minorHAnsi" w:hAnsiTheme="minorHAnsi"/>
          </w:rPr>
          <w:t>http://www.seguridadferroviaria.es/recursos_aesf/o030101gu01guiasolicitudautorizaciones.pdf</w:t>
        </w:r>
      </w:hyperlink>
    </w:p>
    <w:p w:rsidR="00140FC2" w:rsidRPr="00650FF1" w:rsidP="005C6E47">
      <w:pPr>
        <w:pStyle w:val="FootnoteText"/>
        <w:rPr>
          <w:lang w:val="fr-LU"/>
        </w:rPr>
      </w:pPr>
    </w:p>
  </w:footnote>
  <w:footnote w:id="15">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w:t>
      </w:r>
      <w:hyperlink r:id="rId4" w:history="1">
        <w:r w:rsidRPr="00650FF1">
          <w:rPr>
            <w:rStyle w:val="Hyperlink"/>
            <w:rFonts w:asciiTheme="minorHAnsi" w:hAnsiTheme="minorHAnsi"/>
          </w:rPr>
          <w:t>www.seguridadferroviaria.es/recursos_aesf/estrategia20supervisic3b3n.pdf</w:t>
        </w:r>
      </w:hyperlink>
    </w:p>
  </w:footnote>
  <w:footnote w:id="16">
    <w:p w:rsidR="00140FC2" w:rsidRPr="00650FF1" w:rsidP="005C6E47">
      <w:pPr>
        <w:pStyle w:val="FootnoteText"/>
      </w:pPr>
      <w:r w:rsidRPr="00650FF1">
        <w:rPr>
          <w:vertAlign w:val="superscript"/>
        </w:rPr>
        <w:footnoteRef/>
      </w:r>
      <w:r w:rsidRPr="00650FF1">
        <w:t xml:space="preserve"> </w:t>
      </w:r>
      <w:r w:rsidRPr="00650FF1">
        <w:tab/>
        <w:t>Order FOM 233/2006, of 31 January, regulating the conditions for the approval of railway rolling stock and maintenance centres and establishing the fees for the certification of such rolling stock.</w:t>
      </w:r>
    </w:p>
  </w:footnote>
  <w:footnote w:id="17">
    <w:p w:rsidR="00140FC2" w:rsidRPr="00650FF1" w:rsidP="005C6E47">
      <w:pPr>
        <w:pStyle w:val="FootnoteText"/>
      </w:pPr>
      <w:r w:rsidRPr="00650FF1">
        <w:rPr>
          <w:vertAlign w:val="superscript"/>
        </w:rPr>
        <w:footnoteRef/>
      </w:r>
      <w:r w:rsidRPr="00650FF1">
        <w:t xml:space="preserve"> </w:t>
      </w:r>
      <w:r w:rsidRPr="00650FF1">
        <w:tab/>
        <w:t xml:space="preserve">Order FOM/2872/2010 of 5 November, which sets out the conditions for obtaining the qualifying certificates that allow railway personnel to perform their duties with respect to rail traffic safety, as well as the system of officially approved training centres and the medical examination centres of said personnel. This rule </w:t>
      </w:r>
      <w:r w:rsidRPr="00650FF1">
        <w:t>was amended</w:t>
      </w:r>
      <w:r w:rsidRPr="00650FF1">
        <w:t xml:space="preserve"> by Order FOM 679/2015 of 9 April.</w:t>
      </w:r>
    </w:p>
  </w:footnote>
  <w:footnote w:id="18">
    <w:p w:rsidR="00140FC2" w:rsidRPr="00650FF1" w:rsidP="005C6E47">
      <w:pPr>
        <w:pStyle w:val="FootnoteText"/>
        <w:rPr>
          <w:rFonts w:cs="Times New Roman"/>
        </w:rPr>
      </w:pPr>
      <w:r w:rsidRPr="00650FF1">
        <w:rPr>
          <w:rFonts w:cs="Times New Roman"/>
          <w:vertAlign w:val="superscript"/>
        </w:rPr>
        <w:footnoteRef/>
      </w:r>
      <w:r w:rsidRPr="00650FF1">
        <w:t xml:space="preserve"> </w:t>
      </w:r>
      <w:r w:rsidRPr="00650FF1">
        <w:tab/>
        <w:t xml:space="preserve">Recommendations included in final reports issued before the closing date for this Annual Report (September 2018). This report </w:t>
      </w:r>
      <w:r w:rsidRPr="00650FF1">
        <w:t>does not, therefore, include</w:t>
      </w:r>
      <w:r w:rsidRPr="00650FF1">
        <w:t xml:space="preserve"> any recommendations relating to accidents occurring in 2017 where the reports were issued by the CIAF after its preparation (period between September and December 2018).</w:t>
      </w:r>
    </w:p>
  </w:footnote>
  <w:footnote w:id="19">
    <w:p w:rsidR="00140FC2" w:rsidRPr="00650FF1" w:rsidP="005C6E47">
      <w:pPr>
        <w:pStyle w:val="FootnoteText"/>
      </w:pPr>
      <w:r w:rsidRPr="00650FF1">
        <w:rPr>
          <w:vertAlign w:val="superscript"/>
        </w:rPr>
        <w:footnoteRef/>
      </w:r>
      <w:r w:rsidRPr="00650FF1">
        <w:t xml:space="preserve"> </w:t>
      </w:r>
      <w:r w:rsidRPr="00650FF1">
        <w:tab/>
        <w:t>The actions appearing relate to recommendations regarded as closed in 2017, as the AESF deemed the level of compliance to be satisfactory. They stem from events occurring in 2017 or earlier.</w:t>
      </w:r>
    </w:p>
  </w:footnote>
  <w:footnote w:id="20">
    <w:p w:rsidR="00140FC2" w:rsidRPr="00650FF1" w:rsidP="005C6E47">
      <w:pPr>
        <w:pStyle w:val="FootnoteText"/>
        <w:rPr>
          <w:vertAlign w:val="superscript"/>
        </w:rPr>
      </w:pPr>
      <w:r w:rsidRPr="00650FF1">
        <w:rPr>
          <w:vertAlign w:val="superscript"/>
        </w:rPr>
        <w:footnoteRef/>
      </w:r>
      <w:r w:rsidRPr="00650FF1">
        <w:t xml:space="preserve"> </w:t>
      </w:r>
      <w:r w:rsidRPr="00650FF1">
        <w:tab/>
        <w:t xml:space="preserve">Modification files managed in 2017 regardless of the year in which the processing of the file </w:t>
      </w:r>
      <w:r w:rsidRPr="00650FF1">
        <w:t>was started</w:t>
      </w:r>
      <w:r w:rsidRPr="00650FF1">
        <w:t>.</w:t>
      </w:r>
    </w:p>
  </w:footnote>
  <w:footnote w:id="21">
    <w:p w:rsidR="00140FC2" w:rsidRPr="00650FF1" w:rsidP="005C6E47">
      <w:pPr>
        <w:pStyle w:val="FootnoteText"/>
        <w:rPr>
          <w:rFonts w:asciiTheme="minorHAnsi" w:hAnsiTheme="minorHAnsi" w:cstheme="minorHAnsi"/>
        </w:rPr>
      </w:pPr>
      <w:r w:rsidRPr="00650FF1">
        <w:rPr>
          <w:rFonts w:asciiTheme="minorHAnsi" w:hAnsiTheme="minorHAnsi" w:cstheme="minorHAnsi"/>
          <w:vertAlign w:val="superscript"/>
        </w:rPr>
        <w:footnoteRef/>
      </w:r>
      <w:r w:rsidRPr="00650FF1">
        <w:rPr>
          <w:rFonts w:asciiTheme="minorHAnsi" w:hAnsiTheme="minorHAnsi"/>
        </w:rPr>
        <w:t xml:space="preserve"> The first such round-table meeting took place in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E071C6">
    <w:pPr>
      <w:pStyle w:val="Header"/>
      <w:tabs>
        <w:tab w:val="clear" w:pos="9072"/>
        <w:tab w:val="right" w:pos="10260"/>
      </w:tabs>
    </w:pPr>
  </w:p>
  <w:p w:rsidR="00140FC2" w:rsidRPr="00650F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5C6E47">
    <w:pPr>
      <w:pStyle w:val="Header"/>
      <w:rPr>
        <w:rFonts w:ascii="Arial" w:hAnsi="Arial"/>
        <w:b/>
      </w:rPr>
    </w:pPr>
    <w:r w:rsidRPr="00650FF1">
      <w:rPr>
        <w:rFonts w:ascii="Arial" w:hAnsi="Arial"/>
        <w:b/>
        <w:noProof/>
        <w:lang w:val="fr-FR" w:eastAsia="fr-FR"/>
      </w:rPr>
      <mc:AlternateContent>
        <mc:Choice Requires="wps">
          <w:drawing>
            <wp:anchor distT="0" distB="0" distL="114300" distR="114300" simplePos="0" relativeHeight="251684864" behindDoc="0" locked="0" layoutInCell="1" allowOverlap="1">
              <wp:simplePos x="0" y="0"/>
              <wp:positionH relativeFrom="column">
                <wp:posOffset>6136640</wp:posOffset>
              </wp:positionH>
              <wp:positionV relativeFrom="paragraph">
                <wp:posOffset>-111760</wp:posOffset>
              </wp:positionV>
              <wp:extent cx="153035" cy="153035"/>
              <wp:effectExtent l="12065" t="12065" r="15875" b="15875"/>
              <wp:wrapNone/>
              <wp:docPr id="36" name="Rectangle 6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3035" cy="153035"/>
                      </a:xfrm>
                      <a:prstGeom prst="rect">
                        <a:avLst/>
                      </a:prstGeom>
                      <a:solidFill>
                        <a:srgbClr val="FFC000"/>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7" o:spid="_x0000_s2049" style="width:12.05pt;height:12.05pt;margin-top:-8.8pt;margin-left:483.2pt;mso-height-percent:0;mso-height-relative:page;mso-width-percent:0;mso-width-relative:page;mso-wrap-distance-bottom:0;mso-wrap-distance-left:9pt;mso-wrap-distance-right:9pt;mso-wrap-distance-top:0;mso-wrap-style:square;position:absolute;visibility:visible;v-text-anchor:top;z-index:251685888" fillcolor="#ffc000"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70528" behindDoc="0" locked="0" layoutInCell="1" allowOverlap="1">
              <wp:simplePos x="0" y="0"/>
              <wp:positionH relativeFrom="column">
                <wp:posOffset>6289675</wp:posOffset>
              </wp:positionH>
              <wp:positionV relativeFrom="paragraph">
                <wp:posOffset>-165100</wp:posOffset>
              </wp:positionV>
              <wp:extent cx="205740" cy="205740"/>
              <wp:effectExtent l="12700" t="15875" r="10160" b="16510"/>
              <wp:wrapNone/>
              <wp:docPr id="35" name="Rectangle 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FFFFFF"/>
                      </a:solidFill>
                      <a:ln w="19050">
                        <a:solidFill>
                          <a:srgbClr val="F2F2F2"/>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5" o:spid="_x0000_s2050" style="width:16.2pt;height:16.2pt;margin-top:-13pt;margin-left:495.25pt;mso-height-percent:0;mso-height-relative:page;mso-width-percent:0;mso-width-relative:page;mso-wrap-distance-bottom:0;mso-wrap-distance-left:9pt;mso-wrap-distance-right:9pt;mso-wrap-distance-top:0;mso-wrap-style:square;position:absolute;visibility:visible;v-text-anchor:top;z-index:251671552"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78720" behindDoc="0" locked="0" layoutInCell="1" allowOverlap="1">
              <wp:simplePos x="0" y="0"/>
              <wp:positionH relativeFrom="column">
                <wp:posOffset>6289675</wp:posOffset>
              </wp:positionH>
              <wp:positionV relativeFrom="paragraph">
                <wp:posOffset>41275</wp:posOffset>
              </wp:positionV>
              <wp:extent cx="205740" cy="205740"/>
              <wp:effectExtent l="12700" t="12700" r="10160" b="10160"/>
              <wp:wrapNone/>
              <wp:docPr id="34" name="Rectangle 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548DD4"/>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6" o:spid="_x0000_s2051" style="width:16.2pt;height:16.2pt;margin-top:3.25pt;margin-left:495.25pt;mso-height-percent:0;mso-height-relative:page;mso-width-percent:0;mso-width-relative:page;mso-wrap-distance-bottom:0;mso-wrap-distance-left:9pt;mso-wrap-distance-right:9pt;mso-wrap-distance-top:0;mso-wrap-style:square;position:absolute;visibility:visible;v-text-anchor:top;z-index:251679744" fillcolor="#548dd4"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62336" behindDoc="0" locked="0" layoutInCell="1" allowOverlap="1">
              <wp:simplePos x="0" y="0"/>
              <wp:positionH relativeFrom="column">
                <wp:posOffset>-452755</wp:posOffset>
              </wp:positionH>
              <wp:positionV relativeFrom="paragraph">
                <wp:posOffset>40640</wp:posOffset>
              </wp:positionV>
              <wp:extent cx="6948170" cy="635"/>
              <wp:effectExtent l="13970" t="12065" r="10160" b="15875"/>
              <wp:wrapNone/>
              <wp:docPr id="33" name="AutoShape 6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635"/>
                      </a:xfrm>
                      <a:prstGeom prst="straightConnector1">
                        <a:avLst/>
                      </a:prstGeom>
                      <a:noFill/>
                      <a:ln w="19050">
                        <a:solidFill>
                          <a:srgbClr val="B8CCE4"/>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3" o:spid="_x0000_s2052" type="#_x0000_t32" style="width:547.1pt;height:0.05pt;margin-top:3.2pt;margin-left:-35.65pt;mso-height-percent:0;mso-height-relative:page;mso-width-percent:0;mso-width-relative:page;mso-wrap-distance-bottom:0;mso-wrap-distance-left:9pt;mso-wrap-distance-right:9pt;mso-wrap-distance-top:0;mso-wrap-style:square;position:absolute;visibility:visible;z-index:251663360" strokecolor="#b8cce4"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64384" behindDoc="0" locked="0" layoutInCell="1" allowOverlap="1">
              <wp:simplePos x="0" y="0"/>
              <wp:positionH relativeFrom="column">
                <wp:posOffset>9186545</wp:posOffset>
              </wp:positionH>
              <wp:positionV relativeFrom="paragraph">
                <wp:posOffset>-112395</wp:posOffset>
              </wp:positionV>
              <wp:extent cx="153035" cy="153035"/>
              <wp:effectExtent l="13970" t="11430" r="13970" b="16510"/>
              <wp:wrapNone/>
              <wp:docPr id="32" name="Rectangle 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3035" cy="153035"/>
                      </a:xfrm>
                      <a:prstGeom prst="rect">
                        <a:avLst/>
                      </a:prstGeom>
                      <a:solidFill>
                        <a:srgbClr val="FFC000"/>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4" o:spid="_x0000_s2053" style="width:12.05pt;height:12.05pt;margin-top:-8.85pt;margin-left:723.35pt;mso-height-percent:0;mso-height-relative:page;mso-width-percent:0;mso-width-relative:page;mso-wrap-distance-bottom:0;mso-wrap-distance-left:9pt;mso-wrap-distance-right:9pt;mso-wrap-distance-top:0;mso-wrap-style:square;position:absolute;visibility:visible;v-text-anchor:top;z-index:251665408" fillcolor="#ffc000"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9340850</wp:posOffset>
              </wp:positionH>
              <wp:positionV relativeFrom="paragraph">
                <wp:posOffset>40640</wp:posOffset>
              </wp:positionV>
              <wp:extent cx="205740" cy="205740"/>
              <wp:effectExtent l="15875" t="12065" r="16510" b="10795"/>
              <wp:wrapNone/>
              <wp:docPr id="31" name="Rectangle 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548DD4"/>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2" o:spid="_x0000_s2054" style="width:16.2pt;height:16.2pt;margin-top:3.2pt;margin-left:735.5pt;mso-height-percent:0;mso-height-relative:page;mso-width-percent:0;mso-width-relative:page;mso-wrap-distance-bottom:0;mso-wrap-distance-left:9pt;mso-wrap-distance-right:9pt;mso-wrap-distance-top:0;mso-wrap-style:square;position:absolute;visibility:visible;v-text-anchor:top;z-index:251661312" fillcolor="#548dd4"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58240" behindDoc="0" locked="0" layoutInCell="1" allowOverlap="1">
              <wp:simplePos x="0" y="0"/>
              <wp:positionH relativeFrom="column">
                <wp:posOffset>9347200</wp:posOffset>
              </wp:positionH>
              <wp:positionV relativeFrom="paragraph">
                <wp:posOffset>-165100</wp:posOffset>
              </wp:positionV>
              <wp:extent cx="205740" cy="205740"/>
              <wp:effectExtent l="12700" t="15875" r="10160" b="16510"/>
              <wp:wrapNone/>
              <wp:docPr id="30" name="Rectangle 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FFFFFF"/>
                      </a:solidFill>
                      <a:ln w="19050">
                        <a:solidFill>
                          <a:srgbClr val="F2F2F2"/>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1" o:spid="_x0000_s2055" style="width:16.2pt;height:16.2pt;margin-top:-13pt;margin-left:736pt;mso-height-percent:0;mso-height-relative:page;mso-width-percent:0;mso-width-relative:page;mso-wrap-distance-bottom:0;mso-wrap-distance-left:9pt;mso-wrap-distance-right:9pt;mso-wrap-distance-top:0;mso-wrap-style:square;position:absolute;visibility:visible;v-text-anchor:top;z-index:251659264" strokecolor="#f2f2f2" strokeweight="1.5pt"/>
          </w:pict>
        </mc:Fallback>
      </mc:AlternateContent>
    </w:r>
    <w:r w:rsidRPr="00650FF1">
      <w:rPr>
        <w:rFonts w:ascii="Arial" w:hAnsi="Arial"/>
        <w:b/>
      </w:rPr>
      <w:tab/>
    </w:r>
    <w:r w:rsidRPr="00650FF1">
      <w:rPr>
        <w:rFonts w:ascii="Arial" w:hAnsi="Arial"/>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5C6E47">
    <w:pPr>
      <w:pStyle w:val="Header"/>
      <w:jc w:val="right"/>
    </w:pPr>
    <w:r w:rsidRPr="00650FF1">
      <w:rPr>
        <w:noProof/>
        <w:lang w:val="fr-FR" w:eastAsia="fr-FR"/>
      </w:rPr>
      <w:drawing>
        <wp:inline distT="0" distB="0" distL="0" distR="0">
          <wp:extent cx="762000" cy="193675"/>
          <wp:effectExtent l="0" t="0" r="0" b="0"/>
          <wp:docPr id="3" name="Imagen 65" descr="LOGO AESF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513" name="Picture 21" descr="LOGO AESF Colo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000" cy="193675"/>
                  </a:xfrm>
                  <a:prstGeom prst="rect">
                    <a:avLst/>
                  </a:prstGeom>
                  <a:noFill/>
                  <a:ln>
                    <a:noFill/>
                  </a:ln>
                </pic:spPr>
              </pic:pic>
            </a:graphicData>
          </a:graphic>
        </wp:inline>
      </w:drawing>
    </w:r>
    <w:r w:rsidRPr="00650FF1">
      <w:rPr>
        <w:noProof/>
        <w:lang w:val="fr-FR" w:eastAsia="fr-FR"/>
      </w:rPr>
      <mc:AlternateContent>
        <mc:Choice Requires="wpg">
          <w:drawing>
            <wp:anchor distT="0" distB="0" distL="114300" distR="114300" simplePos="0" relativeHeight="251691008" behindDoc="0" locked="0" layoutInCell="1" allowOverlap="1">
              <wp:simplePos x="0" y="0"/>
              <wp:positionH relativeFrom="column">
                <wp:posOffset>0</wp:posOffset>
              </wp:positionH>
              <wp:positionV relativeFrom="paragraph">
                <wp:posOffset>-88900</wp:posOffset>
              </wp:positionV>
              <wp:extent cx="722630" cy="272415"/>
              <wp:effectExtent l="5715" t="8890" r="5080" b="4445"/>
              <wp:wrapNone/>
              <wp:docPr id="18" name="14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722630" cy="272415"/>
                        <a:chOff x="0" y="0"/>
                        <a:chExt cx="1017241" cy="383613"/>
                      </a:xfrm>
                    </wpg:grpSpPr>
                    <wpg:grpSp>
                      <wpg:cNvPr id="19" name="4 Grupo"/>
                      <wpg:cNvGrpSpPr/>
                      <wpg:grpSpPr>
                        <a:xfrm>
                          <a:off x="0" y="211698"/>
                          <a:ext cx="1017241" cy="171915"/>
                          <a:chOff x="0" y="211698"/>
                          <a:chExt cx="7589873" cy="1282700"/>
                        </a:xfrm>
                      </wpg:grpSpPr>
                      <wps:wsp xmlns:wps="http://schemas.microsoft.com/office/word/2010/wordprocessingShape">
                        <wps:cNvPr id="20" name="9 Elipse"/>
                        <wps:cNvSpPr>
                          <a:spLocks noChangeArrowheads="1"/>
                        </wps:cNvSpPr>
                        <wps:spPr bwMode="auto">
                          <a:xfrm>
                            <a:off x="0" y="211698"/>
                            <a:ext cx="1282700" cy="1282700"/>
                          </a:xfrm>
                          <a:prstGeom prst="ellipse">
                            <a:avLst/>
                          </a:prstGeom>
                          <a:solidFill>
                            <a:srgbClr val="F2F2F2"/>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s:wsp xmlns:wps="http://schemas.microsoft.com/office/word/2010/wordprocessingShape">
                        <wps:cNvPr id="22" name="10 Elipse"/>
                        <wps:cNvSpPr>
                          <a:spLocks noChangeArrowheads="1"/>
                        </wps:cNvSpPr>
                        <wps:spPr bwMode="auto">
                          <a:xfrm>
                            <a:off x="1584176" y="211698"/>
                            <a:ext cx="1282700" cy="1282700"/>
                          </a:xfrm>
                          <a:prstGeom prst="ellipse">
                            <a:avLst/>
                          </a:prstGeom>
                          <a:solidFill>
                            <a:srgbClr val="F2F2F2"/>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s:wsp xmlns:wps="http://schemas.microsoft.com/office/word/2010/wordprocessingShape">
                        <wps:cNvPr id="23" name="11 Elipse"/>
                        <wps:cNvSpPr>
                          <a:spLocks noChangeArrowheads="1"/>
                        </wps:cNvSpPr>
                        <wps:spPr bwMode="auto">
                          <a:xfrm>
                            <a:off x="3168352" y="211698"/>
                            <a:ext cx="1282700" cy="1282700"/>
                          </a:xfrm>
                          <a:prstGeom prst="ellipse">
                            <a:avLst/>
                          </a:prstGeom>
                          <a:solidFill>
                            <a:srgbClr val="F2F2F2"/>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s:wsp xmlns:wps="http://schemas.microsoft.com/office/word/2010/wordprocessingShape">
                        <wps:cNvPr id="24" name="12 Elipse"/>
                        <wps:cNvSpPr>
                          <a:spLocks noChangeArrowheads="1"/>
                        </wps:cNvSpPr>
                        <wps:spPr bwMode="auto">
                          <a:xfrm>
                            <a:off x="4752528" y="211698"/>
                            <a:ext cx="1282700" cy="1282700"/>
                          </a:xfrm>
                          <a:prstGeom prst="ellipse">
                            <a:avLst/>
                          </a:prstGeom>
                          <a:solidFill>
                            <a:srgbClr val="B9CDE5"/>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s:wsp xmlns:wps="http://schemas.microsoft.com/office/word/2010/wordprocessingShape">
                        <wps:cNvPr id="25" name="13 Elipse"/>
                        <wps:cNvSpPr>
                          <a:spLocks noChangeArrowheads="1"/>
                        </wps:cNvSpPr>
                        <wps:spPr bwMode="auto">
                          <a:xfrm>
                            <a:off x="6307173" y="211698"/>
                            <a:ext cx="1282700" cy="1282700"/>
                          </a:xfrm>
                          <a:prstGeom prst="ellipse">
                            <a:avLst/>
                          </a:prstGeom>
                          <a:solidFill>
                            <a:srgbClr val="F2F2F2"/>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g:grpSp>
                    <wps:wsp xmlns:wps="http://schemas.microsoft.com/office/word/2010/wordprocessingShape">
                      <wps:cNvPr id="26" name="5 Elipse"/>
                      <wps:cNvSpPr>
                        <a:spLocks noChangeArrowheads="1"/>
                      </wps:cNvSpPr>
                      <wps:spPr bwMode="auto">
                        <a:xfrm>
                          <a:off x="0" y="0"/>
                          <a:ext cx="171915" cy="171915"/>
                        </a:xfrm>
                        <a:prstGeom prst="ellipse">
                          <a:avLst/>
                        </a:prstGeom>
                        <a:solidFill>
                          <a:srgbClr val="F2F2F2"/>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s:wsp xmlns:wps="http://schemas.microsoft.com/office/word/2010/wordprocessingShape">
                      <wps:cNvPr id="27" name="6 Elipse"/>
                      <wps:cNvSpPr>
                        <a:spLocks noChangeArrowheads="1"/>
                      </wps:cNvSpPr>
                      <wps:spPr bwMode="auto">
                        <a:xfrm>
                          <a:off x="212320" y="0"/>
                          <a:ext cx="171915" cy="171915"/>
                        </a:xfrm>
                        <a:prstGeom prst="ellipse">
                          <a:avLst/>
                        </a:prstGeom>
                        <a:solidFill>
                          <a:srgbClr val="FF9933"/>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s:wsp xmlns:wps="http://schemas.microsoft.com/office/word/2010/wordprocessingShape">
                      <wps:cNvPr id="28" name="7 Elipse"/>
                      <wps:cNvSpPr>
                        <a:spLocks noChangeArrowheads="1"/>
                      </wps:cNvSpPr>
                      <wps:spPr bwMode="auto">
                        <a:xfrm>
                          <a:off x="424640" y="0"/>
                          <a:ext cx="171915" cy="171915"/>
                        </a:xfrm>
                        <a:prstGeom prst="ellipse">
                          <a:avLst/>
                        </a:prstGeom>
                        <a:solidFill>
                          <a:srgbClr val="F2F2F2"/>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s:wsp xmlns:wps="http://schemas.microsoft.com/office/word/2010/wordprocessingShape">
                      <wps:cNvPr id="29" name="8 Elipse"/>
                      <wps:cNvSpPr>
                        <a:spLocks noChangeArrowheads="1"/>
                      </wps:cNvSpPr>
                      <wps:spPr bwMode="auto">
                        <a:xfrm>
                          <a:off x="636961" y="0"/>
                          <a:ext cx="171915" cy="171915"/>
                        </a:xfrm>
                        <a:prstGeom prst="ellipse">
                          <a:avLst/>
                        </a:prstGeom>
                        <a:solidFill>
                          <a:srgbClr val="F2F2F2"/>
                        </a:solidFill>
                        <a:ln>
                          <a:noFill/>
                        </a:ln>
                        <a:extLst>
                          <a:ext xmlns:a="http://schemas.openxmlformats.org/drawingml/2006/main" uri="{91240B29-F687-4F45-9708-019B960494DF}">
                            <a14:hiddenLine xmlns:a14="http://schemas.microsoft.com/office/drawing/2010/main" w="25400">
                              <a:solidFill>
                                <a:srgbClr val="000000"/>
                              </a:solidFill>
                              <a:round/>
                              <a:headEnd/>
                              <a:tailEnd/>
                            </a14:hiddenLine>
                          </a:ext>
                        </a:extLst>
                      </wps:spPr>
                      <wps:txbx>
                        <w:txbxContent>
                          <w:p w:rsidR="00140FC2" w:rsidP="00612952"/>
                        </w:txbxContent>
                      </wps:txbx>
                      <wps:bodyPr rot="0" vert="horz" wrap="square" anchor="ctr" anchorCtr="0" upright="1"/>
                    </wps:wsp>
                  </wpg:wgp>
                </a:graphicData>
              </a:graphic>
              <wp14:sizeRelH relativeFrom="page">
                <wp14:pctWidth>0</wp14:pctWidth>
              </wp14:sizeRelH>
              <wp14:sizeRelV relativeFrom="page">
                <wp14:pctHeight>0</wp14:pctHeight>
              </wp14:sizeRelV>
            </wp:anchor>
          </w:drawing>
        </mc:Choice>
        <mc:Fallback>
          <w:pict>
            <v:group id="14 Grupo" o:spid="_x0000_s2056" style="width:56.9pt;height:21.45pt;margin-top:-7pt;margin-left:0;position:absolute;z-index:251692032" coordsize="10172,3836">
              <v:group id="4 Grupo" o:spid="_x0000_s2057" style="width:10172;height:1720;position:absolute;top:2116" coordorigin="0,2116" coordsize="75898,12827">
                <v:oval id="9 Elipse" o:spid="_x0000_s2058" style="width:12827;height:12827;mso-wrap-style:square;position:absolute;top:2116;visibility:visible;v-text-anchor:middle" fillcolor="#f2f2f2" stroked="f" strokeweight="2pt">
                  <v:textbox>
                    <w:txbxContent>
                      <w:p w:rsidR="00140FC2" w:rsidP="00612952"/>
                    </w:txbxContent>
                  </v:textbox>
                </v:oval>
                <v:oval id="10 Elipse" o:spid="_x0000_s2059" style="width:12827;height:12827;left:15841;mso-wrap-style:square;position:absolute;top:2116;visibility:visible;v-text-anchor:middle" fillcolor="#f2f2f2" stroked="f" strokeweight="2pt">
                  <v:textbox>
                    <w:txbxContent>
                      <w:p w:rsidR="00140FC2" w:rsidP="00612952"/>
                    </w:txbxContent>
                  </v:textbox>
                </v:oval>
                <v:oval id="11 Elipse" o:spid="_x0000_s2060" style="width:12827;height:12827;left:31683;mso-wrap-style:square;position:absolute;top:2116;visibility:visible;v-text-anchor:middle" fillcolor="#f2f2f2" stroked="f" strokeweight="2pt">
                  <v:textbox>
                    <w:txbxContent>
                      <w:p w:rsidR="00140FC2" w:rsidP="00612952"/>
                    </w:txbxContent>
                  </v:textbox>
                </v:oval>
                <v:oval id="12 Elipse" o:spid="_x0000_s2061" style="width:12827;height:12827;left:47525;mso-wrap-style:square;position:absolute;top:2116;visibility:visible;v-text-anchor:middle" fillcolor="#b9cde5" stroked="f" strokeweight="2pt">
                  <v:textbox>
                    <w:txbxContent>
                      <w:p w:rsidR="00140FC2" w:rsidP="00612952"/>
                    </w:txbxContent>
                  </v:textbox>
                </v:oval>
                <v:oval id="13 Elipse" o:spid="_x0000_s2062" style="width:12827;height:12827;left:63071;mso-wrap-style:square;position:absolute;top:2116;visibility:visible;v-text-anchor:middle" fillcolor="#f2f2f2" stroked="f" strokeweight="2pt">
                  <v:textbox>
                    <w:txbxContent>
                      <w:p w:rsidR="00140FC2" w:rsidP="00612952"/>
                    </w:txbxContent>
                  </v:textbox>
                </v:oval>
              </v:group>
              <v:oval id="5 Elipse" o:spid="_x0000_s2063" style="width:1719;height:1719;mso-wrap-style:square;position:absolute;visibility:visible;v-text-anchor:middle" fillcolor="#f2f2f2" stroked="f" strokeweight="2pt">
                <v:textbox>
                  <w:txbxContent>
                    <w:p w:rsidR="00140FC2" w:rsidP="00612952"/>
                  </w:txbxContent>
                </v:textbox>
              </v:oval>
              <v:oval id="6 Elipse" o:spid="_x0000_s2064" style="width:1719;height:1719;left:2123;mso-wrap-style:square;position:absolute;visibility:visible;v-text-anchor:middle" fillcolor="#f93" stroked="f" strokeweight="2pt">
                <v:textbox>
                  <w:txbxContent>
                    <w:p w:rsidR="00140FC2" w:rsidP="00612952"/>
                  </w:txbxContent>
                </v:textbox>
              </v:oval>
              <v:oval id="7 Elipse" o:spid="_x0000_s2065" style="width:1719;height:1719;left:4246;mso-wrap-style:square;position:absolute;visibility:visible;v-text-anchor:middle" fillcolor="#f2f2f2" stroked="f" strokeweight="2pt">
                <v:textbox>
                  <w:txbxContent>
                    <w:p w:rsidR="00140FC2" w:rsidP="00612952"/>
                  </w:txbxContent>
                </v:textbox>
              </v:oval>
              <v:oval id="8 Elipse" o:spid="_x0000_s2066" style="width:1719;height:1719;left:6369;mso-wrap-style:square;position:absolute;visibility:visible;v-text-anchor:middle" fillcolor="#f2f2f2" stroked="f" strokeweight="2pt">
                <v:textbox>
                  <w:txbxContent>
                    <w:p w:rsidR="00140FC2" w:rsidP="00612952"/>
                  </w:txbxContent>
                </v:textbox>
              </v:oval>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rsidP="005C6E47">
    <w:pPr>
      <w:pStyle w:val="Header"/>
      <w:rPr>
        <w:rFonts w:ascii="Arial" w:hAnsi="Arial"/>
        <w:b/>
      </w:rPr>
    </w:pPr>
    <w:r w:rsidRPr="00650FF1">
      <w:rPr>
        <w:rFonts w:ascii="Arial" w:hAnsi="Arial"/>
        <w:b/>
        <w:noProof/>
        <w:lang w:val="fr-FR" w:eastAsia="fr-FR"/>
      </w:rPr>
      <mc:AlternateContent>
        <mc:Choice Requires="wps">
          <w:drawing>
            <wp:anchor distT="0" distB="0" distL="114300" distR="114300" simplePos="0" relativeHeight="251682816" behindDoc="0" locked="0" layoutInCell="1" allowOverlap="1">
              <wp:simplePos x="0" y="0"/>
              <wp:positionH relativeFrom="column">
                <wp:posOffset>6136640</wp:posOffset>
              </wp:positionH>
              <wp:positionV relativeFrom="paragraph">
                <wp:posOffset>-111760</wp:posOffset>
              </wp:positionV>
              <wp:extent cx="153035" cy="153035"/>
              <wp:effectExtent l="12065" t="12065" r="15875" b="15875"/>
              <wp:wrapNone/>
              <wp:docPr id="7" name="Rectangle 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3035" cy="153035"/>
                      </a:xfrm>
                      <a:prstGeom prst="rect">
                        <a:avLst/>
                      </a:prstGeom>
                      <a:solidFill>
                        <a:srgbClr val="FFC000"/>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1" o:spid="_x0000_s2069" style="width:12.05pt;height:12.05pt;margin-top:-8.8pt;margin-left:483.2pt;mso-height-percent:0;mso-height-relative:page;mso-width-percent:0;mso-width-relative:page;mso-wrap-distance-bottom:0;mso-wrap-distance-left:9pt;mso-wrap-distance-right:9pt;mso-wrap-distance-top:0;mso-wrap-style:square;position:absolute;visibility:visible;v-text-anchor:top;z-index:251683840" fillcolor="#ffc000"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76672" behindDoc="0" locked="0" layoutInCell="1" allowOverlap="1">
              <wp:simplePos x="0" y="0"/>
              <wp:positionH relativeFrom="column">
                <wp:posOffset>6289675</wp:posOffset>
              </wp:positionH>
              <wp:positionV relativeFrom="paragraph">
                <wp:posOffset>-165100</wp:posOffset>
              </wp:positionV>
              <wp:extent cx="205740" cy="205740"/>
              <wp:effectExtent l="12700" t="15875" r="10160" b="16510"/>
              <wp:wrapNone/>
              <wp:docPr id="6" name="Rectangle 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FFFFFF"/>
                      </a:solidFill>
                      <a:ln w="19050">
                        <a:solidFill>
                          <a:srgbClr val="F2F2F2"/>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9" o:spid="_x0000_s2070" style="width:16.2pt;height:16.2pt;margin-top:-13pt;margin-left:495.25pt;mso-height-percent:0;mso-height-relative:page;mso-width-percent:0;mso-width-relative:page;mso-wrap-distance-bottom:0;mso-wrap-distance-left:9pt;mso-wrap-distance-right:9pt;mso-wrap-distance-top:0;mso-wrap-style:square;position:absolute;visibility:visible;v-text-anchor:top;z-index:251677696"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80768" behindDoc="0" locked="0" layoutInCell="1" allowOverlap="1">
              <wp:simplePos x="0" y="0"/>
              <wp:positionH relativeFrom="column">
                <wp:posOffset>6289675</wp:posOffset>
              </wp:positionH>
              <wp:positionV relativeFrom="paragraph">
                <wp:posOffset>41275</wp:posOffset>
              </wp:positionV>
              <wp:extent cx="205740" cy="205740"/>
              <wp:effectExtent l="12700" t="12700" r="10160" b="10160"/>
              <wp:wrapNone/>
              <wp:docPr id="5" name="Rectangle 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548DD4"/>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0" o:spid="_x0000_s2071" style="width:16.2pt;height:16.2pt;margin-top:3.25pt;margin-left:495.25pt;mso-height-percent:0;mso-height-relative:page;mso-width-percent:0;mso-width-relative:page;mso-wrap-distance-bottom:0;mso-wrap-distance-left:9pt;mso-wrap-distance-right:9pt;mso-wrap-distance-top:0;mso-wrap-style:square;position:absolute;visibility:visible;v-text-anchor:top;z-index:251681792" fillcolor="#548dd4"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-452755</wp:posOffset>
              </wp:positionH>
              <wp:positionV relativeFrom="paragraph">
                <wp:posOffset>40640</wp:posOffset>
              </wp:positionV>
              <wp:extent cx="6948170" cy="635"/>
              <wp:effectExtent l="13970" t="12065" r="10160" b="15875"/>
              <wp:wrapNone/>
              <wp:docPr id="4" name="AutoShape 7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635"/>
                      </a:xfrm>
                      <a:prstGeom prst="straightConnector1">
                        <a:avLst/>
                      </a:prstGeom>
                      <a:noFill/>
                      <a:ln w="19050">
                        <a:solidFill>
                          <a:srgbClr val="B8CCE4"/>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7" o:spid="_x0000_s2072" type="#_x0000_t32" style="width:547.1pt;height:0.05pt;margin-top:3.2pt;margin-left:-35.65pt;mso-height-percent:0;mso-height-relative:page;mso-width-percent:0;mso-width-relative:page;mso-wrap-distance-bottom:0;mso-wrap-distance-left:9pt;mso-wrap-distance-right:9pt;mso-wrap-distance-top:0;mso-wrap-style:square;position:absolute;visibility:visible;z-index:251673600" strokecolor="#b8cce4"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74624" behindDoc="0" locked="0" layoutInCell="1" allowOverlap="1">
              <wp:simplePos x="0" y="0"/>
              <wp:positionH relativeFrom="column">
                <wp:posOffset>9186545</wp:posOffset>
              </wp:positionH>
              <wp:positionV relativeFrom="paragraph">
                <wp:posOffset>-112395</wp:posOffset>
              </wp:positionV>
              <wp:extent cx="153035" cy="153035"/>
              <wp:effectExtent l="13970" t="11430" r="13970" b="16510"/>
              <wp:wrapNone/>
              <wp:docPr id="819259102" name="Rectangle 7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3035" cy="153035"/>
                      </a:xfrm>
                      <a:prstGeom prst="rect">
                        <a:avLst/>
                      </a:prstGeom>
                      <a:solidFill>
                        <a:srgbClr val="FFC000"/>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8" o:spid="_x0000_s2073" style="width:12.05pt;height:12.05pt;margin-top:-8.85pt;margin-left:723.35pt;mso-height-percent:0;mso-height-relative:page;mso-width-percent:0;mso-width-relative:page;mso-wrap-distance-bottom:0;mso-wrap-distance-left:9pt;mso-wrap-distance-right:9pt;mso-wrap-distance-top:0;mso-wrap-style:square;position:absolute;visibility:visible;v-text-anchor:top;z-index:251675648" fillcolor="#ffc000"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68480" behindDoc="0" locked="0" layoutInCell="1" allowOverlap="1">
              <wp:simplePos x="0" y="0"/>
              <wp:positionH relativeFrom="column">
                <wp:posOffset>9340850</wp:posOffset>
              </wp:positionH>
              <wp:positionV relativeFrom="paragraph">
                <wp:posOffset>40640</wp:posOffset>
              </wp:positionV>
              <wp:extent cx="205740" cy="205740"/>
              <wp:effectExtent l="15875" t="12065" r="16510" b="10795"/>
              <wp:wrapNone/>
              <wp:docPr id="2" name="Rectangle 7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548DD4"/>
                      </a:solidFill>
                      <a:ln w="19050">
                        <a:solidFill>
                          <a:srgbClr val="F2F2F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6" o:spid="_x0000_s2074" style="width:16.2pt;height:16.2pt;margin-top:3.2pt;margin-left:735.5pt;mso-height-percent:0;mso-height-relative:page;mso-width-percent:0;mso-width-relative:page;mso-wrap-distance-bottom:0;mso-wrap-distance-left:9pt;mso-wrap-distance-right:9pt;mso-wrap-distance-top:0;mso-wrap-style:square;position:absolute;visibility:visible;v-text-anchor:top;z-index:251669504" fillcolor="#548dd4" strokecolor="#f2f2f2" strokeweight="1.5pt"/>
          </w:pict>
        </mc:Fallback>
      </mc:AlternateContent>
    </w:r>
    <w:r w:rsidRPr="00650FF1">
      <w:rPr>
        <w:rFonts w:ascii="Arial" w:hAnsi="Arial"/>
        <w:b/>
        <w:noProof/>
        <w:lang w:val="fr-FR" w:eastAsia="fr-FR"/>
      </w:rPr>
      <mc:AlternateContent>
        <mc:Choice Requires="wps">
          <w:drawing>
            <wp:anchor distT="0" distB="0" distL="114300" distR="114300" simplePos="0" relativeHeight="251666432" behindDoc="0" locked="0" layoutInCell="1" allowOverlap="1">
              <wp:simplePos x="0" y="0"/>
              <wp:positionH relativeFrom="column">
                <wp:posOffset>9347200</wp:posOffset>
              </wp:positionH>
              <wp:positionV relativeFrom="paragraph">
                <wp:posOffset>-165100</wp:posOffset>
              </wp:positionV>
              <wp:extent cx="205740" cy="205740"/>
              <wp:effectExtent l="12700" t="15875" r="10160" b="16510"/>
              <wp:wrapNone/>
              <wp:docPr id="1" name="Rectangle 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5740" cy="205740"/>
                      </a:xfrm>
                      <a:prstGeom prst="rect">
                        <a:avLst/>
                      </a:prstGeom>
                      <a:solidFill>
                        <a:srgbClr val="FFFFFF"/>
                      </a:solidFill>
                      <a:ln w="19050">
                        <a:solidFill>
                          <a:srgbClr val="F2F2F2"/>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5" o:spid="_x0000_s2075" style="width:16.2pt;height:16.2pt;margin-top:-13pt;margin-left:736pt;mso-height-percent:0;mso-height-relative:page;mso-width-percent:0;mso-width-relative:page;mso-wrap-distance-bottom:0;mso-wrap-distance-left:9pt;mso-wrap-distance-right:9pt;mso-wrap-distance-top:0;mso-wrap-style:square;position:absolute;visibility:visible;v-text-anchor:top;z-index:251667456" strokecolor="#f2f2f2" strokeweight="1.5pt"/>
          </w:pict>
        </mc:Fallback>
      </mc:AlternateContent>
    </w:r>
    <w:r w:rsidRPr="00650FF1">
      <w:rPr>
        <w:rFonts w:ascii="Arial" w:hAnsi="Arial"/>
        <w:b/>
      </w:rPr>
      <w:tab/>
    </w:r>
    <w:r w:rsidRPr="00650FF1">
      <w:rPr>
        <w:rFonts w:ascii="Arial" w:hAnsi="Arial"/>
        <w:b/>
      </w:rPr>
      <w:tab/>
    </w:r>
  </w:p>
  <w:p w:rsidR="00140FC2" w:rsidRPr="00650FF1" w:rsidP="005C6E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FC2" w:rsidRPr="00650F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0"/>
    <w:multiLevelType w:val="singleLevel"/>
    <w:tmpl w:val="48A2D77E"/>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3FD4FAEC"/>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19F2CFCA"/>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F6B6358E"/>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01F66108"/>
    <w:multiLevelType w:val="hybridMultilevel"/>
    <w:tmpl w:val="0B342FE6"/>
    <w:lvl w:ilvl="0">
      <w:start w:va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3575553"/>
    <w:multiLevelType w:val="hybridMultilevel"/>
    <w:tmpl w:val="25B26F4C"/>
    <w:lvl w:ilvl="0">
      <w:start w:val="1"/>
      <w:numFmt w:val="bullet"/>
      <w:lvlText w:val=""/>
      <w:lvlJc w:val="left"/>
      <w:pPr>
        <w:ind w:left="1440" w:hanging="360"/>
      </w:pPr>
      <w:rPr>
        <w:rFonts w:ascii="Wingdings" w:hAnsi="Wingdings" w:hint="default"/>
        <w:color w:val="548DD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041B373B"/>
    <w:multiLevelType w:val="hybridMultilevel"/>
    <w:tmpl w:val="35C8C404"/>
    <w:lvl w:ilvl="0">
      <w:start w:val="24"/>
      <w:numFmt w:val="bullet"/>
      <w:lvlText w:val="-"/>
      <w:lvlJc w:val="left"/>
      <w:pPr>
        <w:ind w:left="720" w:hanging="360"/>
      </w:pPr>
      <w:rPr>
        <w:rFonts w:ascii="Calibri" w:eastAsia="Times New Roman"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2C839BB"/>
    <w:multiLevelType w:val="hybridMultilevel"/>
    <w:tmpl w:val="4E6E4870"/>
    <w:lvl w:ilvl="0">
      <w:start w:val="1"/>
      <w:numFmt w:val="bullet"/>
      <w:lvlText w:val=""/>
      <w:lvlJc w:val="left"/>
      <w:pPr>
        <w:tabs>
          <w:tab w:val="num" w:pos="922"/>
        </w:tabs>
        <w:ind w:left="922" w:hanging="360"/>
      </w:pPr>
      <w:rPr>
        <w:rFonts w:ascii="Wingdings" w:hAnsi="Wingdings" w:hint="default"/>
        <w:color w:val="548DD4"/>
      </w:rPr>
    </w:lvl>
    <w:lvl w:ilvl="1">
      <w:start w:val="1"/>
      <w:numFmt w:val="bullet"/>
      <w:lvlText w:val="o"/>
      <w:lvlJc w:val="left"/>
      <w:pPr>
        <w:tabs>
          <w:tab w:val="num" w:pos="1642"/>
        </w:tabs>
        <w:ind w:left="1642" w:hanging="360"/>
      </w:pPr>
      <w:rPr>
        <w:rFonts w:ascii="Courier New" w:hAnsi="Courier New" w:cs="Courier New" w:hint="default"/>
      </w:rPr>
    </w:lvl>
    <w:lvl w:ilvl="2">
      <w:start w:val="1"/>
      <w:numFmt w:val="bullet"/>
      <w:lvlText w:val=""/>
      <w:lvlJc w:val="left"/>
      <w:pPr>
        <w:tabs>
          <w:tab w:val="num" w:pos="2362"/>
        </w:tabs>
        <w:ind w:left="2362" w:hanging="360"/>
      </w:pPr>
      <w:rPr>
        <w:rFonts w:ascii="Wingdings" w:hAnsi="Wingdings" w:hint="default"/>
      </w:rPr>
    </w:lvl>
    <w:lvl w:ilvl="3" w:tentative="1">
      <w:start w:val="1"/>
      <w:numFmt w:val="bullet"/>
      <w:lvlText w:val=""/>
      <w:lvlJc w:val="left"/>
      <w:pPr>
        <w:tabs>
          <w:tab w:val="num" w:pos="3082"/>
        </w:tabs>
        <w:ind w:left="3082" w:hanging="360"/>
      </w:pPr>
      <w:rPr>
        <w:rFonts w:ascii="Symbol" w:hAnsi="Symbol" w:hint="default"/>
      </w:rPr>
    </w:lvl>
    <w:lvl w:ilvl="4" w:tentative="1">
      <w:start w:val="1"/>
      <w:numFmt w:val="bullet"/>
      <w:lvlText w:val="o"/>
      <w:lvlJc w:val="left"/>
      <w:pPr>
        <w:tabs>
          <w:tab w:val="num" w:pos="3802"/>
        </w:tabs>
        <w:ind w:left="3802" w:hanging="360"/>
      </w:pPr>
      <w:rPr>
        <w:rFonts w:ascii="Courier New" w:hAnsi="Courier New" w:cs="Courier New" w:hint="default"/>
      </w:rPr>
    </w:lvl>
    <w:lvl w:ilvl="5" w:tentative="1">
      <w:start w:val="1"/>
      <w:numFmt w:val="bullet"/>
      <w:lvlText w:val=""/>
      <w:lvlJc w:val="left"/>
      <w:pPr>
        <w:tabs>
          <w:tab w:val="num" w:pos="4522"/>
        </w:tabs>
        <w:ind w:left="4522" w:hanging="360"/>
      </w:pPr>
      <w:rPr>
        <w:rFonts w:ascii="Wingdings" w:hAnsi="Wingdings" w:hint="default"/>
      </w:rPr>
    </w:lvl>
    <w:lvl w:ilvl="6" w:tentative="1">
      <w:start w:val="1"/>
      <w:numFmt w:val="bullet"/>
      <w:lvlText w:val=""/>
      <w:lvlJc w:val="left"/>
      <w:pPr>
        <w:tabs>
          <w:tab w:val="num" w:pos="5242"/>
        </w:tabs>
        <w:ind w:left="5242" w:hanging="360"/>
      </w:pPr>
      <w:rPr>
        <w:rFonts w:ascii="Symbol" w:hAnsi="Symbol" w:hint="default"/>
      </w:rPr>
    </w:lvl>
    <w:lvl w:ilvl="7" w:tentative="1">
      <w:start w:val="1"/>
      <w:numFmt w:val="bullet"/>
      <w:lvlText w:val="o"/>
      <w:lvlJc w:val="left"/>
      <w:pPr>
        <w:tabs>
          <w:tab w:val="num" w:pos="5962"/>
        </w:tabs>
        <w:ind w:left="5962" w:hanging="360"/>
      </w:pPr>
      <w:rPr>
        <w:rFonts w:ascii="Courier New" w:hAnsi="Courier New" w:cs="Courier New" w:hint="default"/>
      </w:rPr>
    </w:lvl>
    <w:lvl w:ilvl="8" w:tentative="1">
      <w:start w:val="1"/>
      <w:numFmt w:val="bullet"/>
      <w:lvlText w:val=""/>
      <w:lvlJc w:val="left"/>
      <w:pPr>
        <w:tabs>
          <w:tab w:val="num" w:pos="6682"/>
        </w:tabs>
        <w:ind w:left="6682" w:hanging="360"/>
      </w:pPr>
      <w:rPr>
        <w:rFonts w:ascii="Wingdings" w:hAnsi="Wingdings" w:hint="default"/>
      </w:rPr>
    </w:lvl>
  </w:abstractNum>
  <w:abstractNum w:abstractNumId="8">
    <w:nsid w:val="13F43C5B"/>
    <w:multiLevelType w:val="hybridMultilevel"/>
    <w:tmpl w:val="D674CA80"/>
    <w:lvl w:ilvl="0">
      <w:start w:val="1"/>
      <w:numFmt w:val="upperLetter"/>
      <w:pStyle w:val="Title"/>
      <w:lvlText w:val="%1."/>
      <w:lvlJc w:val="left"/>
      <w:pPr>
        <w:ind w:left="720" w:hanging="360"/>
      </w:pPr>
      <w:rPr>
        <w:rFonts w:ascii="Arial Rounded MT Bold" w:hAnsi="Arial Rounded MT Bold" w:hint="default"/>
        <w:b/>
        <w:i w:val="0"/>
        <w:color w:val="FF660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5367D42"/>
    <w:multiLevelType w:val="hybridMultilevel"/>
    <w:tmpl w:val="303A92CC"/>
    <w:lvl w:ilvl="0">
      <w:start w:val="1"/>
      <w:numFmt w:val="lowerLetter"/>
      <w:lvlText w:val="%1. "/>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7832305"/>
    <w:multiLevelType w:val="hybridMultilevel"/>
    <w:tmpl w:val="65E8DF26"/>
    <w:lvl w:ilvl="0">
      <w:start w:val="1"/>
      <w:numFmt w:val="bullet"/>
      <w:lvlText w:val=""/>
      <w:lvlJc w:val="left"/>
      <w:pPr>
        <w:ind w:left="905" w:hanging="360"/>
      </w:pPr>
      <w:rPr>
        <w:rFonts w:ascii="Wingdings" w:hAnsi="Wingdings" w:hint="default"/>
      </w:rPr>
    </w:lvl>
    <w:lvl w:ilvl="1">
      <w:start w:val="1"/>
      <w:numFmt w:val="bullet"/>
      <w:lvlText w:val="o"/>
      <w:lvlJc w:val="left"/>
      <w:pPr>
        <w:ind w:left="1625" w:hanging="360"/>
      </w:pPr>
      <w:rPr>
        <w:rFonts w:ascii="Courier New" w:hAnsi="Courier New" w:cs="Courier New" w:hint="default"/>
      </w:rPr>
    </w:lvl>
    <w:lvl w:ilvl="2" w:tentative="1">
      <w:start w:val="1"/>
      <w:numFmt w:val="bullet"/>
      <w:lvlText w:val=""/>
      <w:lvlJc w:val="left"/>
      <w:pPr>
        <w:ind w:left="2345" w:hanging="360"/>
      </w:pPr>
      <w:rPr>
        <w:rFonts w:ascii="Wingdings" w:hAnsi="Wingdings" w:hint="default"/>
      </w:rPr>
    </w:lvl>
    <w:lvl w:ilvl="3" w:tentative="1">
      <w:start w:val="1"/>
      <w:numFmt w:val="bullet"/>
      <w:lvlText w:val=""/>
      <w:lvlJc w:val="left"/>
      <w:pPr>
        <w:ind w:left="3065" w:hanging="360"/>
      </w:pPr>
      <w:rPr>
        <w:rFonts w:ascii="Symbol" w:hAnsi="Symbol" w:hint="default"/>
      </w:rPr>
    </w:lvl>
    <w:lvl w:ilvl="4" w:tentative="1">
      <w:start w:val="1"/>
      <w:numFmt w:val="bullet"/>
      <w:lvlText w:val="o"/>
      <w:lvlJc w:val="left"/>
      <w:pPr>
        <w:ind w:left="3785" w:hanging="360"/>
      </w:pPr>
      <w:rPr>
        <w:rFonts w:ascii="Courier New" w:hAnsi="Courier New" w:cs="Courier New" w:hint="default"/>
      </w:rPr>
    </w:lvl>
    <w:lvl w:ilvl="5" w:tentative="1">
      <w:start w:val="1"/>
      <w:numFmt w:val="bullet"/>
      <w:lvlText w:val=""/>
      <w:lvlJc w:val="left"/>
      <w:pPr>
        <w:ind w:left="4505" w:hanging="360"/>
      </w:pPr>
      <w:rPr>
        <w:rFonts w:ascii="Wingdings" w:hAnsi="Wingdings" w:hint="default"/>
      </w:rPr>
    </w:lvl>
    <w:lvl w:ilvl="6" w:tentative="1">
      <w:start w:val="1"/>
      <w:numFmt w:val="bullet"/>
      <w:lvlText w:val=""/>
      <w:lvlJc w:val="left"/>
      <w:pPr>
        <w:ind w:left="5225" w:hanging="360"/>
      </w:pPr>
      <w:rPr>
        <w:rFonts w:ascii="Symbol" w:hAnsi="Symbol" w:hint="default"/>
      </w:rPr>
    </w:lvl>
    <w:lvl w:ilvl="7" w:tentative="1">
      <w:start w:val="1"/>
      <w:numFmt w:val="bullet"/>
      <w:lvlText w:val="o"/>
      <w:lvlJc w:val="left"/>
      <w:pPr>
        <w:ind w:left="5945" w:hanging="360"/>
      </w:pPr>
      <w:rPr>
        <w:rFonts w:ascii="Courier New" w:hAnsi="Courier New" w:cs="Courier New" w:hint="default"/>
      </w:rPr>
    </w:lvl>
    <w:lvl w:ilvl="8" w:tentative="1">
      <w:start w:val="1"/>
      <w:numFmt w:val="bullet"/>
      <w:lvlText w:val=""/>
      <w:lvlJc w:val="left"/>
      <w:pPr>
        <w:ind w:left="6665" w:hanging="360"/>
      </w:pPr>
      <w:rPr>
        <w:rFonts w:ascii="Wingdings" w:hAnsi="Wingdings" w:hint="default"/>
      </w:rPr>
    </w:lvl>
  </w:abstractNum>
  <w:abstractNum w:abstractNumId="11">
    <w:nsid w:val="2B5B7805"/>
    <w:multiLevelType w:val="hybridMultilevel"/>
    <w:tmpl w:val="933278E8"/>
    <w:lvl w:ilvl="0">
      <w:start w:val="1"/>
      <w:numFmt w:val="decimal"/>
      <w:lvlText w:val="%1."/>
      <w:lvlJc w:val="left"/>
      <w:pPr>
        <w:ind w:left="896" w:hanging="360"/>
      </w:pPr>
      <w:rPr>
        <w:b/>
        <w:color w:val="auto"/>
      </w:rPr>
    </w:lvl>
    <w:lvl w:ilvl="1">
      <w:start w:val="1"/>
      <w:numFmt w:val="decimal"/>
      <w:lvlText w:val="%2."/>
      <w:lvlJc w:val="left"/>
      <w:pPr>
        <w:ind w:left="1616" w:hanging="360"/>
      </w:pPr>
    </w:lvl>
    <w:lvl w:ilvl="2" w:tentative="1">
      <w:start w:val="1"/>
      <w:numFmt w:val="lowerRoman"/>
      <w:lvlText w:val="%3."/>
      <w:lvlJc w:val="right"/>
      <w:pPr>
        <w:ind w:left="2336" w:hanging="180"/>
      </w:pPr>
    </w:lvl>
    <w:lvl w:ilvl="3" w:tentative="1">
      <w:start w:val="1"/>
      <w:numFmt w:val="decimal"/>
      <w:lvlText w:val="%4."/>
      <w:lvlJc w:val="left"/>
      <w:pPr>
        <w:ind w:left="3056" w:hanging="360"/>
      </w:pPr>
    </w:lvl>
    <w:lvl w:ilvl="4" w:tentative="1">
      <w:start w:val="1"/>
      <w:numFmt w:val="lowerLetter"/>
      <w:lvlText w:val="%5."/>
      <w:lvlJc w:val="left"/>
      <w:pPr>
        <w:ind w:left="3776" w:hanging="360"/>
      </w:pPr>
    </w:lvl>
    <w:lvl w:ilvl="5" w:tentative="1">
      <w:start w:val="1"/>
      <w:numFmt w:val="lowerRoman"/>
      <w:lvlText w:val="%6."/>
      <w:lvlJc w:val="right"/>
      <w:pPr>
        <w:ind w:left="4496" w:hanging="180"/>
      </w:pPr>
    </w:lvl>
    <w:lvl w:ilvl="6" w:tentative="1">
      <w:start w:val="1"/>
      <w:numFmt w:val="decimal"/>
      <w:lvlText w:val="%7."/>
      <w:lvlJc w:val="left"/>
      <w:pPr>
        <w:ind w:left="5216" w:hanging="360"/>
      </w:pPr>
    </w:lvl>
    <w:lvl w:ilvl="7" w:tentative="1">
      <w:start w:val="1"/>
      <w:numFmt w:val="lowerLetter"/>
      <w:lvlText w:val="%8."/>
      <w:lvlJc w:val="left"/>
      <w:pPr>
        <w:ind w:left="5936" w:hanging="360"/>
      </w:pPr>
    </w:lvl>
    <w:lvl w:ilvl="8" w:tentative="1">
      <w:start w:val="1"/>
      <w:numFmt w:val="lowerRoman"/>
      <w:lvlText w:val="%9."/>
      <w:lvlJc w:val="right"/>
      <w:pPr>
        <w:ind w:left="6656" w:hanging="180"/>
      </w:pPr>
    </w:lvl>
  </w:abstractNum>
  <w:abstractNum w:abstractNumId="12">
    <w:nsid w:val="2E2F6AF5"/>
    <w:multiLevelType w:val="hybridMultilevel"/>
    <w:tmpl w:val="EB3AA5F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39C1F19"/>
    <w:multiLevelType w:val="hybridMultilevel"/>
    <w:tmpl w:val="63C0568C"/>
    <w:lvl w:ilvl="0">
      <w:start w:val="1"/>
      <w:numFmt w:val="bullet"/>
      <w:lvlText w:val=""/>
      <w:lvlJc w:val="left"/>
      <w:pPr>
        <w:ind w:left="720" w:hanging="360"/>
      </w:pPr>
      <w:rPr>
        <w:rFonts w:ascii="Wingdings" w:hAnsi="Wingdings" w:hint="default"/>
        <w:color w:val="548DD4" w:themeColor="text2" w:themeTint="99"/>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8887393"/>
    <w:multiLevelType w:val="hybridMultilevel"/>
    <w:tmpl w:val="717AC58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B5F77BF"/>
    <w:multiLevelType w:val="hybridMultilevel"/>
    <w:tmpl w:val="5D54B4C4"/>
    <w:lvl w:ilvl="0">
      <w:start w:val="1"/>
      <w:numFmt w:val="bullet"/>
      <w:lvlText w:val=""/>
      <w:lvlJc w:val="left"/>
      <w:pPr>
        <w:ind w:left="1625" w:hanging="360"/>
      </w:pPr>
      <w:rPr>
        <w:rFonts w:ascii="Wingdings" w:hAnsi="Wingdings" w:hint="default"/>
        <w:color w:val="548DD4" w:themeColor="text2" w:themeTint="99"/>
      </w:rPr>
    </w:lvl>
    <w:lvl w:ilvl="1" w:tentative="1">
      <w:start w:val="1"/>
      <w:numFmt w:val="bullet"/>
      <w:lvlText w:val="o"/>
      <w:lvlJc w:val="left"/>
      <w:pPr>
        <w:ind w:left="2345" w:hanging="360"/>
      </w:pPr>
      <w:rPr>
        <w:rFonts w:ascii="Courier New" w:hAnsi="Courier New" w:cs="Courier New" w:hint="default"/>
      </w:rPr>
    </w:lvl>
    <w:lvl w:ilvl="2" w:tentative="1">
      <w:start w:val="1"/>
      <w:numFmt w:val="bullet"/>
      <w:lvlText w:val=""/>
      <w:lvlJc w:val="left"/>
      <w:pPr>
        <w:ind w:left="3065" w:hanging="360"/>
      </w:pPr>
      <w:rPr>
        <w:rFonts w:ascii="Wingdings" w:hAnsi="Wingdings" w:hint="default"/>
      </w:rPr>
    </w:lvl>
    <w:lvl w:ilvl="3" w:tentative="1">
      <w:start w:val="1"/>
      <w:numFmt w:val="bullet"/>
      <w:lvlText w:val=""/>
      <w:lvlJc w:val="left"/>
      <w:pPr>
        <w:ind w:left="3785" w:hanging="360"/>
      </w:pPr>
      <w:rPr>
        <w:rFonts w:ascii="Symbol" w:hAnsi="Symbol" w:hint="default"/>
      </w:rPr>
    </w:lvl>
    <w:lvl w:ilvl="4" w:tentative="1">
      <w:start w:val="1"/>
      <w:numFmt w:val="bullet"/>
      <w:lvlText w:val="o"/>
      <w:lvlJc w:val="left"/>
      <w:pPr>
        <w:ind w:left="4505" w:hanging="360"/>
      </w:pPr>
      <w:rPr>
        <w:rFonts w:ascii="Courier New" w:hAnsi="Courier New" w:cs="Courier New" w:hint="default"/>
      </w:rPr>
    </w:lvl>
    <w:lvl w:ilvl="5" w:tentative="1">
      <w:start w:val="1"/>
      <w:numFmt w:val="bullet"/>
      <w:lvlText w:val=""/>
      <w:lvlJc w:val="left"/>
      <w:pPr>
        <w:ind w:left="5225" w:hanging="360"/>
      </w:pPr>
      <w:rPr>
        <w:rFonts w:ascii="Wingdings" w:hAnsi="Wingdings" w:hint="default"/>
      </w:rPr>
    </w:lvl>
    <w:lvl w:ilvl="6" w:tentative="1">
      <w:start w:val="1"/>
      <w:numFmt w:val="bullet"/>
      <w:lvlText w:val=""/>
      <w:lvlJc w:val="left"/>
      <w:pPr>
        <w:ind w:left="5945" w:hanging="360"/>
      </w:pPr>
      <w:rPr>
        <w:rFonts w:ascii="Symbol" w:hAnsi="Symbol" w:hint="default"/>
      </w:rPr>
    </w:lvl>
    <w:lvl w:ilvl="7" w:tentative="1">
      <w:start w:val="1"/>
      <w:numFmt w:val="bullet"/>
      <w:lvlText w:val="o"/>
      <w:lvlJc w:val="left"/>
      <w:pPr>
        <w:ind w:left="6665" w:hanging="360"/>
      </w:pPr>
      <w:rPr>
        <w:rFonts w:ascii="Courier New" w:hAnsi="Courier New" w:cs="Courier New" w:hint="default"/>
      </w:rPr>
    </w:lvl>
    <w:lvl w:ilvl="8" w:tentative="1">
      <w:start w:val="1"/>
      <w:numFmt w:val="bullet"/>
      <w:lvlText w:val=""/>
      <w:lvlJc w:val="left"/>
      <w:pPr>
        <w:ind w:left="7385" w:hanging="360"/>
      </w:pPr>
      <w:rPr>
        <w:rFonts w:ascii="Wingdings" w:hAnsi="Wingdings" w:hint="default"/>
      </w:rPr>
    </w:lvl>
  </w:abstractNum>
  <w:abstractNum w:abstractNumId="16">
    <w:nsid w:val="3E186353"/>
    <w:multiLevelType w:val="hybridMultilevel"/>
    <w:tmpl w:val="4218FF6E"/>
    <w:lvl w:ilvl="0">
      <w:start w:val="1"/>
      <w:numFmt w:val="bullet"/>
      <w:lvlText w:val=""/>
      <w:lvlJc w:val="left"/>
      <w:pPr>
        <w:ind w:left="720" w:hanging="360"/>
      </w:pPr>
      <w:rPr>
        <w:rFonts w:ascii="Wingdings" w:hAnsi="Wingdings" w:hint="default"/>
        <w:color w:val="548DD4" w:themeColor="text2" w:themeTint="99"/>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E2021ED"/>
    <w:multiLevelType w:val="multilevel"/>
    <w:tmpl w:val="A27E243A"/>
    <w:lvl w:ilvl="0">
      <w:start w:val="1"/>
      <w:numFmt w:val="decimal"/>
      <w:lvlText w:val="%1."/>
      <w:lvlJc w:val="left"/>
      <w:pPr>
        <w:tabs>
          <w:tab w:val="num" w:pos="360"/>
        </w:tabs>
        <w:ind w:left="360" w:hanging="360"/>
      </w:pPr>
      <w:rPr>
        <w:color w:val="000000"/>
      </w:rPr>
    </w:lvl>
    <w:lvl w:ilvl="1">
      <w:start w:val="1"/>
      <w:numFmt w:val="decimal"/>
      <w:lvlText w:val="%1.%2."/>
      <w:lvlJc w:val="left"/>
      <w:pPr>
        <w:tabs>
          <w:tab w:val="num" w:pos="3758"/>
        </w:tabs>
        <w:ind w:left="3758" w:hanging="432"/>
      </w:pPr>
    </w:lvl>
    <w:lvl w:ilvl="2">
      <w:start w:val="1"/>
      <w:numFmt w:val="decimal"/>
      <w:lvlText w:val="%1.%2.%3."/>
      <w:lvlJc w:val="left"/>
      <w:pPr>
        <w:tabs>
          <w:tab w:val="num" w:pos="1616"/>
        </w:tabs>
        <w:ind w:left="1400" w:hanging="504"/>
      </w:pPr>
    </w:lvl>
    <w:lvl w:ilvl="3">
      <w:start w:val="1"/>
      <w:numFmt w:val="decimal"/>
      <w:lvlText w:val="%1.%2.%3.%4."/>
      <w:lvlJc w:val="left"/>
      <w:pPr>
        <w:tabs>
          <w:tab w:val="num" w:pos="1976"/>
        </w:tabs>
        <w:ind w:left="1904" w:hanging="648"/>
      </w:pPr>
    </w:lvl>
    <w:lvl w:ilvl="4">
      <w:start w:val="1"/>
      <w:numFmt w:val="decimal"/>
      <w:lvlText w:val="%1.%2.%3.%4.%5."/>
      <w:lvlJc w:val="left"/>
      <w:pPr>
        <w:tabs>
          <w:tab w:val="num" w:pos="2696"/>
        </w:tabs>
        <w:ind w:left="2408" w:hanging="792"/>
      </w:pPr>
    </w:lvl>
    <w:lvl w:ilvl="5">
      <w:start w:val="1"/>
      <w:numFmt w:val="decimal"/>
      <w:lvlText w:val="%1.%2.%3.%4.%5.%6."/>
      <w:lvlJc w:val="left"/>
      <w:pPr>
        <w:tabs>
          <w:tab w:val="num" w:pos="3056"/>
        </w:tabs>
        <w:ind w:left="2912" w:hanging="936"/>
      </w:pPr>
    </w:lvl>
    <w:lvl w:ilvl="6">
      <w:start w:val="1"/>
      <w:numFmt w:val="decimal"/>
      <w:lvlText w:val="%1.%2.%3.%4.%5.%6.%7."/>
      <w:lvlJc w:val="left"/>
      <w:pPr>
        <w:tabs>
          <w:tab w:val="num" w:pos="3776"/>
        </w:tabs>
        <w:ind w:left="3416" w:hanging="1080"/>
      </w:pPr>
    </w:lvl>
    <w:lvl w:ilvl="7">
      <w:start w:val="1"/>
      <w:numFmt w:val="decimal"/>
      <w:lvlText w:val="%1.%2.%3.%4.%5.%6.%7.%8."/>
      <w:lvlJc w:val="left"/>
      <w:pPr>
        <w:tabs>
          <w:tab w:val="num" w:pos="4136"/>
        </w:tabs>
        <w:ind w:left="3920" w:hanging="1224"/>
      </w:pPr>
    </w:lvl>
    <w:lvl w:ilvl="8">
      <w:start w:val="1"/>
      <w:numFmt w:val="decimal"/>
      <w:lvlText w:val="%1.%2.%3.%4.%5.%6.%7.%8.%9."/>
      <w:lvlJc w:val="left"/>
      <w:pPr>
        <w:tabs>
          <w:tab w:val="num" w:pos="4856"/>
        </w:tabs>
        <w:ind w:left="4496" w:hanging="1440"/>
      </w:pPr>
    </w:lvl>
  </w:abstractNum>
  <w:abstractNum w:abstractNumId="18">
    <w:nsid w:val="40716372"/>
    <w:multiLevelType w:val="hybridMultilevel"/>
    <w:tmpl w:val="BCA24690"/>
    <w:lvl w:ilvl="0">
      <w:start w:val="1"/>
      <w:numFmt w:val="bullet"/>
      <w:lvlText w:val=""/>
      <w:lvlJc w:val="left"/>
      <w:pPr>
        <w:ind w:left="720" w:hanging="360"/>
      </w:pPr>
      <w:rPr>
        <w:rFonts w:ascii="Wingdings" w:hAnsi="Wingdings" w:hint="default"/>
        <w:color w:val="548DD4" w:themeColor="text2" w:themeTint="99"/>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22971B7"/>
    <w:multiLevelType w:val="hybridMultilevel"/>
    <w:tmpl w:val="1570BA32"/>
    <w:lvl w:ilvl="0">
      <w:start w:val="1"/>
      <w:numFmt w:val="lowerLetter"/>
      <w:lvlText w:val="%1)"/>
      <w:lvlJc w:val="left"/>
      <w:pPr>
        <w:tabs>
          <w:tab w:val="num" w:pos="1811"/>
        </w:tabs>
        <w:ind w:left="1811" w:hanging="360"/>
      </w:pPr>
    </w:lvl>
    <w:lvl w:ilvl="1" w:tentative="1">
      <w:start w:val="1"/>
      <w:numFmt w:val="lowerLetter"/>
      <w:lvlText w:val="%2."/>
      <w:lvlJc w:val="left"/>
      <w:pPr>
        <w:tabs>
          <w:tab w:val="num" w:pos="2531"/>
        </w:tabs>
        <w:ind w:left="2531" w:hanging="360"/>
      </w:pPr>
    </w:lvl>
    <w:lvl w:ilvl="2" w:tentative="1">
      <w:start w:val="1"/>
      <w:numFmt w:val="lowerRoman"/>
      <w:lvlText w:val="%3."/>
      <w:lvlJc w:val="right"/>
      <w:pPr>
        <w:tabs>
          <w:tab w:val="num" w:pos="3251"/>
        </w:tabs>
        <w:ind w:left="3251" w:hanging="180"/>
      </w:pPr>
    </w:lvl>
    <w:lvl w:ilvl="3" w:tentative="1">
      <w:start w:val="1"/>
      <w:numFmt w:val="decimal"/>
      <w:lvlText w:val="%4."/>
      <w:lvlJc w:val="left"/>
      <w:pPr>
        <w:tabs>
          <w:tab w:val="num" w:pos="3971"/>
        </w:tabs>
        <w:ind w:left="3971" w:hanging="360"/>
      </w:pPr>
    </w:lvl>
    <w:lvl w:ilvl="4" w:tentative="1">
      <w:start w:val="1"/>
      <w:numFmt w:val="lowerLetter"/>
      <w:lvlText w:val="%5."/>
      <w:lvlJc w:val="left"/>
      <w:pPr>
        <w:tabs>
          <w:tab w:val="num" w:pos="4691"/>
        </w:tabs>
        <w:ind w:left="4691" w:hanging="360"/>
      </w:pPr>
    </w:lvl>
    <w:lvl w:ilvl="5" w:tentative="1">
      <w:start w:val="1"/>
      <w:numFmt w:val="lowerRoman"/>
      <w:lvlText w:val="%6."/>
      <w:lvlJc w:val="right"/>
      <w:pPr>
        <w:tabs>
          <w:tab w:val="num" w:pos="5411"/>
        </w:tabs>
        <w:ind w:left="5411" w:hanging="180"/>
      </w:pPr>
    </w:lvl>
    <w:lvl w:ilvl="6" w:tentative="1">
      <w:start w:val="1"/>
      <w:numFmt w:val="decimal"/>
      <w:lvlText w:val="%7."/>
      <w:lvlJc w:val="left"/>
      <w:pPr>
        <w:tabs>
          <w:tab w:val="num" w:pos="6131"/>
        </w:tabs>
        <w:ind w:left="6131" w:hanging="360"/>
      </w:pPr>
    </w:lvl>
    <w:lvl w:ilvl="7" w:tentative="1">
      <w:start w:val="1"/>
      <w:numFmt w:val="lowerLetter"/>
      <w:lvlText w:val="%8."/>
      <w:lvlJc w:val="left"/>
      <w:pPr>
        <w:tabs>
          <w:tab w:val="num" w:pos="6851"/>
        </w:tabs>
        <w:ind w:left="6851" w:hanging="360"/>
      </w:pPr>
    </w:lvl>
    <w:lvl w:ilvl="8" w:tentative="1">
      <w:start w:val="1"/>
      <w:numFmt w:val="lowerRoman"/>
      <w:lvlText w:val="%9."/>
      <w:lvlJc w:val="right"/>
      <w:pPr>
        <w:tabs>
          <w:tab w:val="num" w:pos="7571"/>
        </w:tabs>
        <w:ind w:left="7571" w:hanging="180"/>
      </w:pPr>
    </w:lvl>
  </w:abstractNum>
  <w:abstractNum w:abstractNumId="20">
    <w:nsid w:val="473C0553"/>
    <w:multiLevelType w:val="hybridMultilevel"/>
    <w:tmpl w:val="F1C6FCDE"/>
    <w:lvl w:ilvl="0">
      <w:start w:val="1"/>
      <w:numFmt w:val="lowerLetter"/>
      <w:lvlText w:val="%1)"/>
      <w:lvlJc w:val="left"/>
      <w:pPr>
        <w:ind w:left="1265" w:hanging="360"/>
      </w:pPr>
      <w:rPr>
        <w:rFonts w:hint="default"/>
      </w:rPr>
    </w:lvl>
    <w:lvl w:ilvl="1" w:tentative="1">
      <w:start w:val="1"/>
      <w:numFmt w:val="lowerLetter"/>
      <w:lvlText w:val="%2."/>
      <w:lvlJc w:val="left"/>
      <w:pPr>
        <w:ind w:left="1985" w:hanging="360"/>
      </w:pPr>
    </w:lvl>
    <w:lvl w:ilvl="2" w:tentative="1">
      <w:start w:val="1"/>
      <w:numFmt w:val="lowerRoman"/>
      <w:lvlText w:val="%3."/>
      <w:lvlJc w:val="right"/>
      <w:pPr>
        <w:ind w:left="2705" w:hanging="180"/>
      </w:pPr>
    </w:lvl>
    <w:lvl w:ilvl="3" w:tentative="1">
      <w:start w:val="1"/>
      <w:numFmt w:val="decimal"/>
      <w:lvlText w:val="%4."/>
      <w:lvlJc w:val="left"/>
      <w:pPr>
        <w:ind w:left="3425" w:hanging="360"/>
      </w:pPr>
    </w:lvl>
    <w:lvl w:ilvl="4" w:tentative="1">
      <w:start w:val="1"/>
      <w:numFmt w:val="lowerLetter"/>
      <w:lvlText w:val="%5."/>
      <w:lvlJc w:val="left"/>
      <w:pPr>
        <w:ind w:left="4145" w:hanging="360"/>
      </w:pPr>
    </w:lvl>
    <w:lvl w:ilvl="5" w:tentative="1">
      <w:start w:val="1"/>
      <w:numFmt w:val="lowerRoman"/>
      <w:lvlText w:val="%6."/>
      <w:lvlJc w:val="right"/>
      <w:pPr>
        <w:ind w:left="4865" w:hanging="180"/>
      </w:pPr>
    </w:lvl>
    <w:lvl w:ilvl="6" w:tentative="1">
      <w:start w:val="1"/>
      <w:numFmt w:val="decimal"/>
      <w:lvlText w:val="%7."/>
      <w:lvlJc w:val="left"/>
      <w:pPr>
        <w:ind w:left="5585" w:hanging="360"/>
      </w:pPr>
    </w:lvl>
    <w:lvl w:ilvl="7" w:tentative="1">
      <w:start w:val="1"/>
      <w:numFmt w:val="lowerLetter"/>
      <w:lvlText w:val="%8."/>
      <w:lvlJc w:val="left"/>
      <w:pPr>
        <w:ind w:left="6305" w:hanging="360"/>
      </w:pPr>
    </w:lvl>
    <w:lvl w:ilvl="8" w:tentative="1">
      <w:start w:val="1"/>
      <w:numFmt w:val="lowerRoman"/>
      <w:lvlText w:val="%9."/>
      <w:lvlJc w:val="right"/>
      <w:pPr>
        <w:ind w:left="7025" w:hanging="180"/>
      </w:pPr>
    </w:lvl>
  </w:abstractNum>
  <w:abstractNum w:abstractNumId="21">
    <w:nsid w:val="4813480F"/>
    <w:multiLevelType w:val="hybridMultilevel"/>
    <w:tmpl w:val="56B83B9A"/>
    <w:lvl w:ilvl="0">
      <w:start w:val="1"/>
      <w:numFmt w:val="bullet"/>
      <w:lvlText w:val=""/>
      <w:lvlJc w:val="left"/>
      <w:pPr>
        <w:tabs>
          <w:tab w:val="num" w:pos="922"/>
        </w:tabs>
        <w:ind w:left="922" w:hanging="360"/>
      </w:pPr>
      <w:rPr>
        <w:rFonts w:ascii="Wingdings" w:hAnsi="Wingdings" w:hint="default"/>
        <w:color w:val="548DD4"/>
      </w:rPr>
    </w:lvl>
    <w:lvl w:ilvl="1">
      <w:start w:val="1"/>
      <w:numFmt w:val="bullet"/>
      <w:lvlText w:val=""/>
      <w:lvlJc w:val="left"/>
      <w:pPr>
        <w:tabs>
          <w:tab w:val="num" w:pos="1642"/>
        </w:tabs>
        <w:ind w:left="1642" w:hanging="360"/>
      </w:pPr>
      <w:rPr>
        <w:rFonts w:ascii="Wingdings" w:hAnsi="Wingdings" w:hint="default"/>
        <w:color w:val="548DD4"/>
      </w:rPr>
    </w:lvl>
    <w:lvl w:ilvl="2">
      <w:start w:val="1"/>
      <w:numFmt w:val="bullet"/>
      <w:lvlText w:val=""/>
      <w:lvlJc w:val="left"/>
      <w:pPr>
        <w:tabs>
          <w:tab w:val="num" w:pos="2362"/>
        </w:tabs>
        <w:ind w:left="2362" w:hanging="360"/>
      </w:pPr>
      <w:rPr>
        <w:rFonts w:ascii="Wingdings" w:hAnsi="Wingdings" w:hint="default"/>
      </w:rPr>
    </w:lvl>
    <w:lvl w:ilvl="3" w:tentative="1">
      <w:start w:val="1"/>
      <w:numFmt w:val="bullet"/>
      <w:lvlText w:val=""/>
      <w:lvlJc w:val="left"/>
      <w:pPr>
        <w:tabs>
          <w:tab w:val="num" w:pos="3082"/>
        </w:tabs>
        <w:ind w:left="3082" w:hanging="360"/>
      </w:pPr>
      <w:rPr>
        <w:rFonts w:ascii="Symbol" w:hAnsi="Symbol" w:hint="default"/>
      </w:rPr>
    </w:lvl>
    <w:lvl w:ilvl="4" w:tentative="1">
      <w:start w:val="1"/>
      <w:numFmt w:val="bullet"/>
      <w:lvlText w:val="o"/>
      <w:lvlJc w:val="left"/>
      <w:pPr>
        <w:tabs>
          <w:tab w:val="num" w:pos="3802"/>
        </w:tabs>
        <w:ind w:left="3802" w:hanging="360"/>
      </w:pPr>
      <w:rPr>
        <w:rFonts w:ascii="Courier New" w:hAnsi="Courier New" w:cs="Courier New" w:hint="default"/>
      </w:rPr>
    </w:lvl>
    <w:lvl w:ilvl="5" w:tentative="1">
      <w:start w:val="1"/>
      <w:numFmt w:val="bullet"/>
      <w:lvlText w:val=""/>
      <w:lvlJc w:val="left"/>
      <w:pPr>
        <w:tabs>
          <w:tab w:val="num" w:pos="4522"/>
        </w:tabs>
        <w:ind w:left="4522" w:hanging="360"/>
      </w:pPr>
      <w:rPr>
        <w:rFonts w:ascii="Wingdings" w:hAnsi="Wingdings" w:hint="default"/>
      </w:rPr>
    </w:lvl>
    <w:lvl w:ilvl="6" w:tentative="1">
      <w:start w:val="1"/>
      <w:numFmt w:val="bullet"/>
      <w:lvlText w:val=""/>
      <w:lvlJc w:val="left"/>
      <w:pPr>
        <w:tabs>
          <w:tab w:val="num" w:pos="5242"/>
        </w:tabs>
        <w:ind w:left="5242" w:hanging="360"/>
      </w:pPr>
      <w:rPr>
        <w:rFonts w:ascii="Symbol" w:hAnsi="Symbol" w:hint="default"/>
      </w:rPr>
    </w:lvl>
    <w:lvl w:ilvl="7" w:tentative="1">
      <w:start w:val="1"/>
      <w:numFmt w:val="bullet"/>
      <w:lvlText w:val="o"/>
      <w:lvlJc w:val="left"/>
      <w:pPr>
        <w:tabs>
          <w:tab w:val="num" w:pos="5962"/>
        </w:tabs>
        <w:ind w:left="5962" w:hanging="360"/>
      </w:pPr>
      <w:rPr>
        <w:rFonts w:ascii="Courier New" w:hAnsi="Courier New" w:cs="Courier New" w:hint="default"/>
      </w:rPr>
    </w:lvl>
    <w:lvl w:ilvl="8" w:tentative="1">
      <w:start w:val="1"/>
      <w:numFmt w:val="bullet"/>
      <w:lvlText w:val=""/>
      <w:lvlJc w:val="left"/>
      <w:pPr>
        <w:tabs>
          <w:tab w:val="num" w:pos="6682"/>
        </w:tabs>
        <w:ind w:left="6682" w:hanging="360"/>
      </w:pPr>
      <w:rPr>
        <w:rFonts w:ascii="Wingdings" w:hAnsi="Wingdings" w:hint="default"/>
      </w:rPr>
    </w:lvl>
  </w:abstractNum>
  <w:abstractNum w:abstractNumId="22">
    <w:nsid w:val="48D30D3E"/>
    <w:multiLevelType w:val="hybridMultilevel"/>
    <w:tmpl w:val="4A0ABE66"/>
    <w:lvl w:ilvl="0">
      <w:start w:val="1"/>
      <w:numFmt w:val="bullet"/>
      <w:lvlText w:val=""/>
      <w:lvlJc w:val="left"/>
      <w:pPr>
        <w:ind w:left="1625" w:hanging="360"/>
      </w:pPr>
      <w:rPr>
        <w:rFonts w:ascii="Wingdings" w:hAnsi="Wingdings" w:hint="default"/>
        <w:color w:val="548DD4" w:themeColor="text2" w:themeTint="99"/>
      </w:rPr>
    </w:lvl>
    <w:lvl w:ilvl="1" w:tentative="1">
      <w:start w:val="1"/>
      <w:numFmt w:val="bullet"/>
      <w:lvlText w:val="o"/>
      <w:lvlJc w:val="left"/>
      <w:pPr>
        <w:ind w:left="2345" w:hanging="360"/>
      </w:pPr>
      <w:rPr>
        <w:rFonts w:ascii="Courier New" w:hAnsi="Courier New" w:cs="Courier New" w:hint="default"/>
      </w:rPr>
    </w:lvl>
    <w:lvl w:ilvl="2" w:tentative="1">
      <w:start w:val="1"/>
      <w:numFmt w:val="bullet"/>
      <w:lvlText w:val=""/>
      <w:lvlJc w:val="left"/>
      <w:pPr>
        <w:ind w:left="3065" w:hanging="360"/>
      </w:pPr>
      <w:rPr>
        <w:rFonts w:ascii="Wingdings" w:hAnsi="Wingdings" w:hint="default"/>
      </w:rPr>
    </w:lvl>
    <w:lvl w:ilvl="3" w:tentative="1">
      <w:start w:val="1"/>
      <w:numFmt w:val="bullet"/>
      <w:lvlText w:val=""/>
      <w:lvlJc w:val="left"/>
      <w:pPr>
        <w:ind w:left="3785" w:hanging="360"/>
      </w:pPr>
      <w:rPr>
        <w:rFonts w:ascii="Symbol" w:hAnsi="Symbol" w:hint="default"/>
      </w:rPr>
    </w:lvl>
    <w:lvl w:ilvl="4" w:tentative="1">
      <w:start w:val="1"/>
      <w:numFmt w:val="bullet"/>
      <w:lvlText w:val="o"/>
      <w:lvlJc w:val="left"/>
      <w:pPr>
        <w:ind w:left="4505" w:hanging="360"/>
      </w:pPr>
      <w:rPr>
        <w:rFonts w:ascii="Courier New" w:hAnsi="Courier New" w:cs="Courier New" w:hint="default"/>
      </w:rPr>
    </w:lvl>
    <w:lvl w:ilvl="5" w:tentative="1">
      <w:start w:val="1"/>
      <w:numFmt w:val="bullet"/>
      <w:lvlText w:val=""/>
      <w:lvlJc w:val="left"/>
      <w:pPr>
        <w:ind w:left="5225" w:hanging="360"/>
      </w:pPr>
      <w:rPr>
        <w:rFonts w:ascii="Wingdings" w:hAnsi="Wingdings" w:hint="default"/>
      </w:rPr>
    </w:lvl>
    <w:lvl w:ilvl="6" w:tentative="1">
      <w:start w:val="1"/>
      <w:numFmt w:val="bullet"/>
      <w:lvlText w:val=""/>
      <w:lvlJc w:val="left"/>
      <w:pPr>
        <w:ind w:left="5945" w:hanging="360"/>
      </w:pPr>
      <w:rPr>
        <w:rFonts w:ascii="Symbol" w:hAnsi="Symbol" w:hint="default"/>
      </w:rPr>
    </w:lvl>
    <w:lvl w:ilvl="7" w:tentative="1">
      <w:start w:val="1"/>
      <w:numFmt w:val="bullet"/>
      <w:lvlText w:val="o"/>
      <w:lvlJc w:val="left"/>
      <w:pPr>
        <w:ind w:left="6665" w:hanging="360"/>
      </w:pPr>
      <w:rPr>
        <w:rFonts w:ascii="Courier New" w:hAnsi="Courier New" w:cs="Courier New" w:hint="default"/>
      </w:rPr>
    </w:lvl>
    <w:lvl w:ilvl="8" w:tentative="1">
      <w:start w:val="1"/>
      <w:numFmt w:val="bullet"/>
      <w:lvlText w:val=""/>
      <w:lvlJc w:val="left"/>
      <w:pPr>
        <w:ind w:left="7385" w:hanging="360"/>
      </w:pPr>
      <w:rPr>
        <w:rFonts w:ascii="Wingdings" w:hAnsi="Wingdings" w:hint="default"/>
      </w:rPr>
    </w:lvl>
  </w:abstractNum>
  <w:abstractNum w:abstractNumId="23">
    <w:nsid w:val="558510A8"/>
    <w:multiLevelType w:val="hybridMultilevel"/>
    <w:tmpl w:val="53929CE6"/>
    <w:lvl w:ilvl="0">
      <w:start w:val="1"/>
      <w:numFmt w:val="bullet"/>
      <w:lvlText w:val=""/>
      <w:lvlJc w:val="left"/>
      <w:pPr>
        <w:ind w:left="720" w:hanging="360"/>
      </w:pPr>
      <w:rPr>
        <w:rFonts w:ascii="Wingdings" w:hAnsi="Wingdings" w:hint="default"/>
        <w:color w:val="548DD4" w:themeColor="text2" w:themeTint="99"/>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6C45D0D"/>
    <w:multiLevelType w:val="hybridMultilevel"/>
    <w:tmpl w:val="114E42D6"/>
    <w:lvl w:ilvl="0">
      <w:start w:val="1"/>
      <w:numFmt w:val="bullet"/>
      <w:lvlText w:val=""/>
      <w:lvlJc w:val="left"/>
      <w:pPr>
        <w:ind w:left="1146" w:hanging="360"/>
      </w:pPr>
      <w:rPr>
        <w:rFonts w:ascii="Wingdings" w:hAnsi="Wingdings" w:hint="default"/>
        <w:color w:val="548DD4"/>
      </w:rPr>
    </w:lvl>
    <w:lvl w:ilvl="1">
      <w:start w:val="1"/>
      <w:numFmt w:val="bullet"/>
      <w:lvlText w:val="o"/>
      <w:lvlJc w:val="left"/>
      <w:pPr>
        <w:ind w:left="1866" w:hanging="360"/>
      </w:pPr>
      <w:rPr>
        <w:rFonts w:ascii="Courier New" w:hAnsi="Courier New" w:cs="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abstractNum w:abstractNumId="25">
    <w:nsid w:val="57191C0E"/>
    <w:multiLevelType w:val="hybridMultilevel"/>
    <w:tmpl w:val="B70CF41E"/>
    <w:lvl w:ilvl="0">
      <w:start w:val="1"/>
      <w:numFmt w:val="lowerLetter"/>
      <w:lvlText w:val="%1."/>
      <w:lvlJc w:val="left"/>
      <w:pPr>
        <w:ind w:left="905" w:hanging="360"/>
      </w:pPr>
      <w:rPr>
        <w:rFonts w:asciiTheme="minorHAnsi" w:hAnsiTheme="minorHAnsi" w:hint="default"/>
        <w:b w:val="0"/>
        <w:i w:val="0"/>
        <w:color w:val="auto"/>
      </w:rPr>
    </w:lvl>
    <w:lvl w:ilvl="1">
      <w:start w:val="1"/>
      <w:numFmt w:val="upperLetter"/>
      <w:lvlText w:val="%2."/>
      <w:lvlJc w:val="left"/>
      <w:pPr>
        <w:ind w:left="1625" w:hanging="360"/>
      </w:pPr>
      <w:rPr>
        <w:rFonts w:hint="default"/>
      </w:rPr>
    </w:lvl>
    <w:lvl w:ilvl="2" w:tentative="1">
      <w:start w:val="1"/>
      <w:numFmt w:val="lowerRoman"/>
      <w:lvlText w:val="%3."/>
      <w:lvlJc w:val="right"/>
      <w:pPr>
        <w:ind w:left="2345" w:hanging="180"/>
      </w:pPr>
    </w:lvl>
    <w:lvl w:ilvl="3" w:tentative="1">
      <w:start w:val="1"/>
      <w:numFmt w:val="decimal"/>
      <w:lvlText w:val="%4."/>
      <w:lvlJc w:val="left"/>
      <w:pPr>
        <w:ind w:left="3065" w:hanging="360"/>
      </w:pPr>
    </w:lvl>
    <w:lvl w:ilvl="4" w:tentative="1">
      <w:start w:val="1"/>
      <w:numFmt w:val="lowerLetter"/>
      <w:lvlText w:val="%5."/>
      <w:lvlJc w:val="left"/>
      <w:pPr>
        <w:ind w:left="3785" w:hanging="360"/>
      </w:pPr>
    </w:lvl>
    <w:lvl w:ilvl="5" w:tentative="1">
      <w:start w:val="1"/>
      <w:numFmt w:val="lowerRoman"/>
      <w:lvlText w:val="%6."/>
      <w:lvlJc w:val="right"/>
      <w:pPr>
        <w:ind w:left="4505" w:hanging="180"/>
      </w:pPr>
    </w:lvl>
    <w:lvl w:ilvl="6" w:tentative="1">
      <w:start w:val="1"/>
      <w:numFmt w:val="decimal"/>
      <w:lvlText w:val="%7."/>
      <w:lvlJc w:val="left"/>
      <w:pPr>
        <w:ind w:left="5225" w:hanging="360"/>
      </w:pPr>
    </w:lvl>
    <w:lvl w:ilvl="7" w:tentative="1">
      <w:start w:val="1"/>
      <w:numFmt w:val="lowerLetter"/>
      <w:lvlText w:val="%8."/>
      <w:lvlJc w:val="left"/>
      <w:pPr>
        <w:ind w:left="5945" w:hanging="360"/>
      </w:pPr>
    </w:lvl>
    <w:lvl w:ilvl="8" w:tentative="1">
      <w:start w:val="1"/>
      <w:numFmt w:val="lowerRoman"/>
      <w:lvlText w:val="%9."/>
      <w:lvlJc w:val="right"/>
      <w:pPr>
        <w:ind w:left="6665" w:hanging="180"/>
      </w:pPr>
    </w:lvl>
  </w:abstractNum>
  <w:abstractNum w:abstractNumId="26">
    <w:nsid w:val="5AC20F39"/>
    <w:multiLevelType w:val="hybridMultilevel"/>
    <w:tmpl w:val="856015FA"/>
    <w:lvl w:ilvl="0">
      <w:start w:val="1"/>
      <w:numFmt w:val="bullet"/>
      <w:lvlText w:val=""/>
      <w:lvlJc w:val="left"/>
      <w:pPr>
        <w:ind w:left="1080" w:hanging="360"/>
      </w:pPr>
      <w:rPr>
        <w:rFonts w:ascii="Wingdings" w:hAnsi="Wingdings" w:hint="default"/>
        <w:color w:val="548DD4" w:themeColor="text2" w:themeTint="99"/>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5C2F50D4"/>
    <w:multiLevelType w:val="hybridMultilevel"/>
    <w:tmpl w:val="21AE6020"/>
    <w:lvl w:ilvl="0">
      <w:start w:val="1"/>
      <w:numFmt w:val="bullet"/>
      <w:pStyle w:val="PUNTOS"/>
      <w:lvlText w:val="n"/>
      <w:lvlJc w:val="left"/>
      <w:pPr>
        <w:ind w:left="905" w:hanging="360"/>
      </w:pPr>
      <w:rPr>
        <w:rFonts w:ascii="Wingdings" w:hAnsi="Wingdings" w:hint="default"/>
        <w:color w:val="FFC000"/>
      </w:rPr>
    </w:lvl>
    <w:lvl w:ilvl="1">
      <w:start w:val="1"/>
      <w:numFmt w:val="bullet"/>
      <w:lvlText w:val="o"/>
      <w:lvlJc w:val="left"/>
      <w:pPr>
        <w:ind w:left="1625" w:hanging="360"/>
      </w:pPr>
      <w:rPr>
        <w:rFonts w:ascii="Courier New" w:hAnsi="Courier New" w:cs="Courier New" w:hint="default"/>
      </w:rPr>
    </w:lvl>
    <w:lvl w:ilvl="2" w:tentative="1">
      <w:start w:val="1"/>
      <w:numFmt w:val="bullet"/>
      <w:lvlText w:val=""/>
      <w:lvlJc w:val="left"/>
      <w:pPr>
        <w:ind w:left="2345" w:hanging="360"/>
      </w:pPr>
      <w:rPr>
        <w:rFonts w:ascii="Wingdings" w:hAnsi="Wingdings" w:hint="default"/>
      </w:rPr>
    </w:lvl>
    <w:lvl w:ilvl="3" w:tentative="1">
      <w:start w:val="1"/>
      <w:numFmt w:val="bullet"/>
      <w:lvlText w:val=""/>
      <w:lvlJc w:val="left"/>
      <w:pPr>
        <w:ind w:left="3065" w:hanging="360"/>
      </w:pPr>
      <w:rPr>
        <w:rFonts w:ascii="Symbol" w:hAnsi="Symbol" w:hint="default"/>
      </w:rPr>
    </w:lvl>
    <w:lvl w:ilvl="4" w:tentative="1">
      <w:start w:val="1"/>
      <w:numFmt w:val="bullet"/>
      <w:lvlText w:val="o"/>
      <w:lvlJc w:val="left"/>
      <w:pPr>
        <w:ind w:left="3785" w:hanging="360"/>
      </w:pPr>
      <w:rPr>
        <w:rFonts w:ascii="Courier New" w:hAnsi="Courier New" w:cs="Courier New" w:hint="default"/>
      </w:rPr>
    </w:lvl>
    <w:lvl w:ilvl="5" w:tentative="1">
      <w:start w:val="1"/>
      <w:numFmt w:val="bullet"/>
      <w:lvlText w:val=""/>
      <w:lvlJc w:val="left"/>
      <w:pPr>
        <w:ind w:left="4505" w:hanging="360"/>
      </w:pPr>
      <w:rPr>
        <w:rFonts w:ascii="Wingdings" w:hAnsi="Wingdings" w:hint="default"/>
      </w:rPr>
    </w:lvl>
    <w:lvl w:ilvl="6" w:tentative="1">
      <w:start w:val="1"/>
      <w:numFmt w:val="bullet"/>
      <w:lvlText w:val=""/>
      <w:lvlJc w:val="left"/>
      <w:pPr>
        <w:ind w:left="5225" w:hanging="360"/>
      </w:pPr>
      <w:rPr>
        <w:rFonts w:ascii="Symbol" w:hAnsi="Symbol" w:hint="default"/>
      </w:rPr>
    </w:lvl>
    <w:lvl w:ilvl="7" w:tentative="1">
      <w:start w:val="1"/>
      <w:numFmt w:val="bullet"/>
      <w:lvlText w:val="o"/>
      <w:lvlJc w:val="left"/>
      <w:pPr>
        <w:ind w:left="5945" w:hanging="360"/>
      </w:pPr>
      <w:rPr>
        <w:rFonts w:ascii="Courier New" w:hAnsi="Courier New" w:cs="Courier New" w:hint="default"/>
      </w:rPr>
    </w:lvl>
    <w:lvl w:ilvl="8" w:tentative="1">
      <w:start w:val="1"/>
      <w:numFmt w:val="bullet"/>
      <w:lvlText w:val=""/>
      <w:lvlJc w:val="left"/>
      <w:pPr>
        <w:ind w:left="6665" w:hanging="360"/>
      </w:pPr>
      <w:rPr>
        <w:rFonts w:ascii="Wingdings" w:hAnsi="Wingdings" w:hint="default"/>
      </w:rPr>
    </w:lvl>
  </w:abstractNum>
  <w:abstractNum w:abstractNumId="28">
    <w:nsid w:val="5EAD4E9A"/>
    <w:multiLevelType w:val="hybridMultilevel"/>
    <w:tmpl w:val="D2B29AAA"/>
    <w:lvl w:ilvl="0">
      <w:start w:val="1"/>
      <w:numFmt w:val="lowerLetter"/>
      <w:lvlText w:val="%1)"/>
      <w:lvlJc w:val="left"/>
      <w:pPr>
        <w:ind w:left="1265" w:hanging="360"/>
      </w:pPr>
      <w:rPr>
        <w:rFonts w:hint="default"/>
      </w:rPr>
    </w:lvl>
    <w:lvl w:ilvl="1" w:tentative="1">
      <w:start w:val="1"/>
      <w:numFmt w:val="lowerLetter"/>
      <w:lvlText w:val="%2."/>
      <w:lvlJc w:val="left"/>
      <w:pPr>
        <w:ind w:left="1985" w:hanging="360"/>
      </w:pPr>
    </w:lvl>
    <w:lvl w:ilvl="2" w:tentative="1">
      <w:start w:val="1"/>
      <w:numFmt w:val="lowerRoman"/>
      <w:lvlText w:val="%3."/>
      <w:lvlJc w:val="right"/>
      <w:pPr>
        <w:ind w:left="2705" w:hanging="180"/>
      </w:pPr>
    </w:lvl>
    <w:lvl w:ilvl="3" w:tentative="1">
      <w:start w:val="1"/>
      <w:numFmt w:val="decimal"/>
      <w:lvlText w:val="%4."/>
      <w:lvlJc w:val="left"/>
      <w:pPr>
        <w:ind w:left="3425" w:hanging="360"/>
      </w:pPr>
    </w:lvl>
    <w:lvl w:ilvl="4" w:tentative="1">
      <w:start w:val="1"/>
      <w:numFmt w:val="lowerLetter"/>
      <w:lvlText w:val="%5."/>
      <w:lvlJc w:val="left"/>
      <w:pPr>
        <w:ind w:left="4145" w:hanging="360"/>
      </w:pPr>
    </w:lvl>
    <w:lvl w:ilvl="5" w:tentative="1">
      <w:start w:val="1"/>
      <w:numFmt w:val="lowerRoman"/>
      <w:lvlText w:val="%6."/>
      <w:lvlJc w:val="right"/>
      <w:pPr>
        <w:ind w:left="4865" w:hanging="180"/>
      </w:pPr>
    </w:lvl>
    <w:lvl w:ilvl="6" w:tentative="1">
      <w:start w:val="1"/>
      <w:numFmt w:val="decimal"/>
      <w:lvlText w:val="%7."/>
      <w:lvlJc w:val="left"/>
      <w:pPr>
        <w:ind w:left="5585" w:hanging="360"/>
      </w:pPr>
    </w:lvl>
    <w:lvl w:ilvl="7" w:tentative="1">
      <w:start w:val="1"/>
      <w:numFmt w:val="lowerLetter"/>
      <w:lvlText w:val="%8."/>
      <w:lvlJc w:val="left"/>
      <w:pPr>
        <w:ind w:left="6305" w:hanging="360"/>
      </w:pPr>
    </w:lvl>
    <w:lvl w:ilvl="8" w:tentative="1">
      <w:start w:val="1"/>
      <w:numFmt w:val="lowerRoman"/>
      <w:lvlText w:val="%9."/>
      <w:lvlJc w:val="right"/>
      <w:pPr>
        <w:ind w:left="7025" w:hanging="180"/>
      </w:pPr>
    </w:lvl>
  </w:abstractNum>
  <w:abstractNum w:abstractNumId="29">
    <w:nsid w:val="5F1B6898"/>
    <w:multiLevelType w:val="hybridMultilevel"/>
    <w:tmpl w:val="BF1C1CC0"/>
    <w:lvl w:ilvl="0">
      <w:start w:val="1"/>
      <w:numFmt w:val="bullet"/>
      <w:pStyle w:val="PUNTOS2"/>
      <w:lvlText w:val="n"/>
      <w:lvlJc w:val="left"/>
      <w:pPr>
        <w:ind w:left="1069" w:hanging="360"/>
      </w:pPr>
      <w:rPr>
        <w:rFonts w:ascii="Wingdings" w:hAnsi="Wingdings" w:hint="default"/>
        <w:color w:val="FFC000"/>
      </w:rPr>
    </w:lvl>
    <w:lvl w:ilvl="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30">
    <w:nsid w:val="63B26B1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6D384EA6"/>
    <w:multiLevelType w:val="hybridMultilevel"/>
    <w:tmpl w:val="DA4AFCAE"/>
    <w:lvl w:ilvl="0">
      <w:start w:val="1"/>
      <w:numFmt w:val="bullet"/>
      <w:lvlText w:val=""/>
      <w:lvlJc w:val="left"/>
      <w:pPr>
        <w:ind w:left="1080" w:hanging="360"/>
      </w:pPr>
      <w:rPr>
        <w:rFonts w:ascii="Wingdings" w:hAnsi="Wingdings" w:hint="default"/>
        <w:color w:val="548DD4" w:themeColor="text2" w:themeTint="99"/>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2">
    <w:nsid w:val="7F663873"/>
    <w:multiLevelType w:val="hybridMultilevel"/>
    <w:tmpl w:val="C7EAF7BA"/>
    <w:lvl w:ilvl="0">
      <w:start w:val="1"/>
      <w:numFmt w:val="bullet"/>
      <w:lvlText w:val=""/>
      <w:lvlJc w:val="left"/>
      <w:pPr>
        <w:ind w:left="720" w:hanging="360"/>
      </w:pPr>
      <w:rPr>
        <w:rFonts w:ascii="Wingdings" w:hAnsi="Wingdings" w:hint="default"/>
        <w:color w:val="548DD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0"/>
  </w:num>
  <w:num w:numId="2">
    <w:abstractNumId w:val="17"/>
  </w:num>
  <w:num w:numId="3">
    <w:abstractNumId w:val="19"/>
  </w:num>
  <w:num w:numId="4">
    <w:abstractNumId w:val="3"/>
  </w:num>
  <w:num w:numId="5">
    <w:abstractNumId w:val="2"/>
  </w:num>
  <w:num w:numId="6">
    <w:abstractNumId w:val="1"/>
  </w:num>
  <w:num w:numId="7">
    <w:abstractNumId w:val="0"/>
  </w:num>
  <w:num w:numId="8">
    <w:abstractNumId w:val="7"/>
  </w:num>
  <w:num w:numId="9">
    <w:abstractNumId w:val="29"/>
  </w:num>
  <w:num w:numId="10">
    <w:abstractNumId w:val="11"/>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1"/>
  </w:num>
  <w:num w:numId="14">
    <w:abstractNumId w:val="24"/>
  </w:num>
  <w:num w:numId="15">
    <w:abstractNumId w:val="8"/>
  </w:num>
  <w:num w:numId="16">
    <w:abstractNumId w:val="12"/>
  </w:num>
  <w:num w:numId="17">
    <w:abstractNumId w:val="2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3"/>
  </w:num>
  <w:num w:numId="24">
    <w:abstractNumId w:val="23"/>
  </w:num>
  <w:num w:numId="25">
    <w:abstractNumId w:val="16"/>
  </w:num>
  <w:num w:numId="26">
    <w:abstractNumId w:val="31"/>
  </w:num>
  <w:num w:numId="27">
    <w:abstractNumId w:val="26"/>
  </w:num>
  <w:num w:numId="28">
    <w:abstractNumId w:val="18"/>
  </w:num>
  <w:num w:numId="29">
    <w:abstractNumId w:val="32"/>
  </w:num>
  <w:num w:numId="30">
    <w:abstractNumId w:val="27"/>
  </w:num>
  <w:num w:numId="31">
    <w:abstractNumId w:val="9"/>
  </w:num>
  <w:num w:numId="32">
    <w:abstractNumId w:val="20"/>
  </w:num>
  <w:num w:numId="33">
    <w:abstractNumId w:val="28"/>
  </w:num>
  <w:num w:numId="34">
    <w:abstractNumId w:val="15"/>
  </w:num>
  <w:num w:numId="35">
    <w:abstractNumId w:val="22"/>
  </w:num>
  <w:num w:numId="36">
    <w:abstractNumId w:val="6"/>
  </w:num>
  <w:num w:numId="37">
    <w:abstractNumId w:val="27"/>
  </w:num>
  <w:num w:numId="38">
    <w:abstractNumId w:val="29"/>
  </w:num>
  <w:num w:numId="39">
    <w:abstractNumId w:val="29"/>
  </w:num>
  <w:num w:numId="40">
    <w:abstractNumId w:val="29"/>
  </w:num>
  <w:num w:numId="41">
    <w:abstractNumId w:val="29"/>
  </w:num>
  <w:num w:numId="42">
    <w:abstractNumId w:val="29"/>
  </w:num>
  <w:num w:numId="43">
    <w:abstractNumId w:val="29"/>
  </w:num>
  <w:num w:numId="44">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Formatting/>
  <w:defaultTabStop w:val="709"/>
  <w:hyphenationZone w:val="425"/>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5AA"/>
    <w:rsid w:val="000000C2"/>
    <w:rsid w:val="00000296"/>
    <w:rsid w:val="0000090C"/>
    <w:rsid w:val="00001744"/>
    <w:rsid w:val="00001A08"/>
    <w:rsid w:val="00003952"/>
    <w:rsid w:val="00003C69"/>
    <w:rsid w:val="000043DD"/>
    <w:rsid w:val="000061DB"/>
    <w:rsid w:val="00006458"/>
    <w:rsid w:val="000066E7"/>
    <w:rsid w:val="00006BF5"/>
    <w:rsid w:val="00007620"/>
    <w:rsid w:val="00007D4D"/>
    <w:rsid w:val="000102D5"/>
    <w:rsid w:val="00010895"/>
    <w:rsid w:val="000128A3"/>
    <w:rsid w:val="0001296A"/>
    <w:rsid w:val="000129EC"/>
    <w:rsid w:val="00013CB2"/>
    <w:rsid w:val="00013F40"/>
    <w:rsid w:val="000154B9"/>
    <w:rsid w:val="000156A9"/>
    <w:rsid w:val="00016890"/>
    <w:rsid w:val="00017045"/>
    <w:rsid w:val="0001721F"/>
    <w:rsid w:val="000209C4"/>
    <w:rsid w:val="00021F9D"/>
    <w:rsid w:val="000221B8"/>
    <w:rsid w:val="00022398"/>
    <w:rsid w:val="00022ADF"/>
    <w:rsid w:val="00022D09"/>
    <w:rsid w:val="00022ED3"/>
    <w:rsid w:val="0002373A"/>
    <w:rsid w:val="00024057"/>
    <w:rsid w:val="00024683"/>
    <w:rsid w:val="00024965"/>
    <w:rsid w:val="0002506B"/>
    <w:rsid w:val="0002595C"/>
    <w:rsid w:val="00025F38"/>
    <w:rsid w:val="000262CC"/>
    <w:rsid w:val="000275D2"/>
    <w:rsid w:val="00027DD7"/>
    <w:rsid w:val="0003067F"/>
    <w:rsid w:val="00030912"/>
    <w:rsid w:val="00031157"/>
    <w:rsid w:val="000329DF"/>
    <w:rsid w:val="000330E4"/>
    <w:rsid w:val="00033429"/>
    <w:rsid w:val="0003343C"/>
    <w:rsid w:val="00033DF7"/>
    <w:rsid w:val="000346AB"/>
    <w:rsid w:val="000354A3"/>
    <w:rsid w:val="00035529"/>
    <w:rsid w:val="00036101"/>
    <w:rsid w:val="0003671E"/>
    <w:rsid w:val="00036D45"/>
    <w:rsid w:val="0003723E"/>
    <w:rsid w:val="00037445"/>
    <w:rsid w:val="0004074C"/>
    <w:rsid w:val="00041949"/>
    <w:rsid w:val="00041B3A"/>
    <w:rsid w:val="00041DB0"/>
    <w:rsid w:val="0004240D"/>
    <w:rsid w:val="00042D64"/>
    <w:rsid w:val="0004307E"/>
    <w:rsid w:val="000435C6"/>
    <w:rsid w:val="00045571"/>
    <w:rsid w:val="000465AB"/>
    <w:rsid w:val="00047186"/>
    <w:rsid w:val="00047CEA"/>
    <w:rsid w:val="00051026"/>
    <w:rsid w:val="000524FA"/>
    <w:rsid w:val="000532DD"/>
    <w:rsid w:val="00053406"/>
    <w:rsid w:val="000534F3"/>
    <w:rsid w:val="00053646"/>
    <w:rsid w:val="00053769"/>
    <w:rsid w:val="00053824"/>
    <w:rsid w:val="00053D45"/>
    <w:rsid w:val="0005414C"/>
    <w:rsid w:val="000558EB"/>
    <w:rsid w:val="00055F21"/>
    <w:rsid w:val="0005636E"/>
    <w:rsid w:val="00056E23"/>
    <w:rsid w:val="0005728E"/>
    <w:rsid w:val="000579B9"/>
    <w:rsid w:val="00057C2F"/>
    <w:rsid w:val="00060143"/>
    <w:rsid w:val="000603EB"/>
    <w:rsid w:val="00060831"/>
    <w:rsid w:val="00061131"/>
    <w:rsid w:val="0006140E"/>
    <w:rsid w:val="00061F17"/>
    <w:rsid w:val="000623F0"/>
    <w:rsid w:val="000633E6"/>
    <w:rsid w:val="000637A9"/>
    <w:rsid w:val="00063C55"/>
    <w:rsid w:val="000642E3"/>
    <w:rsid w:val="000650F9"/>
    <w:rsid w:val="00065392"/>
    <w:rsid w:val="00065ACB"/>
    <w:rsid w:val="00065CE6"/>
    <w:rsid w:val="00065E9F"/>
    <w:rsid w:val="000660B2"/>
    <w:rsid w:val="00066388"/>
    <w:rsid w:val="00067054"/>
    <w:rsid w:val="00067399"/>
    <w:rsid w:val="00067AF3"/>
    <w:rsid w:val="00070602"/>
    <w:rsid w:val="00070752"/>
    <w:rsid w:val="0007079F"/>
    <w:rsid w:val="00070821"/>
    <w:rsid w:val="00071064"/>
    <w:rsid w:val="00071A0E"/>
    <w:rsid w:val="00072368"/>
    <w:rsid w:val="00072D4A"/>
    <w:rsid w:val="00073EFF"/>
    <w:rsid w:val="00073F37"/>
    <w:rsid w:val="00074889"/>
    <w:rsid w:val="00074B21"/>
    <w:rsid w:val="00075A81"/>
    <w:rsid w:val="00075E9A"/>
    <w:rsid w:val="00076FFB"/>
    <w:rsid w:val="0007714C"/>
    <w:rsid w:val="00080039"/>
    <w:rsid w:val="0008005D"/>
    <w:rsid w:val="00080478"/>
    <w:rsid w:val="00081B42"/>
    <w:rsid w:val="00081CD5"/>
    <w:rsid w:val="0008275C"/>
    <w:rsid w:val="00083373"/>
    <w:rsid w:val="00083400"/>
    <w:rsid w:val="0008370C"/>
    <w:rsid w:val="00083F2D"/>
    <w:rsid w:val="00085A77"/>
    <w:rsid w:val="00085BBD"/>
    <w:rsid w:val="00086718"/>
    <w:rsid w:val="000869AF"/>
    <w:rsid w:val="00086B73"/>
    <w:rsid w:val="00087D23"/>
    <w:rsid w:val="00090026"/>
    <w:rsid w:val="0009010E"/>
    <w:rsid w:val="000904CA"/>
    <w:rsid w:val="0009085A"/>
    <w:rsid w:val="00091A6C"/>
    <w:rsid w:val="00091D2E"/>
    <w:rsid w:val="00092845"/>
    <w:rsid w:val="00092ABF"/>
    <w:rsid w:val="000936DC"/>
    <w:rsid w:val="0009406E"/>
    <w:rsid w:val="0009427F"/>
    <w:rsid w:val="00094582"/>
    <w:rsid w:val="00094843"/>
    <w:rsid w:val="00094FDB"/>
    <w:rsid w:val="00097428"/>
    <w:rsid w:val="00097831"/>
    <w:rsid w:val="00097B02"/>
    <w:rsid w:val="00097B7F"/>
    <w:rsid w:val="000A029B"/>
    <w:rsid w:val="000A0CEA"/>
    <w:rsid w:val="000A0E15"/>
    <w:rsid w:val="000A1350"/>
    <w:rsid w:val="000A1706"/>
    <w:rsid w:val="000A1E87"/>
    <w:rsid w:val="000A298C"/>
    <w:rsid w:val="000A2BDF"/>
    <w:rsid w:val="000A2EAB"/>
    <w:rsid w:val="000A2F7E"/>
    <w:rsid w:val="000A38D3"/>
    <w:rsid w:val="000A3AF4"/>
    <w:rsid w:val="000A66A6"/>
    <w:rsid w:val="000A6D19"/>
    <w:rsid w:val="000A72F9"/>
    <w:rsid w:val="000A76F9"/>
    <w:rsid w:val="000A77C0"/>
    <w:rsid w:val="000A7A33"/>
    <w:rsid w:val="000A7F0A"/>
    <w:rsid w:val="000A7FCD"/>
    <w:rsid w:val="000B0BA9"/>
    <w:rsid w:val="000B13C8"/>
    <w:rsid w:val="000B13E5"/>
    <w:rsid w:val="000B1A60"/>
    <w:rsid w:val="000B20D0"/>
    <w:rsid w:val="000B363A"/>
    <w:rsid w:val="000B3981"/>
    <w:rsid w:val="000B3A4A"/>
    <w:rsid w:val="000B4538"/>
    <w:rsid w:val="000B4A3F"/>
    <w:rsid w:val="000B5863"/>
    <w:rsid w:val="000B6283"/>
    <w:rsid w:val="000B665F"/>
    <w:rsid w:val="000B6690"/>
    <w:rsid w:val="000B71F6"/>
    <w:rsid w:val="000B7386"/>
    <w:rsid w:val="000C0122"/>
    <w:rsid w:val="000C0ADB"/>
    <w:rsid w:val="000C2001"/>
    <w:rsid w:val="000C20FA"/>
    <w:rsid w:val="000C35CD"/>
    <w:rsid w:val="000C3CAB"/>
    <w:rsid w:val="000C5200"/>
    <w:rsid w:val="000C53D6"/>
    <w:rsid w:val="000C5497"/>
    <w:rsid w:val="000C5B0A"/>
    <w:rsid w:val="000C5DC2"/>
    <w:rsid w:val="000C761F"/>
    <w:rsid w:val="000C76E0"/>
    <w:rsid w:val="000C7B3C"/>
    <w:rsid w:val="000C7E14"/>
    <w:rsid w:val="000D0503"/>
    <w:rsid w:val="000D07C3"/>
    <w:rsid w:val="000D0E91"/>
    <w:rsid w:val="000D113E"/>
    <w:rsid w:val="000D16C5"/>
    <w:rsid w:val="000D186D"/>
    <w:rsid w:val="000D1CA9"/>
    <w:rsid w:val="000D1E37"/>
    <w:rsid w:val="000D30EA"/>
    <w:rsid w:val="000D4929"/>
    <w:rsid w:val="000D6035"/>
    <w:rsid w:val="000D6C6D"/>
    <w:rsid w:val="000D70A9"/>
    <w:rsid w:val="000E109E"/>
    <w:rsid w:val="000E1EBC"/>
    <w:rsid w:val="000E233D"/>
    <w:rsid w:val="000E2D5B"/>
    <w:rsid w:val="000E305B"/>
    <w:rsid w:val="000E3121"/>
    <w:rsid w:val="000E3361"/>
    <w:rsid w:val="000E35ED"/>
    <w:rsid w:val="000E47D2"/>
    <w:rsid w:val="000E5B63"/>
    <w:rsid w:val="000E6127"/>
    <w:rsid w:val="000E62D3"/>
    <w:rsid w:val="000E7613"/>
    <w:rsid w:val="000E7684"/>
    <w:rsid w:val="000E7A94"/>
    <w:rsid w:val="000E7E7D"/>
    <w:rsid w:val="000F031F"/>
    <w:rsid w:val="000F0D1A"/>
    <w:rsid w:val="000F32DD"/>
    <w:rsid w:val="000F3956"/>
    <w:rsid w:val="000F577A"/>
    <w:rsid w:val="000F5E28"/>
    <w:rsid w:val="000F61F9"/>
    <w:rsid w:val="000F6217"/>
    <w:rsid w:val="000F64EE"/>
    <w:rsid w:val="000F688E"/>
    <w:rsid w:val="000F6DCD"/>
    <w:rsid w:val="000F7A4A"/>
    <w:rsid w:val="001007C4"/>
    <w:rsid w:val="00100DE0"/>
    <w:rsid w:val="00101046"/>
    <w:rsid w:val="0010299B"/>
    <w:rsid w:val="0010322B"/>
    <w:rsid w:val="00103E6F"/>
    <w:rsid w:val="00103EB0"/>
    <w:rsid w:val="00104152"/>
    <w:rsid w:val="001046EB"/>
    <w:rsid w:val="00104870"/>
    <w:rsid w:val="0010532A"/>
    <w:rsid w:val="001053B0"/>
    <w:rsid w:val="00106874"/>
    <w:rsid w:val="00106AD8"/>
    <w:rsid w:val="00107AA6"/>
    <w:rsid w:val="00110176"/>
    <w:rsid w:val="001106E7"/>
    <w:rsid w:val="00110A30"/>
    <w:rsid w:val="001111E3"/>
    <w:rsid w:val="00111750"/>
    <w:rsid w:val="0011305C"/>
    <w:rsid w:val="00114333"/>
    <w:rsid w:val="00114907"/>
    <w:rsid w:val="0011509B"/>
    <w:rsid w:val="001154D7"/>
    <w:rsid w:val="0011692A"/>
    <w:rsid w:val="0011695E"/>
    <w:rsid w:val="00116B33"/>
    <w:rsid w:val="00117036"/>
    <w:rsid w:val="001173D0"/>
    <w:rsid w:val="0011746D"/>
    <w:rsid w:val="0011750F"/>
    <w:rsid w:val="001175D0"/>
    <w:rsid w:val="00117CA5"/>
    <w:rsid w:val="00117EC9"/>
    <w:rsid w:val="00117F45"/>
    <w:rsid w:val="001202EF"/>
    <w:rsid w:val="0012047C"/>
    <w:rsid w:val="001209CD"/>
    <w:rsid w:val="00120A7B"/>
    <w:rsid w:val="00121025"/>
    <w:rsid w:val="0012102F"/>
    <w:rsid w:val="00121171"/>
    <w:rsid w:val="001221B3"/>
    <w:rsid w:val="00122F0F"/>
    <w:rsid w:val="00123C2B"/>
    <w:rsid w:val="001243DC"/>
    <w:rsid w:val="00124491"/>
    <w:rsid w:val="001259DC"/>
    <w:rsid w:val="00125E53"/>
    <w:rsid w:val="001260EC"/>
    <w:rsid w:val="0012718A"/>
    <w:rsid w:val="001275AC"/>
    <w:rsid w:val="00130C86"/>
    <w:rsid w:val="00130F1A"/>
    <w:rsid w:val="00131952"/>
    <w:rsid w:val="001319C4"/>
    <w:rsid w:val="00133CE1"/>
    <w:rsid w:val="00134615"/>
    <w:rsid w:val="00134B83"/>
    <w:rsid w:val="001355D8"/>
    <w:rsid w:val="0013587A"/>
    <w:rsid w:val="001368DC"/>
    <w:rsid w:val="00137296"/>
    <w:rsid w:val="0013797E"/>
    <w:rsid w:val="001404AA"/>
    <w:rsid w:val="00140FC2"/>
    <w:rsid w:val="00141067"/>
    <w:rsid w:val="001410C1"/>
    <w:rsid w:val="00141166"/>
    <w:rsid w:val="001416E1"/>
    <w:rsid w:val="00142388"/>
    <w:rsid w:val="00142A1B"/>
    <w:rsid w:val="001436E9"/>
    <w:rsid w:val="001437A2"/>
    <w:rsid w:val="00144CFC"/>
    <w:rsid w:val="0014514E"/>
    <w:rsid w:val="0014664C"/>
    <w:rsid w:val="0014704C"/>
    <w:rsid w:val="00147300"/>
    <w:rsid w:val="00150C52"/>
    <w:rsid w:val="001510AE"/>
    <w:rsid w:val="001516DC"/>
    <w:rsid w:val="00151D37"/>
    <w:rsid w:val="00151EAD"/>
    <w:rsid w:val="001526F5"/>
    <w:rsid w:val="001527A6"/>
    <w:rsid w:val="00152C82"/>
    <w:rsid w:val="00152C9D"/>
    <w:rsid w:val="00152ED5"/>
    <w:rsid w:val="0015421D"/>
    <w:rsid w:val="00154468"/>
    <w:rsid w:val="00154A1B"/>
    <w:rsid w:val="00156020"/>
    <w:rsid w:val="001560AA"/>
    <w:rsid w:val="00156492"/>
    <w:rsid w:val="00156779"/>
    <w:rsid w:val="00157AF6"/>
    <w:rsid w:val="001604E3"/>
    <w:rsid w:val="00160867"/>
    <w:rsid w:val="00161163"/>
    <w:rsid w:val="00161D21"/>
    <w:rsid w:val="00162DEB"/>
    <w:rsid w:val="001649CC"/>
    <w:rsid w:val="001668AD"/>
    <w:rsid w:val="001668CE"/>
    <w:rsid w:val="00166967"/>
    <w:rsid w:val="0016772E"/>
    <w:rsid w:val="00171FBD"/>
    <w:rsid w:val="001723D3"/>
    <w:rsid w:val="00172E20"/>
    <w:rsid w:val="00173DB8"/>
    <w:rsid w:val="00175869"/>
    <w:rsid w:val="00175A0E"/>
    <w:rsid w:val="00176923"/>
    <w:rsid w:val="00177241"/>
    <w:rsid w:val="0017733E"/>
    <w:rsid w:val="001776C5"/>
    <w:rsid w:val="00180205"/>
    <w:rsid w:val="00180911"/>
    <w:rsid w:val="00180F41"/>
    <w:rsid w:val="00180FC8"/>
    <w:rsid w:val="00181874"/>
    <w:rsid w:val="00183339"/>
    <w:rsid w:val="001842C4"/>
    <w:rsid w:val="001844FF"/>
    <w:rsid w:val="00184FD3"/>
    <w:rsid w:val="001854A7"/>
    <w:rsid w:val="0018573C"/>
    <w:rsid w:val="00185887"/>
    <w:rsid w:val="001858E9"/>
    <w:rsid w:val="00185BFB"/>
    <w:rsid w:val="00185C02"/>
    <w:rsid w:val="00186A7F"/>
    <w:rsid w:val="00186AB2"/>
    <w:rsid w:val="001875EA"/>
    <w:rsid w:val="0018793D"/>
    <w:rsid w:val="001879D4"/>
    <w:rsid w:val="00190C23"/>
    <w:rsid w:val="00191CE2"/>
    <w:rsid w:val="0019205E"/>
    <w:rsid w:val="00192484"/>
    <w:rsid w:val="00192645"/>
    <w:rsid w:val="00193261"/>
    <w:rsid w:val="00193F1E"/>
    <w:rsid w:val="001948DC"/>
    <w:rsid w:val="0019511E"/>
    <w:rsid w:val="001956DF"/>
    <w:rsid w:val="00196218"/>
    <w:rsid w:val="00196D8A"/>
    <w:rsid w:val="001A16F5"/>
    <w:rsid w:val="001A17A7"/>
    <w:rsid w:val="001A1BF9"/>
    <w:rsid w:val="001A2123"/>
    <w:rsid w:val="001A2195"/>
    <w:rsid w:val="001A2B82"/>
    <w:rsid w:val="001A4CA6"/>
    <w:rsid w:val="001A5525"/>
    <w:rsid w:val="001A5EBD"/>
    <w:rsid w:val="001A725F"/>
    <w:rsid w:val="001A72E3"/>
    <w:rsid w:val="001A78AA"/>
    <w:rsid w:val="001B028E"/>
    <w:rsid w:val="001B0DED"/>
    <w:rsid w:val="001B1357"/>
    <w:rsid w:val="001B1450"/>
    <w:rsid w:val="001B14AF"/>
    <w:rsid w:val="001B283B"/>
    <w:rsid w:val="001B4443"/>
    <w:rsid w:val="001B4928"/>
    <w:rsid w:val="001B560B"/>
    <w:rsid w:val="001B64CB"/>
    <w:rsid w:val="001B6525"/>
    <w:rsid w:val="001B6654"/>
    <w:rsid w:val="001B672B"/>
    <w:rsid w:val="001B6A61"/>
    <w:rsid w:val="001B777C"/>
    <w:rsid w:val="001B7814"/>
    <w:rsid w:val="001B7956"/>
    <w:rsid w:val="001B7DEF"/>
    <w:rsid w:val="001C0BC9"/>
    <w:rsid w:val="001C1880"/>
    <w:rsid w:val="001C189A"/>
    <w:rsid w:val="001C2353"/>
    <w:rsid w:val="001C291A"/>
    <w:rsid w:val="001C2E77"/>
    <w:rsid w:val="001C3021"/>
    <w:rsid w:val="001C3D8D"/>
    <w:rsid w:val="001C4149"/>
    <w:rsid w:val="001C4426"/>
    <w:rsid w:val="001C5A05"/>
    <w:rsid w:val="001C6232"/>
    <w:rsid w:val="001C6A6E"/>
    <w:rsid w:val="001C7271"/>
    <w:rsid w:val="001C7B3D"/>
    <w:rsid w:val="001D0169"/>
    <w:rsid w:val="001D01FA"/>
    <w:rsid w:val="001D0C90"/>
    <w:rsid w:val="001D115F"/>
    <w:rsid w:val="001D1346"/>
    <w:rsid w:val="001D1472"/>
    <w:rsid w:val="001D14EA"/>
    <w:rsid w:val="001D18FB"/>
    <w:rsid w:val="001D19B5"/>
    <w:rsid w:val="001D1BDA"/>
    <w:rsid w:val="001D2230"/>
    <w:rsid w:val="001D2BFF"/>
    <w:rsid w:val="001D3A3F"/>
    <w:rsid w:val="001D3BA9"/>
    <w:rsid w:val="001D3D80"/>
    <w:rsid w:val="001D469A"/>
    <w:rsid w:val="001D489F"/>
    <w:rsid w:val="001D49F1"/>
    <w:rsid w:val="001D5B7F"/>
    <w:rsid w:val="001D6C71"/>
    <w:rsid w:val="001D7910"/>
    <w:rsid w:val="001D7B6F"/>
    <w:rsid w:val="001D7BA1"/>
    <w:rsid w:val="001D7F9F"/>
    <w:rsid w:val="001E0887"/>
    <w:rsid w:val="001E0F93"/>
    <w:rsid w:val="001E11FB"/>
    <w:rsid w:val="001E34E1"/>
    <w:rsid w:val="001E3D64"/>
    <w:rsid w:val="001E4064"/>
    <w:rsid w:val="001E4939"/>
    <w:rsid w:val="001E4A8E"/>
    <w:rsid w:val="001E4E0A"/>
    <w:rsid w:val="001E5355"/>
    <w:rsid w:val="001E5545"/>
    <w:rsid w:val="001E65A0"/>
    <w:rsid w:val="001F0043"/>
    <w:rsid w:val="001F0A5D"/>
    <w:rsid w:val="001F0ABF"/>
    <w:rsid w:val="001F1F94"/>
    <w:rsid w:val="001F2421"/>
    <w:rsid w:val="001F2C8D"/>
    <w:rsid w:val="001F34E2"/>
    <w:rsid w:val="001F3809"/>
    <w:rsid w:val="001F3E9B"/>
    <w:rsid w:val="001F445F"/>
    <w:rsid w:val="001F556C"/>
    <w:rsid w:val="001F5947"/>
    <w:rsid w:val="001F5B42"/>
    <w:rsid w:val="001F6182"/>
    <w:rsid w:val="001F63C6"/>
    <w:rsid w:val="001F67D3"/>
    <w:rsid w:val="001F6CB8"/>
    <w:rsid w:val="00200197"/>
    <w:rsid w:val="002001C4"/>
    <w:rsid w:val="00201E42"/>
    <w:rsid w:val="0020236B"/>
    <w:rsid w:val="00203673"/>
    <w:rsid w:val="00203AA8"/>
    <w:rsid w:val="00203B55"/>
    <w:rsid w:val="0020598F"/>
    <w:rsid w:val="00207EF6"/>
    <w:rsid w:val="00211E8D"/>
    <w:rsid w:val="00213E81"/>
    <w:rsid w:val="0021470E"/>
    <w:rsid w:val="0021559D"/>
    <w:rsid w:val="002155FA"/>
    <w:rsid w:val="002156A3"/>
    <w:rsid w:val="00215F40"/>
    <w:rsid w:val="002162E1"/>
    <w:rsid w:val="00216CBA"/>
    <w:rsid w:val="00220BC5"/>
    <w:rsid w:val="002213E0"/>
    <w:rsid w:val="00221629"/>
    <w:rsid w:val="00222A0E"/>
    <w:rsid w:val="00222CAD"/>
    <w:rsid w:val="00222FD4"/>
    <w:rsid w:val="0022360C"/>
    <w:rsid w:val="002237F6"/>
    <w:rsid w:val="00223873"/>
    <w:rsid w:val="002244E8"/>
    <w:rsid w:val="0022467C"/>
    <w:rsid w:val="002247E2"/>
    <w:rsid w:val="002257EE"/>
    <w:rsid w:val="002260CE"/>
    <w:rsid w:val="002303C5"/>
    <w:rsid w:val="002305EA"/>
    <w:rsid w:val="00230636"/>
    <w:rsid w:val="00230D08"/>
    <w:rsid w:val="0023139B"/>
    <w:rsid w:val="0023151E"/>
    <w:rsid w:val="002315C3"/>
    <w:rsid w:val="002316C4"/>
    <w:rsid w:val="00231DF0"/>
    <w:rsid w:val="002326BE"/>
    <w:rsid w:val="00232A93"/>
    <w:rsid w:val="00233602"/>
    <w:rsid w:val="00233B2A"/>
    <w:rsid w:val="00233E9A"/>
    <w:rsid w:val="002353ED"/>
    <w:rsid w:val="0023598C"/>
    <w:rsid w:val="002359E7"/>
    <w:rsid w:val="00235ABF"/>
    <w:rsid w:val="0024129D"/>
    <w:rsid w:val="002413E4"/>
    <w:rsid w:val="00242142"/>
    <w:rsid w:val="00242181"/>
    <w:rsid w:val="00242766"/>
    <w:rsid w:val="00243290"/>
    <w:rsid w:val="002435C5"/>
    <w:rsid w:val="00243656"/>
    <w:rsid w:val="00243A1A"/>
    <w:rsid w:val="00243F38"/>
    <w:rsid w:val="00244066"/>
    <w:rsid w:val="002446C2"/>
    <w:rsid w:val="00245702"/>
    <w:rsid w:val="002459A4"/>
    <w:rsid w:val="00245C07"/>
    <w:rsid w:val="00245CDA"/>
    <w:rsid w:val="00245E0C"/>
    <w:rsid w:val="00245FE4"/>
    <w:rsid w:val="0024637E"/>
    <w:rsid w:val="00246777"/>
    <w:rsid w:val="00246E06"/>
    <w:rsid w:val="00246E3E"/>
    <w:rsid w:val="002476C9"/>
    <w:rsid w:val="0025087B"/>
    <w:rsid w:val="00250B3F"/>
    <w:rsid w:val="00250BDF"/>
    <w:rsid w:val="0025102A"/>
    <w:rsid w:val="00251654"/>
    <w:rsid w:val="00251BC9"/>
    <w:rsid w:val="00251BDE"/>
    <w:rsid w:val="00252517"/>
    <w:rsid w:val="00252B2A"/>
    <w:rsid w:val="00253205"/>
    <w:rsid w:val="002532C2"/>
    <w:rsid w:val="0025355B"/>
    <w:rsid w:val="00253732"/>
    <w:rsid w:val="002545E9"/>
    <w:rsid w:val="002548F7"/>
    <w:rsid w:val="00255A4D"/>
    <w:rsid w:val="00255CA0"/>
    <w:rsid w:val="00257BB3"/>
    <w:rsid w:val="00260276"/>
    <w:rsid w:val="002606C4"/>
    <w:rsid w:val="002607D8"/>
    <w:rsid w:val="00260CDA"/>
    <w:rsid w:val="00261537"/>
    <w:rsid w:val="0026285F"/>
    <w:rsid w:val="002631E5"/>
    <w:rsid w:val="00263AE6"/>
    <w:rsid w:val="002645A5"/>
    <w:rsid w:val="002645D9"/>
    <w:rsid w:val="0026469A"/>
    <w:rsid w:val="00264B1B"/>
    <w:rsid w:val="00264BF3"/>
    <w:rsid w:val="00265F5A"/>
    <w:rsid w:val="002667A4"/>
    <w:rsid w:val="00266841"/>
    <w:rsid w:val="00267DED"/>
    <w:rsid w:val="00270184"/>
    <w:rsid w:val="00270BC2"/>
    <w:rsid w:val="00270E3C"/>
    <w:rsid w:val="00270F39"/>
    <w:rsid w:val="00271C89"/>
    <w:rsid w:val="00271F71"/>
    <w:rsid w:val="00272F8E"/>
    <w:rsid w:val="00274D95"/>
    <w:rsid w:val="00275576"/>
    <w:rsid w:val="00280D74"/>
    <w:rsid w:val="002816C0"/>
    <w:rsid w:val="0028170E"/>
    <w:rsid w:val="00281E8F"/>
    <w:rsid w:val="00282826"/>
    <w:rsid w:val="00282F55"/>
    <w:rsid w:val="00283872"/>
    <w:rsid w:val="002839D0"/>
    <w:rsid w:val="002842C8"/>
    <w:rsid w:val="00284828"/>
    <w:rsid w:val="00284A69"/>
    <w:rsid w:val="00285D2C"/>
    <w:rsid w:val="0028691B"/>
    <w:rsid w:val="00286CAA"/>
    <w:rsid w:val="00286DD9"/>
    <w:rsid w:val="00287FE8"/>
    <w:rsid w:val="00290594"/>
    <w:rsid w:val="002906AC"/>
    <w:rsid w:val="00290806"/>
    <w:rsid w:val="002916B9"/>
    <w:rsid w:val="002917F2"/>
    <w:rsid w:val="00292A40"/>
    <w:rsid w:val="00292D85"/>
    <w:rsid w:val="00293B8D"/>
    <w:rsid w:val="00294107"/>
    <w:rsid w:val="002954EE"/>
    <w:rsid w:val="0029559E"/>
    <w:rsid w:val="00295668"/>
    <w:rsid w:val="002956D1"/>
    <w:rsid w:val="0029616E"/>
    <w:rsid w:val="00297D8B"/>
    <w:rsid w:val="002A0719"/>
    <w:rsid w:val="002A0D8F"/>
    <w:rsid w:val="002A0E40"/>
    <w:rsid w:val="002A1238"/>
    <w:rsid w:val="002A12BE"/>
    <w:rsid w:val="002A410D"/>
    <w:rsid w:val="002A47CA"/>
    <w:rsid w:val="002A4C75"/>
    <w:rsid w:val="002A543B"/>
    <w:rsid w:val="002A5504"/>
    <w:rsid w:val="002A571C"/>
    <w:rsid w:val="002A57CF"/>
    <w:rsid w:val="002A5F61"/>
    <w:rsid w:val="002A6967"/>
    <w:rsid w:val="002A6F68"/>
    <w:rsid w:val="002A767C"/>
    <w:rsid w:val="002B0224"/>
    <w:rsid w:val="002B036B"/>
    <w:rsid w:val="002B0E2D"/>
    <w:rsid w:val="002B1191"/>
    <w:rsid w:val="002B17CE"/>
    <w:rsid w:val="002B231F"/>
    <w:rsid w:val="002B24A8"/>
    <w:rsid w:val="002B3330"/>
    <w:rsid w:val="002B3AE5"/>
    <w:rsid w:val="002B3BEF"/>
    <w:rsid w:val="002B4362"/>
    <w:rsid w:val="002B4C73"/>
    <w:rsid w:val="002B4D1D"/>
    <w:rsid w:val="002B6FA5"/>
    <w:rsid w:val="002C07D6"/>
    <w:rsid w:val="002C0A9C"/>
    <w:rsid w:val="002C0AF1"/>
    <w:rsid w:val="002C0C1F"/>
    <w:rsid w:val="002C0C5A"/>
    <w:rsid w:val="002C0D07"/>
    <w:rsid w:val="002C112A"/>
    <w:rsid w:val="002C1AE7"/>
    <w:rsid w:val="002C1D96"/>
    <w:rsid w:val="002C2490"/>
    <w:rsid w:val="002C2902"/>
    <w:rsid w:val="002C3976"/>
    <w:rsid w:val="002C3B81"/>
    <w:rsid w:val="002C3CDF"/>
    <w:rsid w:val="002C44C1"/>
    <w:rsid w:val="002C4AA4"/>
    <w:rsid w:val="002C5A5D"/>
    <w:rsid w:val="002C5DE7"/>
    <w:rsid w:val="002C6B06"/>
    <w:rsid w:val="002C758B"/>
    <w:rsid w:val="002D0437"/>
    <w:rsid w:val="002D0701"/>
    <w:rsid w:val="002D07A8"/>
    <w:rsid w:val="002D141E"/>
    <w:rsid w:val="002D15CC"/>
    <w:rsid w:val="002D1960"/>
    <w:rsid w:val="002D19EF"/>
    <w:rsid w:val="002D25C3"/>
    <w:rsid w:val="002D2E59"/>
    <w:rsid w:val="002D2F27"/>
    <w:rsid w:val="002D2F47"/>
    <w:rsid w:val="002D364F"/>
    <w:rsid w:val="002D38C5"/>
    <w:rsid w:val="002D3A0C"/>
    <w:rsid w:val="002D40FD"/>
    <w:rsid w:val="002D4BB8"/>
    <w:rsid w:val="002D63CA"/>
    <w:rsid w:val="002D67A5"/>
    <w:rsid w:val="002D68C8"/>
    <w:rsid w:val="002D6AC1"/>
    <w:rsid w:val="002D6F3C"/>
    <w:rsid w:val="002D7586"/>
    <w:rsid w:val="002D79A8"/>
    <w:rsid w:val="002E0998"/>
    <w:rsid w:val="002E0E80"/>
    <w:rsid w:val="002E0FD7"/>
    <w:rsid w:val="002E26A0"/>
    <w:rsid w:val="002E2D37"/>
    <w:rsid w:val="002E3845"/>
    <w:rsid w:val="002E39F9"/>
    <w:rsid w:val="002E4E7E"/>
    <w:rsid w:val="002E5419"/>
    <w:rsid w:val="002E543A"/>
    <w:rsid w:val="002E5C26"/>
    <w:rsid w:val="002E6C1D"/>
    <w:rsid w:val="002E74D5"/>
    <w:rsid w:val="002E7731"/>
    <w:rsid w:val="002E7775"/>
    <w:rsid w:val="002F0350"/>
    <w:rsid w:val="002F1539"/>
    <w:rsid w:val="002F263A"/>
    <w:rsid w:val="002F2972"/>
    <w:rsid w:val="002F2ED5"/>
    <w:rsid w:val="002F2FA5"/>
    <w:rsid w:val="002F4B14"/>
    <w:rsid w:val="002F51C8"/>
    <w:rsid w:val="002F51DF"/>
    <w:rsid w:val="002F631B"/>
    <w:rsid w:val="002F63F8"/>
    <w:rsid w:val="002F797C"/>
    <w:rsid w:val="002F79A2"/>
    <w:rsid w:val="002F7A34"/>
    <w:rsid w:val="003003E6"/>
    <w:rsid w:val="00300881"/>
    <w:rsid w:val="00300D2D"/>
    <w:rsid w:val="00300DAA"/>
    <w:rsid w:val="00301D44"/>
    <w:rsid w:val="003022EC"/>
    <w:rsid w:val="00302985"/>
    <w:rsid w:val="003034C6"/>
    <w:rsid w:val="00303F3E"/>
    <w:rsid w:val="00304133"/>
    <w:rsid w:val="0030456E"/>
    <w:rsid w:val="00304F3A"/>
    <w:rsid w:val="0030511E"/>
    <w:rsid w:val="00305248"/>
    <w:rsid w:val="0030613B"/>
    <w:rsid w:val="00306A37"/>
    <w:rsid w:val="0030720C"/>
    <w:rsid w:val="003077BD"/>
    <w:rsid w:val="00310D82"/>
    <w:rsid w:val="00311B2D"/>
    <w:rsid w:val="0031203A"/>
    <w:rsid w:val="003124FD"/>
    <w:rsid w:val="003140FD"/>
    <w:rsid w:val="00314144"/>
    <w:rsid w:val="00314822"/>
    <w:rsid w:val="00314898"/>
    <w:rsid w:val="003150B0"/>
    <w:rsid w:val="00315E0A"/>
    <w:rsid w:val="00316316"/>
    <w:rsid w:val="003165BC"/>
    <w:rsid w:val="00316B72"/>
    <w:rsid w:val="003178EB"/>
    <w:rsid w:val="0032012D"/>
    <w:rsid w:val="00321381"/>
    <w:rsid w:val="003213F0"/>
    <w:rsid w:val="003232BA"/>
    <w:rsid w:val="00323302"/>
    <w:rsid w:val="00323695"/>
    <w:rsid w:val="00323BDA"/>
    <w:rsid w:val="00324FC2"/>
    <w:rsid w:val="00325275"/>
    <w:rsid w:val="00325466"/>
    <w:rsid w:val="00326438"/>
    <w:rsid w:val="00326722"/>
    <w:rsid w:val="00326B45"/>
    <w:rsid w:val="003278FF"/>
    <w:rsid w:val="00330A2B"/>
    <w:rsid w:val="003329F7"/>
    <w:rsid w:val="003339FB"/>
    <w:rsid w:val="00335065"/>
    <w:rsid w:val="003353AF"/>
    <w:rsid w:val="0033582F"/>
    <w:rsid w:val="00336531"/>
    <w:rsid w:val="0033678D"/>
    <w:rsid w:val="003368CB"/>
    <w:rsid w:val="00336B27"/>
    <w:rsid w:val="00336E4F"/>
    <w:rsid w:val="00337667"/>
    <w:rsid w:val="00340840"/>
    <w:rsid w:val="003441F2"/>
    <w:rsid w:val="003445F9"/>
    <w:rsid w:val="00346221"/>
    <w:rsid w:val="0034687D"/>
    <w:rsid w:val="00346BE7"/>
    <w:rsid w:val="00347F37"/>
    <w:rsid w:val="0035014E"/>
    <w:rsid w:val="003509D9"/>
    <w:rsid w:val="00351731"/>
    <w:rsid w:val="003518CD"/>
    <w:rsid w:val="00351FB8"/>
    <w:rsid w:val="003522E7"/>
    <w:rsid w:val="00353E79"/>
    <w:rsid w:val="003546D4"/>
    <w:rsid w:val="00354A43"/>
    <w:rsid w:val="00354C8F"/>
    <w:rsid w:val="00354FD0"/>
    <w:rsid w:val="00355ED3"/>
    <w:rsid w:val="00356AC4"/>
    <w:rsid w:val="00356D07"/>
    <w:rsid w:val="0035726C"/>
    <w:rsid w:val="003600FB"/>
    <w:rsid w:val="00360251"/>
    <w:rsid w:val="003622E7"/>
    <w:rsid w:val="00362C98"/>
    <w:rsid w:val="00363513"/>
    <w:rsid w:val="003635CE"/>
    <w:rsid w:val="00364129"/>
    <w:rsid w:val="003646B4"/>
    <w:rsid w:val="00365F15"/>
    <w:rsid w:val="00366296"/>
    <w:rsid w:val="003662FC"/>
    <w:rsid w:val="003664EF"/>
    <w:rsid w:val="003675CB"/>
    <w:rsid w:val="003702C2"/>
    <w:rsid w:val="00370780"/>
    <w:rsid w:val="00370D5F"/>
    <w:rsid w:val="003717D1"/>
    <w:rsid w:val="00371B21"/>
    <w:rsid w:val="00371DE1"/>
    <w:rsid w:val="003731C9"/>
    <w:rsid w:val="003735CD"/>
    <w:rsid w:val="00373A1B"/>
    <w:rsid w:val="00373BFB"/>
    <w:rsid w:val="003740C4"/>
    <w:rsid w:val="003750DA"/>
    <w:rsid w:val="00376440"/>
    <w:rsid w:val="00376943"/>
    <w:rsid w:val="00376964"/>
    <w:rsid w:val="00377DE9"/>
    <w:rsid w:val="00377E7E"/>
    <w:rsid w:val="00377F05"/>
    <w:rsid w:val="00380FF4"/>
    <w:rsid w:val="0038119A"/>
    <w:rsid w:val="003816C8"/>
    <w:rsid w:val="00381B0E"/>
    <w:rsid w:val="00381BEC"/>
    <w:rsid w:val="00381C58"/>
    <w:rsid w:val="00381D05"/>
    <w:rsid w:val="003821FB"/>
    <w:rsid w:val="00382499"/>
    <w:rsid w:val="00382571"/>
    <w:rsid w:val="00383CD0"/>
    <w:rsid w:val="00384189"/>
    <w:rsid w:val="0038457E"/>
    <w:rsid w:val="00384BDE"/>
    <w:rsid w:val="00384FBA"/>
    <w:rsid w:val="0038577A"/>
    <w:rsid w:val="0038636E"/>
    <w:rsid w:val="00386813"/>
    <w:rsid w:val="00386E8F"/>
    <w:rsid w:val="00387864"/>
    <w:rsid w:val="00387C38"/>
    <w:rsid w:val="00391C84"/>
    <w:rsid w:val="00392882"/>
    <w:rsid w:val="0039384A"/>
    <w:rsid w:val="00393AE2"/>
    <w:rsid w:val="00393C87"/>
    <w:rsid w:val="00394080"/>
    <w:rsid w:val="00394F4C"/>
    <w:rsid w:val="00395514"/>
    <w:rsid w:val="003958F6"/>
    <w:rsid w:val="0039659B"/>
    <w:rsid w:val="00396779"/>
    <w:rsid w:val="00396AEC"/>
    <w:rsid w:val="00396E95"/>
    <w:rsid w:val="0039726B"/>
    <w:rsid w:val="003A095F"/>
    <w:rsid w:val="003A0F71"/>
    <w:rsid w:val="003A1775"/>
    <w:rsid w:val="003A2797"/>
    <w:rsid w:val="003A2950"/>
    <w:rsid w:val="003A3D0E"/>
    <w:rsid w:val="003A44D8"/>
    <w:rsid w:val="003A4805"/>
    <w:rsid w:val="003A57CA"/>
    <w:rsid w:val="003A5913"/>
    <w:rsid w:val="003A714B"/>
    <w:rsid w:val="003B0042"/>
    <w:rsid w:val="003B0498"/>
    <w:rsid w:val="003B0AC7"/>
    <w:rsid w:val="003B1B19"/>
    <w:rsid w:val="003B2B2E"/>
    <w:rsid w:val="003B2CE6"/>
    <w:rsid w:val="003B309E"/>
    <w:rsid w:val="003B345B"/>
    <w:rsid w:val="003B496C"/>
    <w:rsid w:val="003B586A"/>
    <w:rsid w:val="003B5D83"/>
    <w:rsid w:val="003B5E7B"/>
    <w:rsid w:val="003B5F0C"/>
    <w:rsid w:val="003B5FF6"/>
    <w:rsid w:val="003B706E"/>
    <w:rsid w:val="003B7D7A"/>
    <w:rsid w:val="003C178B"/>
    <w:rsid w:val="003C1B1B"/>
    <w:rsid w:val="003C1D15"/>
    <w:rsid w:val="003C1D66"/>
    <w:rsid w:val="003C2620"/>
    <w:rsid w:val="003C296C"/>
    <w:rsid w:val="003C4309"/>
    <w:rsid w:val="003C4B46"/>
    <w:rsid w:val="003C54C8"/>
    <w:rsid w:val="003C5536"/>
    <w:rsid w:val="003C632D"/>
    <w:rsid w:val="003C6D13"/>
    <w:rsid w:val="003C7063"/>
    <w:rsid w:val="003C7336"/>
    <w:rsid w:val="003D0CA2"/>
    <w:rsid w:val="003D1303"/>
    <w:rsid w:val="003D149C"/>
    <w:rsid w:val="003D14C3"/>
    <w:rsid w:val="003D1D75"/>
    <w:rsid w:val="003D20C6"/>
    <w:rsid w:val="003D2FB5"/>
    <w:rsid w:val="003D3257"/>
    <w:rsid w:val="003D3420"/>
    <w:rsid w:val="003D44C2"/>
    <w:rsid w:val="003D45EF"/>
    <w:rsid w:val="003D4C57"/>
    <w:rsid w:val="003D619B"/>
    <w:rsid w:val="003D62B5"/>
    <w:rsid w:val="003D6901"/>
    <w:rsid w:val="003D6996"/>
    <w:rsid w:val="003D6A99"/>
    <w:rsid w:val="003D6AC1"/>
    <w:rsid w:val="003D6B59"/>
    <w:rsid w:val="003D7A97"/>
    <w:rsid w:val="003E04DC"/>
    <w:rsid w:val="003E0FF1"/>
    <w:rsid w:val="003E1A0C"/>
    <w:rsid w:val="003E1C20"/>
    <w:rsid w:val="003E2E5E"/>
    <w:rsid w:val="003E3328"/>
    <w:rsid w:val="003E42B2"/>
    <w:rsid w:val="003E444D"/>
    <w:rsid w:val="003E4812"/>
    <w:rsid w:val="003E4882"/>
    <w:rsid w:val="003E4A3A"/>
    <w:rsid w:val="003E4D4C"/>
    <w:rsid w:val="003E6696"/>
    <w:rsid w:val="003E73F2"/>
    <w:rsid w:val="003E75C7"/>
    <w:rsid w:val="003E7925"/>
    <w:rsid w:val="003F19A5"/>
    <w:rsid w:val="003F2056"/>
    <w:rsid w:val="003F3177"/>
    <w:rsid w:val="003F3FE3"/>
    <w:rsid w:val="003F4CDC"/>
    <w:rsid w:val="003F52C7"/>
    <w:rsid w:val="003F56D6"/>
    <w:rsid w:val="003F5CFF"/>
    <w:rsid w:val="003F62F3"/>
    <w:rsid w:val="003F666E"/>
    <w:rsid w:val="003F6B56"/>
    <w:rsid w:val="003F718F"/>
    <w:rsid w:val="003F7C1D"/>
    <w:rsid w:val="003F7CA8"/>
    <w:rsid w:val="003F7F89"/>
    <w:rsid w:val="003F7FD1"/>
    <w:rsid w:val="004005FC"/>
    <w:rsid w:val="00401060"/>
    <w:rsid w:val="00401350"/>
    <w:rsid w:val="00401A0C"/>
    <w:rsid w:val="004020A6"/>
    <w:rsid w:val="00402B75"/>
    <w:rsid w:val="00403E96"/>
    <w:rsid w:val="0040489D"/>
    <w:rsid w:val="004048DE"/>
    <w:rsid w:val="00405A41"/>
    <w:rsid w:val="00405F59"/>
    <w:rsid w:val="0040756C"/>
    <w:rsid w:val="00407862"/>
    <w:rsid w:val="0040792E"/>
    <w:rsid w:val="004110CD"/>
    <w:rsid w:val="0041132C"/>
    <w:rsid w:val="00411851"/>
    <w:rsid w:val="004118E8"/>
    <w:rsid w:val="00411A12"/>
    <w:rsid w:val="00411DA5"/>
    <w:rsid w:val="00412A51"/>
    <w:rsid w:val="00412D09"/>
    <w:rsid w:val="00412D57"/>
    <w:rsid w:val="00413657"/>
    <w:rsid w:val="00413D6D"/>
    <w:rsid w:val="00415C22"/>
    <w:rsid w:val="00415E39"/>
    <w:rsid w:val="00415EB5"/>
    <w:rsid w:val="004168A0"/>
    <w:rsid w:val="00417033"/>
    <w:rsid w:val="0041757F"/>
    <w:rsid w:val="00417912"/>
    <w:rsid w:val="0042063C"/>
    <w:rsid w:val="00421436"/>
    <w:rsid w:val="00421778"/>
    <w:rsid w:val="00421F78"/>
    <w:rsid w:val="004222AF"/>
    <w:rsid w:val="0042263D"/>
    <w:rsid w:val="00422E14"/>
    <w:rsid w:val="00423303"/>
    <w:rsid w:val="0042333D"/>
    <w:rsid w:val="004241EA"/>
    <w:rsid w:val="004243A4"/>
    <w:rsid w:val="004245F2"/>
    <w:rsid w:val="00424781"/>
    <w:rsid w:val="00424EE4"/>
    <w:rsid w:val="00425ECC"/>
    <w:rsid w:val="00426B67"/>
    <w:rsid w:val="00426ED1"/>
    <w:rsid w:val="00427EDD"/>
    <w:rsid w:val="00430267"/>
    <w:rsid w:val="004309EB"/>
    <w:rsid w:val="00430C1F"/>
    <w:rsid w:val="00431A0B"/>
    <w:rsid w:val="00431B6E"/>
    <w:rsid w:val="00432245"/>
    <w:rsid w:val="00432327"/>
    <w:rsid w:val="00432729"/>
    <w:rsid w:val="00432868"/>
    <w:rsid w:val="00432D92"/>
    <w:rsid w:val="00432E6A"/>
    <w:rsid w:val="00433033"/>
    <w:rsid w:val="00433224"/>
    <w:rsid w:val="00433769"/>
    <w:rsid w:val="00433902"/>
    <w:rsid w:val="00433D76"/>
    <w:rsid w:val="004345C6"/>
    <w:rsid w:val="00435007"/>
    <w:rsid w:val="004356E2"/>
    <w:rsid w:val="00436A33"/>
    <w:rsid w:val="004378A1"/>
    <w:rsid w:val="00440729"/>
    <w:rsid w:val="00440790"/>
    <w:rsid w:val="004410AC"/>
    <w:rsid w:val="004415EF"/>
    <w:rsid w:val="00443B7F"/>
    <w:rsid w:val="00444A3B"/>
    <w:rsid w:val="00444D66"/>
    <w:rsid w:val="004451D0"/>
    <w:rsid w:val="00445E4A"/>
    <w:rsid w:val="004503E0"/>
    <w:rsid w:val="00450646"/>
    <w:rsid w:val="00450683"/>
    <w:rsid w:val="00450AC0"/>
    <w:rsid w:val="00451839"/>
    <w:rsid w:val="004525C4"/>
    <w:rsid w:val="004525FE"/>
    <w:rsid w:val="00453739"/>
    <w:rsid w:val="0045428D"/>
    <w:rsid w:val="004549F1"/>
    <w:rsid w:val="00454A32"/>
    <w:rsid w:val="00454F2E"/>
    <w:rsid w:val="0045576D"/>
    <w:rsid w:val="00455B5E"/>
    <w:rsid w:val="00455BAB"/>
    <w:rsid w:val="00456F64"/>
    <w:rsid w:val="004576D1"/>
    <w:rsid w:val="0045781A"/>
    <w:rsid w:val="00457AFB"/>
    <w:rsid w:val="00460247"/>
    <w:rsid w:val="00460485"/>
    <w:rsid w:val="00460818"/>
    <w:rsid w:val="004608E2"/>
    <w:rsid w:val="00460AA2"/>
    <w:rsid w:val="0046197F"/>
    <w:rsid w:val="00461E08"/>
    <w:rsid w:val="00462756"/>
    <w:rsid w:val="00462F7C"/>
    <w:rsid w:val="00463365"/>
    <w:rsid w:val="00463971"/>
    <w:rsid w:val="00463CF3"/>
    <w:rsid w:val="00463E5F"/>
    <w:rsid w:val="0046510D"/>
    <w:rsid w:val="0046569C"/>
    <w:rsid w:val="00465CB4"/>
    <w:rsid w:val="00466037"/>
    <w:rsid w:val="00466ED3"/>
    <w:rsid w:val="004674E9"/>
    <w:rsid w:val="0046754F"/>
    <w:rsid w:val="004677FD"/>
    <w:rsid w:val="00470FD5"/>
    <w:rsid w:val="00471359"/>
    <w:rsid w:val="00471650"/>
    <w:rsid w:val="004716D0"/>
    <w:rsid w:val="004717A2"/>
    <w:rsid w:val="004719CD"/>
    <w:rsid w:val="00472266"/>
    <w:rsid w:val="004727C5"/>
    <w:rsid w:val="00473212"/>
    <w:rsid w:val="0047394F"/>
    <w:rsid w:val="00473DBD"/>
    <w:rsid w:val="0047428E"/>
    <w:rsid w:val="00475A9E"/>
    <w:rsid w:val="004760D8"/>
    <w:rsid w:val="00476432"/>
    <w:rsid w:val="004765AC"/>
    <w:rsid w:val="0047680C"/>
    <w:rsid w:val="00476B2A"/>
    <w:rsid w:val="004777DF"/>
    <w:rsid w:val="004813D5"/>
    <w:rsid w:val="004817EC"/>
    <w:rsid w:val="0048211B"/>
    <w:rsid w:val="004836A2"/>
    <w:rsid w:val="004840D2"/>
    <w:rsid w:val="00484817"/>
    <w:rsid w:val="004857DD"/>
    <w:rsid w:val="0048613A"/>
    <w:rsid w:val="00486227"/>
    <w:rsid w:val="004868EF"/>
    <w:rsid w:val="0048690D"/>
    <w:rsid w:val="00486EE5"/>
    <w:rsid w:val="004871E6"/>
    <w:rsid w:val="004871F5"/>
    <w:rsid w:val="00487348"/>
    <w:rsid w:val="00490003"/>
    <w:rsid w:val="00490449"/>
    <w:rsid w:val="0049089F"/>
    <w:rsid w:val="00490DFE"/>
    <w:rsid w:val="004919CA"/>
    <w:rsid w:val="00491F50"/>
    <w:rsid w:val="0049278B"/>
    <w:rsid w:val="00493055"/>
    <w:rsid w:val="00494ABE"/>
    <w:rsid w:val="00494CC5"/>
    <w:rsid w:val="00494E90"/>
    <w:rsid w:val="0049537F"/>
    <w:rsid w:val="004954D1"/>
    <w:rsid w:val="00495C10"/>
    <w:rsid w:val="00495FE1"/>
    <w:rsid w:val="0049678E"/>
    <w:rsid w:val="00496A45"/>
    <w:rsid w:val="004A0A07"/>
    <w:rsid w:val="004A117A"/>
    <w:rsid w:val="004A1AF6"/>
    <w:rsid w:val="004A1B00"/>
    <w:rsid w:val="004A498C"/>
    <w:rsid w:val="004A4AA2"/>
    <w:rsid w:val="004A4B11"/>
    <w:rsid w:val="004A4BEC"/>
    <w:rsid w:val="004A588D"/>
    <w:rsid w:val="004A59FE"/>
    <w:rsid w:val="004A5A57"/>
    <w:rsid w:val="004A5AFD"/>
    <w:rsid w:val="004A6A04"/>
    <w:rsid w:val="004A6A78"/>
    <w:rsid w:val="004A76EA"/>
    <w:rsid w:val="004A7987"/>
    <w:rsid w:val="004B001B"/>
    <w:rsid w:val="004B00B3"/>
    <w:rsid w:val="004B00CD"/>
    <w:rsid w:val="004B02BE"/>
    <w:rsid w:val="004B0791"/>
    <w:rsid w:val="004B0F1E"/>
    <w:rsid w:val="004B12BE"/>
    <w:rsid w:val="004B1DC0"/>
    <w:rsid w:val="004B265C"/>
    <w:rsid w:val="004B28A9"/>
    <w:rsid w:val="004B2EFA"/>
    <w:rsid w:val="004B3300"/>
    <w:rsid w:val="004B46F8"/>
    <w:rsid w:val="004B5886"/>
    <w:rsid w:val="004B633D"/>
    <w:rsid w:val="004B7489"/>
    <w:rsid w:val="004B7F93"/>
    <w:rsid w:val="004C0090"/>
    <w:rsid w:val="004C061B"/>
    <w:rsid w:val="004C0BE2"/>
    <w:rsid w:val="004C17F9"/>
    <w:rsid w:val="004C2113"/>
    <w:rsid w:val="004C2521"/>
    <w:rsid w:val="004C2684"/>
    <w:rsid w:val="004C3FF7"/>
    <w:rsid w:val="004C469D"/>
    <w:rsid w:val="004C5012"/>
    <w:rsid w:val="004C5072"/>
    <w:rsid w:val="004C5567"/>
    <w:rsid w:val="004C5788"/>
    <w:rsid w:val="004C5E1A"/>
    <w:rsid w:val="004C6AD1"/>
    <w:rsid w:val="004C6AFC"/>
    <w:rsid w:val="004C7F7D"/>
    <w:rsid w:val="004D00D8"/>
    <w:rsid w:val="004D00EA"/>
    <w:rsid w:val="004D0276"/>
    <w:rsid w:val="004D04D5"/>
    <w:rsid w:val="004D05DE"/>
    <w:rsid w:val="004D0B7B"/>
    <w:rsid w:val="004D113D"/>
    <w:rsid w:val="004D115E"/>
    <w:rsid w:val="004D274A"/>
    <w:rsid w:val="004D3384"/>
    <w:rsid w:val="004D3433"/>
    <w:rsid w:val="004D376E"/>
    <w:rsid w:val="004D3BE9"/>
    <w:rsid w:val="004D437F"/>
    <w:rsid w:val="004D551F"/>
    <w:rsid w:val="004D56E0"/>
    <w:rsid w:val="004D5D93"/>
    <w:rsid w:val="004D6010"/>
    <w:rsid w:val="004D75A1"/>
    <w:rsid w:val="004E137D"/>
    <w:rsid w:val="004E18B0"/>
    <w:rsid w:val="004E19C5"/>
    <w:rsid w:val="004E24F1"/>
    <w:rsid w:val="004E2DDB"/>
    <w:rsid w:val="004E363A"/>
    <w:rsid w:val="004E45AB"/>
    <w:rsid w:val="004E570C"/>
    <w:rsid w:val="004E5811"/>
    <w:rsid w:val="004E631D"/>
    <w:rsid w:val="004E6B46"/>
    <w:rsid w:val="004E7FF5"/>
    <w:rsid w:val="004F0170"/>
    <w:rsid w:val="004F03FF"/>
    <w:rsid w:val="004F04AA"/>
    <w:rsid w:val="004F0880"/>
    <w:rsid w:val="004F0884"/>
    <w:rsid w:val="004F114D"/>
    <w:rsid w:val="004F1C7B"/>
    <w:rsid w:val="004F1EE0"/>
    <w:rsid w:val="004F2092"/>
    <w:rsid w:val="004F3464"/>
    <w:rsid w:val="004F37CE"/>
    <w:rsid w:val="004F56B3"/>
    <w:rsid w:val="004F58E0"/>
    <w:rsid w:val="004F6072"/>
    <w:rsid w:val="004F60C3"/>
    <w:rsid w:val="004F60EF"/>
    <w:rsid w:val="004F733D"/>
    <w:rsid w:val="004F766C"/>
    <w:rsid w:val="004F7817"/>
    <w:rsid w:val="004F7CD8"/>
    <w:rsid w:val="00501808"/>
    <w:rsid w:val="00501AF0"/>
    <w:rsid w:val="00501E25"/>
    <w:rsid w:val="00503120"/>
    <w:rsid w:val="00503893"/>
    <w:rsid w:val="005038BB"/>
    <w:rsid w:val="00503D93"/>
    <w:rsid w:val="00504FAC"/>
    <w:rsid w:val="00505331"/>
    <w:rsid w:val="00505A50"/>
    <w:rsid w:val="00505B10"/>
    <w:rsid w:val="005079E4"/>
    <w:rsid w:val="00510CFE"/>
    <w:rsid w:val="00510F0E"/>
    <w:rsid w:val="005124C9"/>
    <w:rsid w:val="00513163"/>
    <w:rsid w:val="00514E8A"/>
    <w:rsid w:val="0051515D"/>
    <w:rsid w:val="00515C10"/>
    <w:rsid w:val="0051612B"/>
    <w:rsid w:val="005164D8"/>
    <w:rsid w:val="00517E6E"/>
    <w:rsid w:val="00520AE7"/>
    <w:rsid w:val="00520C05"/>
    <w:rsid w:val="00521C18"/>
    <w:rsid w:val="0052216E"/>
    <w:rsid w:val="005223C4"/>
    <w:rsid w:val="005226ED"/>
    <w:rsid w:val="00522F75"/>
    <w:rsid w:val="005230B3"/>
    <w:rsid w:val="00523AC7"/>
    <w:rsid w:val="00523EE6"/>
    <w:rsid w:val="0052417B"/>
    <w:rsid w:val="005244E9"/>
    <w:rsid w:val="00524DB0"/>
    <w:rsid w:val="00524E89"/>
    <w:rsid w:val="0052503F"/>
    <w:rsid w:val="005250D6"/>
    <w:rsid w:val="0052576C"/>
    <w:rsid w:val="005257FB"/>
    <w:rsid w:val="0052589C"/>
    <w:rsid w:val="00525B4F"/>
    <w:rsid w:val="005272A6"/>
    <w:rsid w:val="00527C43"/>
    <w:rsid w:val="00527F83"/>
    <w:rsid w:val="0053106A"/>
    <w:rsid w:val="0053131D"/>
    <w:rsid w:val="00531445"/>
    <w:rsid w:val="005317E2"/>
    <w:rsid w:val="00531929"/>
    <w:rsid w:val="00531C3E"/>
    <w:rsid w:val="00531FDA"/>
    <w:rsid w:val="00532444"/>
    <w:rsid w:val="005326A4"/>
    <w:rsid w:val="0053360D"/>
    <w:rsid w:val="0053368D"/>
    <w:rsid w:val="005338F5"/>
    <w:rsid w:val="00533D0C"/>
    <w:rsid w:val="005344B2"/>
    <w:rsid w:val="005349C4"/>
    <w:rsid w:val="00534CDC"/>
    <w:rsid w:val="00534D16"/>
    <w:rsid w:val="00536ADE"/>
    <w:rsid w:val="00536B81"/>
    <w:rsid w:val="005400A7"/>
    <w:rsid w:val="0054108B"/>
    <w:rsid w:val="00541A5F"/>
    <w:rsid w:val="00541BE4"/>
    <w:rsid w:val="00542007"/>
    <w:rsid w:val="00542558"/>
    <w:rsid w:val="0054260F"/>
    <w:rsid w:val="0054316E"/>
    <w:rsid w:val="00543EC0"/>
    <w:rsid w:val="0054413D"/>
    <w:rsid w:val="00544B32"/>
    <w:rsid w:val="00545A39"/>
    <w:rsid w:val="00545D21"/>
    <w:rsid w:val="005477DB"/>
    <w:rsid w:val="005477DE"/>
    <w:rsid w:val="00550AAC"/>
    <w:rsid w:val="00550AD6"/>
    <w:rsid w:val="0055140B"/>
    <w:rsid w:val="00551A7A"/>
    <w:rsid w:val="00551A92"/>
    <w:rsid w:val="0055269E"/>
    <w:rsid w:val="00552982"/>
    <w:rsid w:val="00552AF0"/>
    <w:rsid w:val="00552C6A"/>
    <w:rsid w:val="005530D3"/>
    <w:rsid w:val="00553177"/>
    <w:rsid w:val="00553222"/>
    <w:rsid w:val="00553AD6"/>
    <w:rsid w:val="0055445D"/>
    <w:rsid w:val="005545E5"/>
    <w:rsid w:val="005548B8"/>
    <w:rsid w:val="00554B19"/>
    <w:rsid w:val="0055606A"/>
    <w:rsid w:val="00556734"/>
    <w:rsid w:val="00556A9E"/>
    <w:rsid w:val="005570CC"/>
    <w:rsid w:val="00557E8B"/>
    <w:rsid w:val="005607EA"/>
    <w:rsid w:val="00560F9B"/>
    <w:rsid w:val="005627E0"/>
    <w:rsid w:val="00562EEE"/>
    <w:rsid w:val="00563669"/>
    <w:rsid w:val="00563F34"/>
    <w:rsid w:val="00564366"/>
    <w:rsid w:val="00564DFA"/>
    <w:rsid w:val="00564EF2"/>
    <w:rsid w:val="00564F67"/>
    <w:rsid w:val="00565661"/>
    <w:rsid w:val="0056746D"/>
    <w:rsid w:val="00570041"/>
    <w:rsid w:val="00571747"/>
    <w:rsid w:val="00571E4B"/>
    <w:rsid w:val="00572470"/>
    <w:rsid w:val="005728F2"/>
    <w:rsid w:val="005730DD"/>
    <w:rsid w:val="00573220"/>
    <w:rsid w:val="00573BCB"/>
    <w:rsid w:val="00573C6C"/>
    <w:rsid w:val="0057537E"/>
    <w:rsid w:val="00575C02"/>
    <w:rsid w:val="00576030"/>
    <w:rsid w:val="005761B7"/>
    <w:rsid w:val="005768AF"/>
    <w:rsid w:val="00576CA4"/>
    <w:rsid w:val="00577A35"/>
    <w:rsid w:val="00580BC4"/>
    <w:rsid w:val="00581604"/>
    <w:rsid w:val="00582204"/>
    <w:rsid w:val="00582B51"/>
    <w:rsid w:val="00582D0A"/>
    <w:rsid w:val="0058359A"/>
    <w:rsid w:val="00584204"/>
    <w:rsid w:val="00584564"/>
    <w:rsid w:val="00584787"/>
    <w:rsid w:val="005847D2"/>
    <w:rsid w:val="00584F4F"/>
    <w:rsid w:val="00585A7F"/>
    <w:rsid w:val="00585C47"/>
    <w:rsid w:val="005861FB"/>
    <w:rsid w:val="005865AA"/>
    <w:rsid w:val="005867C6"/>
    <w:rsid w:val="00587316"/>
    <w:rsid w:val="005874DD"/>
    <w:rsid w:val="005878FF"/>
    <w:rsid w:val="00590D4E"/>
    <w:rsid w:val="00590E2B"/>
    <w:rsid w:val="005912FD"/>
    <w:rsid w:val="005914B9"/>
    <w:rsid w:val="00591B21"/>
    <w:rsid w:val="00591D2B"/>
    <w:rsid w:val="0059282D"/>
    <w:rsid w:val="00592A63"/>
    <w:rsid w:val="00592A98"/>
    <w:rsid w:val="005946CC"/>
    <w:rsid w:val="005947AA"/>
    <w:rsid w:val="005947DF"/>
    <w:rsid w:val="00594B4E"/>
    <w:rsid w:val="005953D0"/>
    <w:rsid w:val="00595818"/>
    <w:rsid w:val="00595EE0"/>
    <w:rsid w:val="00595F1A"/>
    <w:rsid w:val="00597004"/>
    <w:rsid w:val="005A0682"/>
    <w:rsid w:val="005A0C4A"/>
    <w:rsid w:val="005A10BE"/>
    <w:rsid w:val="005A1A90"/>
    <w:rsid w:val="005A2105"/>
    <w:rsid w:val="005A2329"/>
    <w:rsid w:val="005A2A03"/>
    <w:rsid w:val="005A3160"/>
    <w:rsid w:val="005A31CC"/>
    <w:rsid w:val="005A3D3A"/>
    <w:rsid w:val="005A5749"/>
    <w:rsid w:val="005A5961"/>
    <w:rsid w:val="005A5980"/>
    <w:rsid w:val="005A5BC6"/>
    <w:rsid w:val="005A6353"/>
    <w:rsid w:val="005A641C"/>
    <w:rsid w:val="005A6516"/>
    <w:rsid w:val="005A6A8A"/>
    <w:rsid w:val="005A6F77"/>
    <w:rsid w:val="005A708D"/>
    <w:rsid w:val="005A745A"/>
    <w:rsid w:val="005B05EA"/>
    <w:rsid w:val="005B0B81"/>
    <w:rsid w:val="005B0F33"/>
    <w:rsid w:val="005B0F54"/>
    <w:rsid w:val="005B130F"/>
    <w:rsid w:val="005B1A1C"/>
    <w:rsid w:val="005B249A"/>
    <w:rsid w:val="005B27E4"/>
    <w:rsid w:val="005B2905"/>
    <w:rsid w:val="005B311E"/>
    <w:rsid w:val="005B3702"/>
    <w:rsid w:val="005B3BD4"/>
    <w:rsid w:val="005B4C37"/>
    <w:rsid w:val="005B4FC9"/>
    <w:rsid w:val="005B5DC8"/>
    <w:rsid w:val="005B6F2C"/>
    <w:rsid w:val="005B76FA"/>
    <w:rsid w:val="005B7826"/>
    <w:rsid w:val="005B7CE1"/>
    <w:rsid w:val="005C0230"/>
    <w:rsid w:val="005C093F"/>
    <w:rsid w:val="005C148A"/>
    <w:rsid w:val="005C16B4"/>
    <w:rsid w:val="005C2510"/>
    <w:rsid w:val="005C2A4D"/>
    <w:rsid w:val="005C3166"/>
    <w:rsid w:val="005C3701"/>
    <w:rsid w:val="005C410D"/>
    <w:rsid w:val="005C491C"/>
    <w:rsid w:val="005C4E4A"/>
    <w:rsid w:val="005C5503"/>
    <w:rsid w:val="005C5A00"/>
    <w:rsid w:val="005C5BDC"/>
    <w:rsid w:val="005C66C2"/>
    <w:rsid w:val="005C6A5A"/>
    <w:rsid w:val="005C6E47"/>
    <w:rsid w:val="005C76B8"/>
    <w:rsid w:val="005C7EA4"/>
    <w:rsid w:val="005D04AD"/>
    <w:rsid w:val="005D09DE"/>
    <w:rsid w:val="005D0D45"/>
    <w:rsid w:val="005D1987"/>
    <w:rsid w:val="005D1993"/>
    <w:rsid w:val="005D26CE"/>
    <w:rsid w:val="005D296A"/>
    <w:rsid w:val="005D3054"/>
    <w:rsid w:val="005D31A7"/>
    <w:rsid w:val="005D492A"/>
    <w:rsid w:val="005D4C6D"/>
    <w:rsid w:val="005D5160"/>
    <w:rsid w:val="005D56E4"/>
    <w:rsid w:val="005D571F"/>
    <w:rsid w:val="005D62F2"/>
    <w:rsid w:val="005D6505"/>
    <w:rsid w:val="005D663B"/>
    <w:rsid w:val="005D6680"/>
    <w:rsid w:val="005D6CA2"/>
    <w:rsid w:val="005D6F8F"/>
    <w:rsid w:val="005D780F"/>
    <w:rsid w:val="005E0150"/>
    <w:rsid w:val="005E093E"/>
    <w:rsid w:val="005E0AA3"/>
    <w:rsid w:val="005E125B"/>
    <w:rsid w:val="005E12F2"/>
    <w:rsid w:val="005E2BD4"/>
    <w:rsid w:val="005E32EA"/>
    <w:rsid w:val="005E38DA"/>
    <w:rsid w:val="005E3E48"/>
    <w:rsid w:val="005E50A4"/>
    <w:rsid w:val="005E5825"/>
    <w:rsid w:val="005E60AB"/>
    <w:rsid w:val="005E6379"/>
    <w:rsid w:val="005E65CA"/>
    <w:rsid w:val="005E73D8"/>
    <w:rsid w:val="005E7DA2"/>
    <w:rsid w:val="005F16A3"/>
    <w:rsid w:val="005F33CF"/>
    <w:rsid w:val="005F37D1"/>
    <w:rsid w:val="005F4696"/>
    <w:rsid w:val="005F5AC6"/>
    <w:rsid w:val="005F64CF"/>
    <w:rsid w:val="005F65CA"/>
    <w:rsid w:val="005F7B7E"/>
    <w:rsid w:val="005F7E94"/>
    <w:rsid w:val="005F7F04"/>
    <w:rsid w:val="005F7FE3"/>
    <w:rsid w:val="006000CF"/>
    <w:rsid w:val="00600B30"/>
    <w:rsid w:val="00600BA1"/>
    <w:rsid w:val="00600D01"/>
    <w:rsid w:val="00600D35"/>
    <w:rsid w:val="00601834"/>
    <w:rsid w:val="00601C20"/>
    <w:rsid w:val="00601E8F"/>
    <w:rsid w:val="00602AE7"/>
    <w:rsid w:val="006047A2"/>
    <w:rsid w:val="006057E1"/>
    <w:rsid w:val="00606ABB"/>
    <w:rsid w:val="006105ED"/>
    <w:rsid w:val="006112A4"/>
    <w:rsid w:val="0061198C"/>
    <w:rsid w:val="00612759"/>
    <w:rsid w:val="0061294A"/>
    <w:rsid w:val="00612952"/>
    <w:rsid w:val="00613684"/>
    <w:rsid w:val="00613D9C"/>
    <w:rsid w:val="00614E46"/>
    <w:rsid w:val="00615839"/>
    <w:rsid w:val="006171C6"/>
    <w:rsid w:val="006173AD"/>
    <w:rsid w:val="006175A3"/>
    <w:rsid w:val="00617BC7"/>
    <w:rsid w:val="00621320"/>
    <w:rsid w:val="00621A1D"/>
    <w:rsid w:val="00621E45"/>
    <w:rsid w:val="0062201B"/>
    <w:rsid w:val="00622BF8"/>
    <w:rsid w:val="00622FD6"/>
    <w:rsid w:val="00623BB5"/>
    <w:rsid w:val="00624267"/>
    <w:rsid w:val="00624D41"/>
    <w:rsid w:val="00625352"/>
    <w:rsid w:val="00625533"/>
    <w:rsid w:val="00625EE7"/>
    <w:rsid w:val="006260AF"/>
    <w:rsid w:val="00626205"/>
    <w:rsid w:val="0062669A"/>
    <w:rsid w:val="006270A5"/>
    <w:rsid w:val="0063066D"/>
    <w:rsid w:val="00630C6C"/>
    <w:rsid w:val="00630FE3"/>
    <w:rsid w:val="006311F3"/>
    <w:rsid w:val="00631221"/>
    <w:rsid w:val="00632259"/>
    <w:rsid w:val="006331D0"/>
    <w:rsid w:val="006334A0"/>
    <w:rsid w:val="00633711"/>
    <w:rsid w:val="00633792"/>
    <w:rsid w:val="00635707"/>
    <w:rsid w:val="00635F75"/>
    <w:rsid w:val="006365A8"/>
    <w:rsid w:val="006373B3"/>
    <w:rsid w:val="00637CB5"/>
    <w:rsid w:val="00637FE8"/>
    <w:rsid w:val="00641BB7"/>
    <w:rsid w:val="00642E62"/>
    <w:rsid w:val="0064333A"/>
    <w:rsid w:val="00643A14"/>
    <w:rsid w:val="00643BB2"/>
    <w:rsid w:val="00647158"/>
    <w:rsid w:val="00647392"/>
    <w:rsid w:val="00647525"/>
    <w:rsid w:val="006478F4"/>
    <w:rsid w:val="0065093A"/>
    <w:rsid w:val="00650DAD"/>
    <w:rsid w:val="00650FF1"/>
    <w:rsid w:val="006511D2"/>
    <w:rsid w:val="00651EB8"/>
    <w:rsid w:val="00653B67"/>
    <w:rsid w:val="00653DFB"/>
    <w:rsid w:val="00654470"/>
    <w:rsid w:val="00654623"/>
    <w:rsid w:val="006555FD"/>
    <w:rsid w:val="00656B61"/>
    <w:rsid w:val="006576F2"/>
    <w:rsid w:val="00657C3B"/>
    <w:rsid w:val="00657D3F"/>
    <w:rsid w:val="006603B9"/>
    <w:rsid w:val="00660EC0"/>
    <w:rsid w:val="00661317"/>
    <w:rsid w:val="0066163C"/>
    <w:rsid w:val="006616E8"/>
    <w:rsid w:val="00661882"/>
    <w:rsid w:val="0066249E"/>
    <w:rsid w:val="006639A2"/>
    <w:rsid w:val="00663F54"/>
    <w:rsid w:val="0066490E"/>
    <w:rsid w:val="00665369"/>
    <w:rsid w:val="00665787"/>
    <w:rsid w:val="006671F1"/>
    <w:rsid w:val="006676A0"/>
    <w:rsid w:val="006718C9"/>
    <w:rsid w:val="00671C8D"/>
    <w:rsid w:val="00671EAC"/>
    <w:rsid w:val="006741E0"/>
    <w:rsid w:val="006743A8"/>
    <w:rsid w:val="006748B4"/>
    <w:rsid w:val="00674DE6"/>
    <w:rsid w:val="00675319"/>
    <w:rsid w:val="00675829"/>
    <w:rsid w:val="00675BCB"/>
    <w:rsid w:val="00676018"/>
    <w:rsid w:val="0067613E"/>
    <w:rsid w:val="00676274"/>
    <w:rsid w:val="006778BF"/>
    <w:rsid w:val="00677ECF"/>
    <w:rsid w:val="0068022C"/>
    <w:rsid w:val="006804B4"/>
    <w:rsid w:val="006810BE"/>
    <w:rsid w:val="0068352A"/>
    <w:rsid w:val="00683919"/>
    <w:rsid w:val="00683ECE"/>
    <w:rsid w:val="00684A71"/>
    <w:rsid w:val="00685B79"/>
    <w:rsid w:val="00685EEA"/>
    <w:rsid w:val="00690287"/>
    <w:rsid w:val="00690297"/>
    <w:rsid w:val="00691F17"/>
    <w:rsid w:val="0069208D"/>
    <w:rsid w:val="00693133"/>
    <w:rsid w:val="00693B9B"/>
    <w:rsid w:val="00693BFD"/>
    <w:rsid w:val="00693E2A"/>
    <w:rsid w:val="006947D2"/>
    <w:rsid w:val="00694A94"/>
    <w:rsid w:val="00694FCA"/>
    <w:rsid w:val="00695577"/>
    <w:rsid w:val="00696320"/>
    <w:rsid w:val="00696D8E"/>
    <w:rsid w:val="00696FB5"/>
    <w:rsid w:val="00697091"/>
    <w:rsid w:val="00697672"/>
    <w:rsid w:val="006A0237"/>
    <w:rsid w:val="006A096F"/>
    <w:rsid w:val="006A1735"/>
    <w:rsid w:val="006A1A52"/>
    <w:rsid w:val="006A1C48"/>
    <w:rsid w:val="006A20A2"/>
    <w:rsid w:val="006A31ED"/>
    <w:rsid w:val="006A42B8"/>
    <w:rsid w:val="006A4470"/>
    <w:rsid w:val="006A612D"/>
    <w:rsid w:val="006A637C"/>
    <w:rsid w:val="006A6882"/>
    <w:rsid w:val="006A6D63"/>
    <w:rsid w:val="006A6F58"/>
    <w:rsid w:val="006A7A0F"/>
    <w:rsid w:val="006A7DAF"/>
    <w:rsid w:val="006A7E23"/>
    <w:rsid w:val="006A7FA5"/>
    <w:rsid w:val="006B039D"/>
    <w:rsid w:val="006B0804"/>
    <w:rsid w:val="006B0EDB"/>
    <w:rsid w:val="006B2828"/>
    <w:rsid w:val="006B365C"/>
    <w:rsid w:val="006B4AE1"/>
    <w:rsid w:val="006B4BD1"/>
    <w:rsid w:val="006B59AB"/>
    <w:rsid w:val="006B629F"/>
    <w:rsid w:val="006B6301"/>
    <w:rsid w:val="006B658F"/>
    <w:rsid w:val="006B6AF4"/>
    <w:rsid w:val="006B6B94"/>
    <w:rsid w:val="006B744C"/>
    <w:rsid w:val="006B7557"/>
    <w:rsid w:val="006C0DAE"/>
    <w:rsid w:val="006C0DE1"/>
    <w:rsid w:val="006C11CF"/>
    <w:rsid w:val="006C1300"/>
    <w:rsid w:val="006C2220"/>
    <w:rsid w:val="006C2790"/>
    <w:rsid w:val="006C2B8C"/>
    <w:rsid w:val="006C2C63"/>
    <w:rsid w:val="006C2E16"/>
    <w:rsid w:val="006C30A0"/>
    <w:rsid w:val="006C38E3"/>
    <w:rsid w:val="006C42BE"/>
    <w:rsid w:val="006C4488"/>
    <w:rsid w:val="006C4497"/>
    <w:rsid w:val="006C4535"/>
    <w:rsid w:val="006C46FB"/>
    <w:rsid w:val="006C5B22"/>
    <w:rsid w:val="006C63BD"/>
    <w:rsid w:val="006C6A7A"/>
    <w:rsid w:val="006C6DD8"/>
    <w:rsid w:val="006C7527"/>
    <w:rsid w:val="006C7818"/>
    <w:rsid w:val="006C7FEB"/>
    <w:rsid w:val="006D00F8"/>
    <w:rsid w:val="006D0770"/>
    <w:rsid w:val="006D103A"/>
    <w:rsid w:val="006D1D3A"/>
    <w:rsid w:val="006D20ED"/>
    <w:rsid w:val="006D277E"/>
    <w:rsid w:val="006D3401"/>
    <w:rsid w:val="006D350D"/>
    <w:rsid w:val="006D358B"/>
    <w:rsid w:val="006D3658"/>
    <w:rsid w:val="006D3C1F"/>
    <w:rsid w:val="006D4B5F"/>
    <w:rsid w:val="006D4E7B"/>
    <w:rsid w:val="006D53F6"/>
    <w:rsid w:val="006D5EF9"/>
    <w:rsid w:val="006D720E"/>
    <w:rsid w:val="006D7983"/>
    <w:rsid w:val="006D7F68"/>
    <w:rsid w:val="006E02E8"/>
    <w:rsid w:val="006E0AE0"/>
    <w:rsid w:val="006E14E1"/>
    <w:rsid w:val="006E1DEB"/>
    <w:rsid w:val="006E1EFF"/>
    <w:rsid w:val="006E2A02"/>
    <w:rsid w:val="006E2D66"/>
    <w:rsid w:val="006E3A24"/>
    <w:rsid w:val="006E3F4B"/>
    <w:rsid w:val="006E4649"/>
    <w:rsid w:val="006E5BD3"/>
    <w:rsid w:val="006E61E1"/>
    <w:rsid w:val="006E6201"/>
    <w:rsid w:val="006E710F"/>
    <w:rsid w:val="006E727D"/>
    <w:rsid w:val="006F05EA"/>
    <w:rsid w:val="006F0A1B"/>
    <w:rsid w:val="006F0F81"/>
    <w:rsid w:val="006F1675"/>
    <w:rsid w:val="006F181D"/>
    <w:rsid w:val="006F26BE"/>
    <w:rsid w:val="006F2C4D"/>
    <w:rsid w:val="006F35A2"/>
    <w:rsid w:val="006F37B2"/>
    <w:rsid w:val="006F4494"/>
    <w:rsid w:val="006F4D40"/>
    <w:rsid w:val="006F613E"/>
    <w:rsid w:val="006F621A"/>
    <w:rsid w:val="006F6BEF"/>
    <w:rsid w:val="006F7405"/>
    <w:rsid w:val="0070024B"/>
    <w:rsid w:val="00702021"/>
    <w:rsid w:val="00702CE4"/>
    <w:rsid w:val="00702F27"/>
    <w:rsid w:val="0070375A"/>
    <w:rsid w:val="007038B6"/>
    <w:rsid w:val="00704470"/>
    <w:rsid w:val="00704E1C"/>
    <w:rsid w:val="00704F63"/>
    <w:rsid w:val="00705303"/>
    <w:rsid w:val="007065D0"/>
    <w:rsid w:val="00710D69"/>
    <w:rsid w:val="00710E9F"/>
    <w:rsid w:val="00711757"/>
    <w:rsid w:val="00711834"/>
    <w:rsid w:val="007125C1"/>
    <w:rsid w:val="00713C48"/>
    <w:rsid w:val="00715171"/>
    <w:rsid w:val="00715AA5"/>
    <w:rsid w:val="00716020"/>
    <w:rsid w:val="007166A3"/>
    <w:rsid w:val="007168B3"/>
    <w:rsid w:val="00716F31"/>
    <w:rsid w:val="0071761E"/>
    <w:rsid w:val="007177BA"/>
    <w:rsid w:val="00717E5E"/>
    <w:rsid w:val="007203B5"/>
    <w:rsid w:val="00720995"/>
    <w:rsid w:val="0072150C"/>
    <w:rsid w:val="00722024"/>
    <w:rsid w:val="0072242E"/>
    <w:rsid w:val="00722616"/>
    <w:rsid w:val="00723819"/>
    <w:rsid w:val="00723C0F"/>
    <w:rsid w:val="00724080"/>
    <w:rsid w:val="007253D5"/>
    <w:rsid w:val="0072561B"/>
    <w:rsid w:val="00725D91"/>
    <w:rsid w:val="00725FCA"/>
    <w:rsid w:val="0072616E"/>
    <w:rsid w:val="007261C9"/>
    <w:rsid w:val="00726850"/>
    <w:rsid w:val="00726D23"/>
    <w:rsid w:val="00727476"/>
    <w:rsid w:val="007276D6"/>
    <w:rsid w:val="00727BCE"/>
    <w:rsid w:val="00727C92"/>
    <w:rsid w:val="00730513"/>
    <w:rsid w:val="007307BC"/>
    <w:rsid w:val="00730993"/>
    <w:rsid w:val="00731309"/>
    <w:rsid w:val="0073139F"/>
    <w:rsid w:val="007320FE"/>
    <w:rsid w:val="007324BE"/>
    <w:rsid w:val="00732696"/>
    <w:rsid w:val="00732B52"/>
    <w:rsid w:val="00732DBA"/>
    <w:rsid w:val="007332B8"/>
    <w:rsid w:val="00733A3C"/>
    <w:rsid w:val="00734753"/>
    <w:rsid w:val="00734933"/>
    <w:rsid w:val="0073619C"/>
    <w:rsid w:val="007415D2"/>
    <w:rsid w:val="007419CD"/>
    <w:rsid w:val="007421F5"/>
    <w:rsid w:val="00742938"/>
    <w:rsid w:val="00742948"/>
    <w:rsid w:val="0074325F"/>
    <w:rsid w:val="007443B6"/>
    <w:rsid w:val="00744F58"/>
    <w:rsid w:val="00745EC2"/>
    <w:rsid w:val="007464FC"/>
    <w:rsid w:val="00747034"/>
    <w:rsid w:val="0074790B"/>
    <w:rsid w:val="00750F21"/>
    <w:rsid w:val="007511BA"/>
    <w:rsid w:val="007511FE"/>
    <w:rsid w:val="00751405"/>
    <w:rsid w:val="00751CF6"/>
    <w:rsid w:val="007520DB"/>
    <w:rsid w:val="00752208"/>
    <w:rsid w:val="00753B80"/>
    <w:rsid w:val="00753DCF"/>
    <w:rsid w:val="00753F0B"/>
    <w:rsid w:val="0075461B"/>
    <w:rsid w:val="007547CA"/>
    <w:rsid w:val="0075509B"/>
    <w:rsid w:val="00755393"/>
    <w:rsid w:val="0075640B"/>
    <w:rsid w:val="007565C1"/>
    <w:rsid w:val="00757005"/>
    <w:rsid w:val="00757272"/>
    <w:rsid w:val="00760538"/>
    <w:rsid w:val="00760645"/>
    <w:rsid w:val="00761031"/>
    <w:rsid w:val="00761EB5"/>
    <w:rsid w:val="007621A2"/>
    <w:rsid w:val="007627D4"/>
    <w:rsid w:val="007629C7"/>
    <w:rsid w:val="00764BE5"/>
    <w:rsid w:val="0076521B"/>
    <w:rsid w:val="0076522A"/>
    <w:rsid w:val="00765385"/>
    <w:rsid w:val="007661CA"/>
    <w:rsid w:val="00766636"/>
    <w:rsid w:val="00766A70"/>
    <w:rsid w:val="00770086"/>
    <w:rsid w:val="00770601"/>
    <w:rsid w:val="007708AC"/>
    <w:rsid w:val="00770B3F"/>
    <w:rsid w:val="00771088"/>
    <w:rsid w:val="0077130B"/>
    <w:rsid w:val="0077148C"/>
    <w:rsid w:val="007717F5"/>
    <w:rsid w:val="00771B15"/>
    <w:rsid w:val="00771C31"/>
    <w:rsid w:val="007724AF"/>
    <w:rsid w:val="007729D9"/>
    <w:rsid w:val="00773374"/>
    <w:rsid w:val="00773393"/>
    <w:rsid w:val="0077515D"/>
    <w:rsid w:val="00777D4A"/>
    <w:rsid w:val="0078028E"/>
    <w:rsid w:val="0078063D"/>
    <w:rsid w:val="00780BD3"/>
    <w:rsid w:val="007818C1"/>
    <w:rsid w:val="00781A9D"/>
    <w:rsid w:val="00782441"/>
    <w:rsid w:val="007828D1"/>
    <w:rsid w:val="00782A71"/>
    <w:rsid w:val="00782FB7"/>
    <w:rsid w:val="00782FD9"/>
    <w:rsid w:val="00784B28"/>
    <w:rsid w:val="00784FB2"/>
    <w:rsid w:val="00785868"/>
    <w:rsid w:val="00786002"/>
    <w:rsid w:val="00786C63"/>
    <w:rsid w:val="00787003"/>
    <w:rsid w:val="00787288"/>
    <w:rsid w:val="007873A6"/>
    <w:rsid w:val="00787B73"/>
    <w:rsid w:val="007913E3"/>
    <w:rsid w:val="00791CDF"/>
    <w:rsid w:val="00792442"/>
    <w:rsid w:val="007939B5"/>
    <w:rsid w:val="00793A4D"/>
    <w:rsid w:val="00793F4E"/>
    <w:rsid w:val="00793F72"/>
    <w:rsid w:val="007957AD"/>
    <w:rsid w:val="00795C1A"/>
    <w:rsid w:val="00796AD0"/>
    <w:rsid w:val="00796E46"/>
    <w:rsid w:val="00797EB0"/>
    <w:rsid w:val="007A01A5"/>
    <w:rsid w:val="007A0692"/>
    <w:rsid w:val="007A0935"/>
    <w:rsid w:val="007A0B35"/>
    <w:rsid w:val="007A0D9C"/>
    <w:rsid w:val="007A113B"/>
    <w:rsid w:val="007A128B"/>
    <w:rsid w:val="007A16EE"/>
    <w:rsid w:val="007A1D4E"/>
    <w:rsid w:val="007A3887"/>
    <w:rsid w:val="007A39C1"/>
    <w:rsid w:val="007A4103"/>
    <w:rsid w:val="007A463F"/>
    <w:rsid w:val="007A5537"/>
    <w:rsid w:val="007A57A7"/>
    <w:rsid w:val="007A59E9"/>
    <w:rsid w:val="007A5EC0"/>
    <w:rsid w:val="007A65BA"/>
    <w:rsid w:val="007A690B"/>
    <w:rsid w:val="007A70F4"/>
    <w:rsid w:val="007A740C"/>
    <w:rsid w:val="007A76EE"/>
    <w:rsid w:val="007B05C3"/>
    <w:rsid w:val="007B16FD"/>
    <w:rsid w:val="007B18C8"/>
    <w:rsid w:val="007B1A81"/>
    <w:rsid w:val="007B1D44"/>
    <w:rsid w:val="007B1E69"/>
    <w:rsid w:val="007B20EE"/>
    <w:rsid w:val="007B277F"/>
    <w:rsid w:val="007B2B28"/>
    <w:rsid w:val="007B3364"/>
    <w:rsid w:val="007B4641"/>
    <w:rsid w:val="007B4846"/>
    <w:rsid w:val="007B49AB"/>
    <w:rsid w:val="007B4D16"/>
    <w:rsid w:val="007B4DCF"/>
    <w:rsid w:val="007B4FEF"/>
    <w:rsid w:val="007B537B"/>
    <w:rsid w:val="007B5B03"/>
    <w:rsid w:val="007B6CFA"/>
    <w:rsid w:val="007B7B82"/>
    <w:rsid w:val="007C1313"/>
    <w:rsid w:val="007C3050"/>
    <w:rsid w:val="007C39D4"/>
    <w:rsid w:val="007C417A"/>
    <w:rsid w:val="007C4A82"/>
    <w:rsid w:val="007C4F4E"/>
    <w:rsid w:val="007C556C"/>
    <w:rsid w:val="007C5925"/>
    <w:rsid w:val="007C64BD"/>
    <w:rsid w:val="007C690D"/>
    <w:rsid w:val="007C6992"/>
    <w:rsid w:val="007C74BB"/>
    <w:rsid w:val="007C7FB3"/>
    <w:rsid w:val="007D138C"/>
    <w:rsid w:val="007D15DF"/>
    <w:rsid w:val="007D1E8E"/>
    <w:rsid w:val="007D21CC"/>
    <w:rsid w:val="007D22D8"/>
    <w:rsid w:val="007D47B3"/>
    <w:rsid w:val="007D486D"/>
    <w:rsid w:val="007D4F37"/>
    <w:rsid w:val="007D5C81"/>
    <w:rsid w:val="007D6C08"/>
    <w:rsid w:val="007D70D8"/>
    <w:rsid w:val="007D7488"/>
    <w:rsid w:val="007D7BDE"/>
    <w:rsid w:val="007E0715"/>
    <w:rsid w:val="007E107A"/>
    <w:rsid w:val="007E1C3E"/>
    <w:rsid w:val="007E1D10"/>
    <w:rsid w:val="007E4357"/>
    <w:rsid w:val="007E4471"/>
    <w:rsid w:val="007E456F"/>
    <w:rsid w:val="007E464F"/>
    <w:rsid w:val="007E4A29"/>
    <w:rsid w:val="007E7027"/>
    <w:rsid w:val="007E78E7"/>
    <w:rsid w:val="007F018C"/>
    <w:rsid w:val="007F057E"/>
    <w:rsid w:val="007F08E8"/>
    <w:rsid w:val="007F10D1"/>
    <w:rsid w:val="007F1885"/>
    <w:rsid w:val="007F2359"/>
    <w:rsid w:val="007F2E3D"/>
    <w:rsid w:val="007F3159"/>
    <w:rsid w:val="007F3A98"/>
    <w:rsid w:val="007F3BDD"/>
    <w:rsid w:val="007F42C3"/>
    <w:rsid w:val="007F438F"/>
    <w:rsid w:val="007F4F37"/>
    <w:rsid w:val="007F5564"/>
    <w:rsid w:val="007F6002"/>
    <w:rsid w:val="007F61C8"/>
    <w:rsid w:val="007F6584"/>
    <w:rsid w:val="007F68FC"/>
    <w:rsid w:val="007F7F47"/>
    <w:rsid w:val="007F7FF7"/>
    <w:rsid w:val="00800376"/>
    <w:rsid w:val="0080137D"/>
    <w:rsid w:val="008018E9"/>
    <w:rsid w:val="00801C02"/>
    <w:rsid w:val="00801C28"/>
    <w:rsid w:val="008023D4"/>
    <w:rsid w:val="0080255A"/>
    <w:rsid w:val="00802952"/>
    <w:rsid w:val="00803192"/>
    <w:rsid w:val="00803808"/>
    <w:rsid w:val="00803F5B"/>
    <w:rsid w:val="00804169"/>
    <w:rsid w:val="00804975"/>
    <w:rsid w:val="00804D68"/>
    <w:rsid w:val="00805135"/>
    <w:rsid w:val="008055BA"/>
    <w:rsid w:val="00805894"/>
    <w:rsid w:val="00806239"/>
    <w:rsid w:val="00806BDF"/>
    <w:rsid w:val="00806DE5"/>
    <w:rsid w:val="00807531"/>
    <w:rsid w:val="00807C93"/>
    <w:rsid w:val="00807E5B"/>
    <w:rsid w:val="0081156E"/>
    <w:rsid w:val="00811917"/>
    <w:rsid w:val="00811BEC"/>
    <w:rsid w:val="00812253"/>
    <w:rsid w:val="0081235C"/>
    <w:rsid w:val="00813859"/>
    <w:rsid w:val="00813D80"/>
    <w:rsid w:val="00813F1E"/>
    <w:rsid w:val="00814265"/>
    <w:rsid w:val="00815595"/>
    <w:rsid w:val="0081683F"/>
    <w:rsid w:val="008171E9"/>
    <w:rsid w:val="0081734C"/>
    <w:rsid w:val="00817EB6"/>
    <w:rsid w:val="00817F89"/>
    <w:rsid w:val="00820D01"/>
    <w:rsid w:val="008210E5"/>
    <w:rsid w:val="008211BA"/>
    <w:rsid w:val="00821230"/>
    <w:rsid w:val="00821989"/>
    <w:rsid w:val="00822247"/>
    <w:rsid w:val="00822E05"/>
    <w:rsid w:val="00824838"/>
    <w:rsid w:val="00825231"/>
    <w:rsid w:val="008276A1"/>
    <w:rsid w:val="00827F3D"/>
    <w:rsid w:val="00830B01"/>
    <w:rsid w:val="00830B84"/>
    <w:rsid w:val="00830B87"/>
    <w:rsid w:val="00830C96"/>
    <w:rsid w:val="008319BC"/>
    <w:rsid w:val="00832498"/>
    <w:rsid w:val="008328BE"/>
    <w:rsid w:val="00832A5F"/>
    <w:rsid w:val="00833DE2"/>
    <w:rsid w:val="00834997"/>
    <w:rsid w:val="00834D40"/>
    <w:rsid w:val="0083575E"/>
    <w:rsid w:val="0083599F"/>
    <w:rsid w:val="008360C2"/>
    <w:rsid w:val="00836B64"/>
    <w:rsid w:val="00836B65"/>
    <w:rsid w:val="0083767B"/>
    <w:rsid w:val="00840DF9"/>
    <w:rsid w:val="00842886"/>
    <w:rsid w:val="00844396"/>
    <w:rsid w:val="008443E7"/>
    <w:rsid w:val="00844B4E"/>
    <w:rsid w:val="00845A14"/>
    <w:rsid w:val="0085034A"/>
    <w:rsid w:val="00851B18"/>
    <w:rsid w:val="00852343"/>
    <w:rsid w:val="00852591"/>
    <w:rsid w:val="008528CA"/>
    <w:rsid w:val="00853398"/>
    <w:rsid w:val="00853AB6"/>
    <w:rsid w:val="00854199"/>
    <w:rsid w:val="00855699"/>
    <w:rsid w:val="00855F17"/>
    <w:rsid w:val="008574D0"/>
    <w:rsid w:val="0085750C"/>
    <w:rsid w:val="0085782B"/>
    <w:rsid w:val="00860131"/>
    <w:rsid w:val="0086013D"/>
    <w:rsid w:val="00860821"/>
    <w:rsid w:val="00860B73"/>
    <w:rsid w:val="00861243"/>
    <w:rsid w:val="00861725"/>
    <w:rsid w:val="008620AD"/>
    <w:rsid w:val="00862730"/>
    <w:rsid w:val="00863003"/>
    <w:rsid w:val="008637D4"/>
    <w:rsid w:val="0086423A"/>
    <w:rsid w:val="0086512E"/>
    <w:rsid w:val="0086646F"/>
    <w:rsid w:val="00866756"/>
    <w:rsid w:val="00866BC0"/>
    <w:rsid w:val="00866D1B"/>
    <w:rsid w:val="008702A8"/>
    <w:rsid w:val="00871D1A"/>
    <w:rsid w:val="008721A0"/>
    <w:rsid w:val="00872271"/>
    <w:rsid w:val="00872554"/>
    <w:rsid w:val="008725F3"/>
    <w:rsid w:val="008731D0"/>
    <w:rsid w:val="0087345E"/>
    <w:rsid w:val="0087434F"/>
    <w:rsid w:val="008750C7"/>
    <w:rsid w:val="008751C3"/>
    <w:rsid w:val="00875979"/>
    <w:rsid w:val="00875B49"/>
    <w:rsid w:val="008768C0"/>
    <w:rsid w:val="008771A7"/>
    <w:rsid w:val="00877765"/>
    <w:rsid w:val="00877806"/>
    <w:rsid w:val="00877AA4"/>
    <w:rsid w:val="00877D85"/>
    <w:rsid w:val="00880DFB"/>
    <w:rsid w:val="00880EAD"/>
    <w:rsid w:val="0088103F"/>
    <w:rsid w:val="0088220A"/>
    <w:rsid w:val="008825BE"/>
    <w:rsid w:val="00882ED9"/>
    <w:rsid w:val="00883038"/>
    <w:rsid w:val="00883897"/>
    <w:rsid w:val="008849DF"/>
    <w:rsid w:val="00884D0A"/>
    <w:rsid w:val="00885379"/>
    <w:rsid w:val="0088542B"/>
    <w:rsid w:val="00885A31"/>
    <w:rsid w:val="00885F54"/>
    <w:rsid w:val="00886691"/>
    <w:rsid w:val="008869A1"/>
    <w:rsid w:val="00886BA3"/>
    <w:rsid w:val="00886BB1"/>
    <w:rsid w:val="008871C9"/>
    <w:rsid w:val="00887965"/>
    <w:rsid w:val="00887E11"/>
    <w:rsid w:val="008900E3"/>
    <w:rsid w:val="00891003"/>
    <w:rsid w:val="0089121D"/>
    <w:rsid w:val="0089128D"/>
    <w:rsid w:val="0089162C"/>
    <w:rsid w:val="0089284D"/>
    <w:rsid w:val="008935AD"/>
    <w:rsid w:val="00895CF2"/>
    <w:rsid w:val="008970D2"/>
    <w:rsid w:val="00897334"/>
    <w:rsid w:val="00897350"/>
    <w:rsid w:val="008979A1"/>
    <w:rsid w:val="00897FDE"/>
    <w:rsid w:val="008A0C79"/>
    <w:rsid w:val="008A109D"/>
    <w:rsid w:val="008A10BA"/>
    <w:rsid w:val="008A1982"/>
    <w:rsid w:val="008A3389"/>
    <w:rsid w:val="008A342B"/>
    <w:rsid w:val="008A3712"/>
    <w:rsid w:val="008A3F6F"/>
    <w:rsid w:val="008A4681"/>
    <w:rsid w:val="008A5392"/>
    <w:rsid w:val="008A5589"/>
    <w:rsid w:val="008A558A"/>
    <w:rsid w:val="008A5726"/>
    <w:rsid w:val="008A629A"/>
    <w:rsid w:val="008A656F"/>
    <w:rsid w:val="008A7392"/>
    <w:rsid w:val="008A7BBF"/>
    <w:rsid w:val="008B0BD0"/>
    <w:rsid w:val="008B140F"/>
    <w:rsid w:val="008B1BA1"/>
    <w:rsid w:val="008B369C"/>
    <w:rsid w:val="008B3D9E"/>
    <w:rsid w:val="008B3FE6"/>
    <w:rsid w:val="008B4397"/>
    <w:rsid w:val="008B471E"/>
    <w:rsid w:val="008B4B44"/>
    <w:rsid w:val="008B5FA7"/>
    <w:rsid w:val="008C01A2"/>
    <w:rsid w:val="008C091F"/>
    <w:rsid w:val="008C0D3D"/>
    <w:rsid w:val="008C19D1"/>
    <w:rsid w:val="008C24F3"/>
    <w:rsid w:val="008C26AB"/>
    <w:rsid w:val="008C2A30"/>
    <w:rsid w:val="008C2B59"/>
    <w:rsid w:val="008C387E"/>
    <w:rsid w:val="008C3E4D"/>
    <w:rsid w:val="008C3F40"/>
    <w:rsid w:val="008C42D2"/>
    <w:rsid w:val="008C4CD5"/>
    <w:rsid w:val="008C56DF"/>
    <w:rsid w:val="008C5918"/>
    <w:rsid w:val="008C5A44"/>
    <w:rsid w:val="008C5F7A"/>
    <w:rsid w:val="008C6297"/>
    <w:rsid w:val="008C6B18"/>
    <w:rsid w:val="008C7152"/>
    <w:rsid w:val="008C794B"/>
    <w:rsid w:val="008C7A23"/>
    <w:rsid w:val="008D0322"/>
    <w:rsid w:val="008D1FC9"/>
    <w:rsid w:val="008D3932"/>
    <w:rsid w:val="008D45F1"/>
    <w:rsid w:val="008D47D2"/>
    <w:rsid w:val="008D51E0"/>
    <w:rsid w:val="008D5D56"/>
    <w:rsid w:val="008D713D"/>
    <w:rsid w:val="008D7A29"/>
    <w:rsid w:val="008D7EE8"/>
    <w:rsid w:val="008E075A"/>
    <w:rsid w:val="008E0C21"/>
    <w:rsid w:val="008E1018"/>
    <w:rsid w:val="008E1289"/>
    <w:rsid w:val="008E13BC"/>
    <w:rsid w:val="008E1A31"/>
    <w:rsid w:val="008E1D4F"/>
    <w:rsid w:val="008E2224"/>
    <w:rsid w:val="008E29B3"/>
    <w:rsid w:val="008E3A0D"/>
    <w:rsid w:val="008E49B6"/>
    <w:rsid w:val="008E5393"/>
    <w:rsid w:val="008E701B"/>
    <w:rsid w:val="008E790D"/>
    <w:rsid w:val="008F0C3F"/>
    <w:rsid w:val="008F0EEF"/>
    <w:rsid w:val="008F12A7"/>
    <w:rsid w:val="008F1960"/>
    <w:rsid w:val="008F1C4B"/>
    <w:rsid w:val="008F1CC5"/>
    <w:rsid w:val="008F1E97"/>
    <w:rsid w:val="008F217C"/>
    <w:rsid w:val="008F290A"/>
    <w:rsid w:val="008F3340"/>
    <w:rsid w:val="008F517C"/>
    <w:rsid w:val="008F5A11"/>
    <w:rsid w:val="008F5F56"/>
    <w:rsid w:val="008F6598"/>
    <w:rsid w:val="008F6C3D"/>
    <w:rsid w:val="008F752E"/>
    <w:rsid w:val="008F79BA"/>
    <w:rsid w:val="008F7BDE"/>
    <w:rsid w:val="00900207"/>
    <w:rsid w:val="0090073A"/>
    <w:rsid w:val="00900CC3"/>
    <w:rsid w:val="00900E13"/>
    <w:rsid w:val="00901A9D"/>
    <w:rsid w:val="00902150"/>
    <w:rsid w:val="0090298C"/>
    <w:rsid w:val="00902BE0"/>
    <w:rsid w:val="00904506"/>
    <w:rsid w:val="00905972"/>
    <w:rsid w:val="00905EA3"/>
    <w:rsid w:val="009060DB"/>
    <w:rsid w:val="0090642B"/>
    <w:rsid w:val="0090675E"/>
    <w:rsid w:val="00907544"/>
    <w:rsid w:val="0090780E"/>
    <w:rsid w:val="00907907"/>
    <w:rsid w:val="00911014"/>
    <w:rsid w:val="00911CF3"/>
    <w:rsid w:val="00912109"/>
    <w:rsid w:val="009123DC"/>
    <w:rsid w:val="00912F51"/>
    <w:rsid w:val="009133DB"/>
    <w:rsid w:val="009137A1"/>
    <w:rsid w:val="00913B90"/>
    <w:rsid w:val="00913CE7"/>
    <w:rsid w:val="009141B8"/>
    <w:rsid w:val="0091492D"/>
    <w:rsid w:val="00914DEC"/>
    <w:rsid w:val="00916187"/>
    <w:rsid w:val="00916B41"/>
    <w:rsid w:val="00916C30"/>
    <w:rsid w:val="00917042"/>
    <w:rsid w:val="009172E4"/>
    <w:rsid w:val="009206F5"/>
    <w:rsid w:val="0092129B"/>
    <w:rsid w:val="0092214E"/>
    <w:rsid w:val="00922267"/>
    <w:rsid w:val="0092263D"/>
    <w:rsid w:val="00923575"/>
    <w:rsid w:val="00924A19"/>
    <w:rsid w:val="00924C26"/>
    <w:rsid w:val="00925E9F"/>
    <w:rsid w:val="00926365"/>
    <w:rsid w:val="009265DB"/>
    <w:rsid w:val="0092746D"/>
    <w:rsid w:val="00927ABF"/>
    <w:rsid w:val="00927B43"/>
    <w:rsid w:val="009303ED"/>
    <w:rsid w:val="009308E0"/>
    <w:rsid w:val="00931C24"/>
    <w:rsid w:val="0093226D"/>
    <w:rsid w:val="009329DB"/>
    <w:rsid w:val="00932C9B"/>
    <w:rsid w:val="0093409B"/>
    <w:rsid w:val="00935C51"/>
    <w:rsid w:val="00936739"/>
    <w:rsid w:val="00936F1B"/>
    <w:rsid w:val="009371FC"/>
    <w:rsid w:val="009372D7"/>
    <w:rsid w:val="00937ED4"/>
    <w:rsid w:val="00940497"/>
    <w:rsid w:val="00940617"/>
    <w:rsid w:val="009426F9"/>
    <w:rsid w:val="00943C4C"/>
    <w:rsid w:val="00943F2D"/>
    <w:rsid w:val="00945211"/>
    <w:rsid w:val="00946502"/>
    <w:rsid w:val="00946D8C"/>
    <w:rsid w:val="00950449"/>
    <w:rsid w:val="00950A93"/>
    <w:rsid w:val="00951F23"/>
    <w:rsid w:val="00952318"/>
    <w:rsid w:val="009524B9"/>
    <w:rsid w:val="00953FF4"/>
    <w:rsid w:val="00954C4E"/>
    <w:rsid w:val="009551BA"/>
    <w:rsid w:val="00955D83"/>
    <w:rsid w:val="009560A6"/>
    <w:rsid w:val="0095616B"/>
    <w:rsid w:val="00956CF1"/>
    <w:rsid w:val="009570EF"/>
    <w:rsid w:val="009571B9"/>
    <w:rsid w:val="0095757C"/>
    <w:rsid w:val="0095765A"/>
    <w:rsid w:val="00960332"/>
    <w:rsid w:val="009605A7"/>
    <w:rsid w:val="00960C48"/>
    <w:rsid w:val="00961772"/>
    <w:rsid w:val="009618B6"/>
    <w:rsid w:val="00962128"/>
    <w:rsid w:val="00962178"/>
    <w:rsid w:val="00962C2B"/>
    <w:rsid w:val="009631B1"/>
    <w:rsid w:val="00963B91"/>
    <w:rsid w:val="00963D0A"/>
    <w:rsid w:val="00963E9A"/>
    <w:rsid w:val="0096415C"/>
    <w:rsid w:val="00964512"/>
    <w:rsid w:val="00964E90"/>
    <w:rsid w:val="00965181"/>
    <w:rsid w:val="009655CB"/>
    <w:rsid w:val="00965DE8"/>
    <w:rsid w:val="00966D53"/>
    <w:rsid w:val="00966DD2"/>
    <w:rsid w:val="00970634"/>
    <w:rsid w:val="00970EE6"/>
    <w:rsid w:val="00975C4E"/>
    <w:rsid w:val="00975E84"/>
    <w:rsid w:val="009764FE"/>
    <w:rsid w:val="00976E20"/>
    <w:rsid w:val="0097747D"/>
    <w:rsid w:val="009775A4"/>
    <w:rsid w:val="00980266"/>
    <w:rsid w:val="009807B7"/>
    <w:rsid w:val="00981659"/>
    <w:rsid w:val="00982615"/>
    <w:rsid w:val="0098464C"/>
    <w:rsid w:val="00984B42"/>
    <w:rsid w:val="009856A5"/>
    <w:rsid w:val="0099064C"/>
    <w:rsid w:val="009912D2"/>
    <w:rsid w:val="00991983"/>
    <w:rsid w:val="00991F4B"/>
    <w:rsid w:val="00992274"/>
    <w:rsid w:val="00992D74"/>
    <w:rsid w:val="00993646"/>
    <w:rsid w:val="00993733"/>
    <w:rsid w:val="00993B52"/>
    <w:rsid w:val="0099442B"/>
    <w:rsid w:val="00994954"/>
    <w:rsid w:val="00995E2F"/>
    <w:rsid w:val="0099688D"/>
    <w:rsid w:val="0099698D"/>
    <w:rsid w:val="00996C99"/>
    <w:rsid w:val="009976FA"/>
    <w:rsid w:val="00997E66"/>
    <w:rsid w:val="009A13EE"/>
    <w:rsid w:val="009A14E7"/>
    <w:rsid w:val="009A1A26"/>
    <w:rsid w:val="009A23D9"/>
    <w:rsid w:val="009A29B0"/>
    <w:rsid w:val="009A3C54"/>
    <w:rsid w:val="009A41B0"/>
    <w:rsid w:val="009A4650"/>
    <w:rsid w:val="009A4DE9"/>
    <w:rsid w:val="009A4EF1"/>
    <w:rsid w:val="009A5251"/>
    <w:rsid w:val="009A5438"/>
    <w:rsid w:val="009A55FD"/>
    <w:rsid w:val="009A5A12"/>
    <w:rsid w:val="009A5F9C"/>
    <w:rsid w:val="009A5FC6"/>
    <w:rsid w:val="009A6BF7"/>
    <w:rsid w:val="009A6C30"/>
    <w:rsid w:val="009A6C81"/>
    <w:rsid w:val="009A72AD"/>
    <w:rsid w:val="009A769A"/>
    <w:rsid w:val="009B08FD"/>
    <w:rsid w:val="009B1A11"/>
    <w:rsid w:val="009B1F7F"/>
    <w:rsid w:val="009B2079"/>
    <w:rsid w:val="009B27BF"/>
    <w:rsid w:val="009B39A6"/>
    <w:rsid w:val="009B3EC5"/>
    <w:rsid w:val="009B40C9"/>
    <w:rsid w:val="009B4EB1"/>
    <w:rsid w:val="009B513E"/>
    <w:rsid w:val="009B5D8D"/>
    <w:rsid w:val="009B67C4"/>
    <w:rsid w:val="009B79D8"/>
    <w:rsid w:val="009B79F7"/>
    <w:rsid w:val="009B7AAA"/>
    <w:rsid w:val="009B7BA1"/>
    <w:rsid w:val="009B7C7F"/>
    <w:rsid w:val="009B7E59"/>
    <w:rsid w:val="009C0235"/>
    <w:rsid w:val="009C024E"/>
    <w:rsid w:val="009C039D"/>
    <w:rsid w:val="009C0858"/>
    <w:rsid w:val="009C0881"/>
    <w:rsid w:val="009C0EF6"/>
    <w:rsid w:val="009C1850"/>
    <w:rsid w:val="009C221B"/>
    <w:rsid w:val="009C23A9"/>
    <w:rsid w:val="009C26F9"/>
    <w:rsid w:val="009C2B6C"/>
    <w:rsid w:val="009C3A88"/>
    <w:rsid w:val="009C47BF"/>
    <w:rsid w:val="009C47E1"/>
    <w:rsid w:val="009C63F0"/>
    <w:rsid w:val="009C7F0D"/>
    <w:rsid w:val="009D037D"/>
    <w:rsid w:val="009D0686"/>
    <w:rsid w:val="009D084E"/>
    <w:rsid w:val="009D0F05"/>
    <w:rsid w:val="009D185A"/>
    <w:rsid w:val="009D1CA0"/>
    <w:rsid w:val="009D2D81"/>
    <w:rsid w:val="009D411F"/>
    <w:rsid w:val="009D41E8"/>
    <w:rsid w:val="009D4585"/>
    <w:rsid w:val="009D48B9"/>
    <w:rsid w:val="009D4B94"/>
    <w:rsid w:val="009D4EC4"/>
    <w:rsid w:val="009D4EF5"/>
    <w:rsid w:val="009D567E"/>
    <w:rsid w:val="009D63E7"/>
    <w:rsid w:val="009D64F4"/>
    <w:rsid w:val="009D65C0"/>
    <w:rsid w:val="009D6B21"/>
    <w:rsid w:val="009D7236"/>
    <w:rsid w:val="009D736B"/>
    <w:rsid w:val="009E098D"/>
    <w:rsid w:val="009E0B22"/>
    <w:rsid w:val="009E0E25"/>
    <w:rsid w:val="009E15CD"/>
    <w:rsid w:val="009E29AB"/>
    <w:rsid w:val="009E2F69"/>
    <w:rsid w:val="009E3257"/>
    <w:rsid w:val="009E344B"/>
    <w:rsid w:val="009E3F09"/>
    <w:rsid w:val="009E498A"/>
    <w:rsid w:val="009E574C"/>
    <w:rsid w:val="009E5A61"/>
    <w:rsid w:val="009E5ED0"/>
    <w:rsid w:val="009E5F3D"/>
    <w:rsid w:val="009E6AA0"/>
    <w:rsid w:val="009E6FD5"/>
    <w:rsid w:val="009F004E"/>
    <w:rsid w:val="009F0903"/>
    <w:rsid w:val="009F0B30"/>
    <w:rsid w:val="009F0FE6"/>
    <w:rsid w:val="009F109A"/>
    <w:rsid w:val="009F10B6"/>
    <w:rsid w:val="009F1BFE"/>
    <w:rsid w:val="009F2217"/>
    <w:rsid w:val="009F28B4"/>
    <w:rsid w:val="009F2F91"/>
    <w:rsid w:val="009F3F26"/>
    <w:rsid w:val="009F455A"/>
    <w:rsid w:val="009F46DC"/>
    <w:rsid w:val="009F4909"/>
    <w:rsid w:val="009F62E0"/>
    <w:rsid w:val="009F65E7"/>
    <w:rsid w:val="009F69B1"/>
    <w:rsid w:val="009F7749"/>
    <w:rsid w:val="00A001F5"/>
    <w:rsid w:val="00A00ED8"/>
    <w:rsid w:val="00A01B1A"/>
    <w:rsid w:val="00A01BD5"/>
    <w:rsid w:val="00A01D91"/>
    <w:rsid w:val="00A025FF"/>
    <w:rsid w:val="00A02842"/>
    <w:rsid w:val="00A02D79"/>
    <w:rsid w:val="00A02E8C"/>
    <w:rsid w:val="00A03030"/>
    <w:rsid w:val="00A038FD"/>
    <w:rsid w:val="00A046E7"/>
    <w:rsid w:val="00A048BE"/>
    <w:rsid w:val="00A065B7"/>
    <w:rsid w:val="00A07462"/>
    <w:rsid w:val="00A07CEF"/>
    <w:rsid w:val="00A07D8F"/>
    <w:rsid w:val="00A107AD"/>
    <w:rsid w:val="00A111C0"/>
    <w:rsid w:val="00A11298"/>
    <w:rsid w:val="00A12BFB"/>
    <w:rsid w:val="00A12DDC"/>
    <w:rsid w:val="00A138F5"/>
    <w:rsid w:val="00A13C01"/>
    <w:rsid w:val="00A14667"/>
    <w:rsid w:val="00A154AD"/>
    <w:rsid w:val="00A16BA6"/>
    <w:rsid w:val="00A16F17"/>
    <w:rsid w:val="00A207A8"/>
    <w:rsid w:val="00A21870"/>
    <w:rsid w:val="00A21AD7"/>
    <w:rsid w:val="00A22016"/>
    <w:rsid w:val="00A22031"/>
    <w:rsid w:val="00A22728"/>
    <w:rsid w:val="00A23933"/>
    <w:rsid w:val="00A244CC"/>
    <w:rsid w:val="00A245E7"/>
    <w:rsid w:val="00A24F26"/>
    <w:rsid w:val="00A2511E"/>
    <w:rsid w:val="00A25495"/>
    <w:rsid w:val="00A25F45"/>
    <w:rsid w:val="00A27776"/>
    <w:rsid w:val="00A3026B"/>
    <w:rsid w:val="00A30CAA"/>
    <w:rsid w:val="00A30E56"/>
    <w:rsid w:val="00A30E74"/>
    <w:rsid w:val="00A31C26"/>
    <w:rsid w:val="00A31F6E"/>
    <w:rsid w:val="00A32818"/>
    <w:rsid w:val="00A32FD4"/>
    <w:rsid w:val="00A3401E"/>
    <w:rsid w:val="00A34918"/>
    <w:rsid w:val="00A34A69"/>
    <w:rsid w:val="00A34B15"/>
    <w:rsid w:val="00A34DED"/>
    <w:rsid w:val="00A35628"/>
    <w:rsid w:val="00A35751"/>
    <w:rsid w:val="00A35929"/>
    <w:rsid w:val="00A35E3A"/>
    <w:rsid w:val="00A365FF"/>
    <w:rsid w:val="00A36F79"/>
    <w:rsid w:val="00A37189"/>
    <w:rsid w:val="00A37E95"/>
    <w:rsid w:val="00A4006E"/>
    <w:rsid w:val="00A40464"/>
    <w:rsid w:val="00A40E9D"/>
    <w:rsid w:val="00A412D7"/>
    <w:rsid w:val="00A4143F"/>
    <w:rsid w:val="00A41A33"/>
    <w:rsid w:val="00A4225C"/>
    <w:rsid w:val="00A42424"/>
    <w:rsid w:val="00A42CAB"/>
    <w:rsid w:val="00A4332B"/>
    <w:rsid w:val="00A46DC2"/>
    <w:rsid w:val="00A473A3"/>
    <w:rsid w:val="00A47811"/>
    <w:rsid w:val="00A47BBE"/>
    <w:rsid w:val="00A47E18"/>
    <w:rsid w:val="00A50C2E"/>
    <w:rsid w:val="00A512C1"/>
    <w:rsid w:val="00A5141F"/>
    <w:rsid w:val="00A51DA9"/>
    <w:rsid w:val="00A52312"/>
    <w:rsid w:val="00A53D38"/>
    <w:rsid w:val="00A547BB"/>
    <w:rsid w:val="00A5516B"/>
    <w:rsid w:val="00A559B1"/>
    <w:rsid w:val="00A55B66"/>
    <w:rsid w:val="00A56103"/>
    <w:rsid w:val="00A5701A"/>
    <w:rsid w:val="00A5735E"/>
    <w:rsid w:val="00A6074C"/>
    <w:rsid w:val="00A608D3"/>
    <w:rsid w:val="00A6110D"/>
    <w:rsid w:val="00A611A1"/>
    <w:rsid w:val="00A61270"/>
    <w:rsid w:val="00A62557"/>
    <w:rsid w:val="00A6333D"/>
    <w:rsid w:val="00A63D7E"/>
    <w:rsid w:val="00A6428F"/>
    <w:rsid w:val="00A6553B"/>
    <w:rsid w:val="00A664D7"/>
    <w:rsid w:val="00A6729C"/>
    <w:rsid w:val="00A70995"/>
    <w:rsid w:val="00A709E0"/>
    <w:rsid w:val="00A70E34"/>
    <w:rsid w:val="00A70F30"/>
    <w:rsid w:val="00A71B07"/>
    <w:rsid w:val="00A72066"/>
    <w:rsid w:val="00A725DB"/>
    <w:rsid w:val="00A74015"/>
    <w:rsid w:val="00A7455D"/>
    <w:rsid w:val="00A74647"/>
    <w:rsid w:val="00A74D25"/>
    <w:rsid w:val="00A751D0"/>
    <w:rsid w:val="00A753E1"/>
    <w:rsid w:val="00A75862"/>
    <w:rsid w:val="00A762DB"/>
    <w:rsid w:val="00A763BF"/>
    <w:rsid w:val="00A76BB1"/>
    <w:rsid w:val="00A76C03"/>
    <w:rsid w:val="00A7735C"/>
    <w:rsid w:val="00A77CB8"/>
    <w:rsid w:val="00A80C68"/>
    <w:rsid w:val="00A80FDF"/>
    <w:rsid w:val="00A81A48"/>
    <w:rsid w:val="00A8247A"/>
    <w:rsid w:val="00A8313D"/>
    <w:rsid w:val="00A83AE4"/>
    <w:rsid w:val="00A8445C"/>
    <w:rsid w:val="00A849C9"/>
    <w:rsid w:val="00A8528D"/>
    <w:rsid w:val="00A85676"/>
    <w:rsid w:val="00A86395"/>
    <w:rsid w:val="00A86B27"/>
    <w:rsid w:val="00A86C7E"/>
    <w:rsid w:val="00A91020"/>
    <w:rsid w:val="00A91651"/>
    <w:rsid w:val="00A91834"/>
    <w:rsid w:val="00A91F10"/>
    <w:rsid w:val="00A91F4A"/>
    <w:rsid w:val="00A92EB2"/>
    <w:rsid w:val="00A934D8"/>
    <w:rsid w:val="00A9383F"/>
    <w:rsid w:val="00A93B08"/>
    <w:rsid w:val="00A947B4"/>
    <w:rsid w:val="00A95394"/>
    <w:rsid w:val="00A95754"/>
    <w:rsid w:val="00A95B6C"/>
    <w:rsid w:val="00A9655B"/>
    <w:rsid w:val="00A96B44"/>
    <w:rsid w:val="00A96E1E"/>
    <w:rsid w:val="00AA01FE"/>
    <w:rsid w:val="00AA099D"/>
    <w:rsid w:val="00AA09FF"/>
    <w:rsid w:val="00AA0BC7"/>
    <w:rsid w:val="00AA1048"/>
    <w:rsid w:val="00AA1196"/>
    <w:rsid w:val="00AA1BE3"/>
    <w:rsid w:val="00AA22FC"/>
    <w:rsid w:val="00AA2BCE"/>
    <w:rsid w:val="00AA37CC"/>
    <w:rsid w:val="00AA7986"/>
    <w:rsid w:val="00AA7A55"/>
    <w:rsid w:val="00AA7DEC"/>
    <w:rsid w:val="00AA7F07"/>
    <w:rsid w:val="00AB0FB6"/>
    <w:rsid w:val="00AB1828"/>
    <w:rsid w:val="00AB1C25"/>
    <w:rsid w:val="00AB3605"/>
    <w:rsid w:val="00AB3850"/>
    <w:rsid w:val="00AB4065"/>
    <w:rsid w:val="00AB4555"/>
    <w:rsid w:val="00AB470F"/>
    <w:rsid w:val="00AB4B35"/>
    <w:rsid w:val="00AB5788"/>
    <w:rsid w:val="00AB6E09"/>
    <w:rsid w:val="00AC038A"/>
    <w:rsid w:val="00AC083D"/>
    <w:rsid w:val="00AC0F98"/>
    <w:rsid w:val="00AC2C30"/>
    <w:rsid w:val="00AC3374"/>
    <w:rsid w:val="00AC34F4"/>
    <w:rsid w:val="00AC3DCD"/>
    <w:rsid w:val="00AC4920"/>
    <w:rsid w:val="00AC4A25"/>
    <w:rsid w:val="00AC5084"/>
    <w:rsid w:val="00AC637C"/>
    <w:rsid w:val="00AC68C5"/>
    <w:rsid w:val="00AC6E2D"/>
    <w:rsid w:val="00AC7462"/>
    <w:rsid w:val="00AD0F6B"/>
    <w:rsid w:val="00AD10BC"/>
    <w:rsid w:val="00AD1CF5"/>
    <w:rsid w:val="00AD2235"/>
    <w:rsid w:val="00AD22B9"/>
    <w:rsid w:val="00AD2A07"/>
    <w:rsid w:val="00AD2C4B"/>
    <w:rsid w:val="00AD5BC2"/>
    <w:rsid w:val="00AD6C30"/>
    <w:rsid w:val="00AD7664"/>
    <w:rsid w:val="00AD775D"/>
    <w:rsid w:val="00AE1238"/>
    <w:rsid w:val="00AE19BD"/>
    <w:rsid w:val="00AE1D37"/>
    <w:rsid w:val="00AE1F88"/>
    <w:rsid w:val="00AE224B"/>
    <w:rsid w:val="00AE3338"/>
    <w:rsid w:val="00AE3C4C"/>
    <w:rsid w:val="00AE40F7"/>
    <w:rsid w:val="00AE4BC3"/>
    <w:rsid w:val="00AE4FB9"/>
    <w:rsid w:val="00AE5C24"/>
    <w:rsid w:val="00AE64BD"/>
    <w:rsid w:val="00AE6AFF"/>
    <w:rsid w:val="00AE724C"/>
    <w:rsid w:val="00AE77F7"/>
    <w:rsid w:val="00AE7E31"/>
    <w:rsid w:val="00AF0108"/>
    <w:rsid w:val="00AF02D1"/>
    <w:rsid w:val="00AF0559"/>
    <w:rsid w:val="00AF158B"/>
    <w:rsid w:val="00AF19B8"/>
    <w:rsid w:val="00AF1A4F"/>
    <w:rsid w:val="00AF2437"/>
    <w:rsid w:val="00AF27C1"/>
    <w:rsid w:val="00AF283C"/>
    <w:rsid w:val="00AF3035"/>
    <w:rsid w:val="00AF34D1"/>
    <w:rsid w:val="00AF4641"/>
    <w:rsid w:val="00AF593E"/>
    <w:rsid w:val="00AF59A4"/>
    <w:rsid w:val="00AF5FEB"/>
    <w:rsid w:val="00AF63E4"/>
    <w:rsid w:val="00AF6778"/>
    <w:rsid w:val="00B0135A"/>
    <w:rsid w:val="00B0198C"/>
    <w:rsid w:val="00B01D0F"/>
    <w:rsid w:val="00B02454"/>
    <w:rsid w:val="00B03733"/>
    <w:rsid w:val="00B04475"/>
    <w:rsid w:val="00B053F0"/>
    <w:rsid w:val="00B06522"/>
    <w:rsid w:val="00B0687C"/>
    <w:rsid w:val="00B07508"/>
    <w:rsid w:val="00B10005"/>
    <w:rsid w:val="00B102B7"/>
    <w:rsid w:val="00B115F3"/>
    <w:rsid w:val="00B118C8"/>
    <w:rsid w:val="00B1193C"/>
    <w:rsid w:val="00B1230A"/>
    <w:rsid w:val="00B12A38"/>
    <w:rsid w:val="00B133C4"/>
    <w:rsid w:val="00B137C6"/>
    <w:rsid w:val="00B13AB1"/>
    <w:rsid w:val="00B13AF6"/>
    <w:rsid w:val="00B13C9E"/>
    <w:rsid w:val="00B13ECA"/>
    <w:rsid w:val="00B141AC"/>
    <w:rsid w:val="00B1467C"/>
    <w:rsid w:val="00B14FD1"/>
    <w:rsid w:val="00B179AB"/>
    <w:rsid w:val="00B200A7"/>
    <w:rsid w:val="00B204FB"/>
    <w:rsid w:val="00B21658"/>
    <w:rsid w:val="00B221FE"/>
    <w:rsid w:val="00B222C3"/>
    <w:rsid w:val="00B2231C"/>
    <w:rsid w:val="00B22399"/>
    <w:rsid w:val="00B22904"/>
    <w:rsid w:val="00B22D8D"/>
    <w:rsid w:val="00B22D8F"/>
    <w:rsid w:val="00B23108"/>
    <w:rsid w:val="00B234A3"/>
    <w:rsid w:val="00B23F68"/>
    <w:rsid w:val="00B24C76"/>
    <w:rsid w:val="00B25314"/>
    <w:rsid w:val="00B25B7A"/>
    <w:rsid w:val="00B26F80"/>
    <w:rsid w:val="00B277AB"/>
    <w:rsid w:val="00B30711"/>
    <w:rsid w:val="00B30719"/>
    <w:rsid w:val="00B308B8"/>
    <w:rsid w:val="00B30C09"/>
    <w:rsid w:val="00B3119A"/>
    <w:rsid w:val="00B31617"/>
    <w:rsid w:val="00B31C72"/>
    <w:rsid w:val="00B32462"/>
    <w:rsid w:val="00B342A5"/>
    <w:rsid w:val="00B35666"/>
    <w:rsid w:val="00B359A6"/>
    <w:rsid w:val="00B35DBB"/>
    <w:rsid w:val="00B3686A"/>
    <w:rsid w:val="00B37A09"/>
    <w:rsid w:val="00B40364"/>
    <w:rsid w:val="00B406D3"/>
    <w:rsid w:val="00B4072B"/>
    <w:rsid w:val="00B41103"/>
    <w:rsid w:val="00B4128B"/>
    <w:rsid w:val="00B42E90"/>
    <w:rsid w:val="00B4337F"/>
    <w:rsid w:val="00B43602"/>
    <w:rsid w:val="00B44149"/>
    <w:rsid w:val="00B44A91"/>
    <w:rsid w:val="00B44C40"/>
    <w:rsid w:val="00B45035"/>
    <w:rsid w:val="00B4524B"/>
    <w:rsid w:val="00B458B2"/>
    <w:rsid w:val="00B460A7"/>
    <w:rsid w:val="00B47220"/>
    <w:rsid w:val="00B478DB"/>
    <w:rsid w:val="00B47F9D"/>
    <w:rsid w:val="00B500A6"/>
    <w:rsid w:val="00B51892"/>
    <w:rsid w:val="00B51A52"/>
    <w:rsid w:val="00B52063"/>
    <w:rsid w:val="00B52388"/>
    <w:rsid w:val="00B52BBF"/>
    <w:rsid w:val="00B53468"/>
    <w:rsid w:val="00B53881"/>
    <w:rsid w:val="00B53D04"/>
    <w:rsid w:val="00B53E5D"/>
    <w:rsid w:val="00B53FAC"/>
    <w:rsid w:val="00B54D67"/>
    <w:rsid w:val="00B55A83"/>
    <w:rsid w:val="00B55DD6"/>
    <w:rsid w:val="00B565A1"/>
    <w:rsid w:val="00B57456"/>
    <w:rsid w:val="00B57E66"/>
    <w:rsid w:val="00B605C8"/>
    <w:rsid w:val="00B60AE6"/>
    <w:rsid w:val="00B60EA8"/>
    <w:rsid w:val="00B617AB"/>
    <w:rsid w:val="00B6257E"/>
    <w:rsid w:val="00B6258A"/>
    <w:rsid w:val="00B6258B"/>
    <w:rsid w:val="00B62B04"/>
    <w:rsid w:val="00B630A0"/>
    <w:rsid w:val="00B63115"/>
    <w:rsid w:val="00B63AE0"/>
    <w:rsid w:val="00B64403"/>
    <w:rsid w:val="00B6455A"/>
    <w:rsid w:val="00B64B2D"/>
    <w:rsid w:val="00B64CAD"/>
    <w:rsid w:val="00B66016"/>
    <w:rsid w:val="00B6732E"/>
    <w:rsid w:val="00B67954"/>
    <w:rsid w:val="00B70519"/>
    <w:rsid w:val="00B70A92"/>
    <w:rsid w:val="00B70B1B"/>
    <w:rsid w:val="00B71430"/>
    <w:rsid w:val="00B71545"/>
    <w:rsid w:val="00B71A11"/>
    <w:rsid w:val="00B71E30"/>
    <w:rsid w:val="00B727C1"/>
    <w:rsid w:val="00B728F1"/>
    <w:rsid w:val="00B73498"/>
    <w:rsid w:val="00B73A87"/>
    <w:rsid w:val="00B73BF9"/>
    <w:rsid w:val="00B748CF"/>
    <w:rsid w:val="00B74C02"/>
    <w:rsid w:val="00B752C9"/>
    <w:rsid w:val="00B75CC9"/>
    <w:rsid w:val="00B75DE2"/>
    <w:rsid w:val="00B7643D"/>
    <w:rsid w:val="00B7676F"/>
    <w:rsid w:val="00B77138"/>
    <w:rsid w:val="00B801B9"/>
    <w:rsid w:val="00B812F7"/>
    <w:rsid w:val="00B833C7"/>
    <w:rsid w:val="00B83FC8"/>
    <w:rsid w:val="00B84AD4"/>
    <w:rsid w:val="00B85452"/>
    <w:rsid w:val="00B85522"/>
    <w:rsid w:val="00B865EC"/>
    <w:rsid w:val="00B868A1"/>
    <w:rsid w:val="00B876F9"/>
    <w:rsid w:val="00B90499"/>
    <w:rsid w:val="00B90BDD"/>
    <w:rsid w:val="00B90F5C"/>
    <w:rsid w:val="00B9147E"/>
    <w:rsid w:val="00B91626"/>
    <w:rsid w:val="00B919D7"/>
    <w:rsid w:val="00B92329"/>
    <w:rsid w:val="00B9235A"/>
    <w:rsid w:val="00B92418"/>
    <w:rsid w:val="00B928CB"/>
    <w:rsid w:val="00B9311B"/>
    <w:rsid w:val="00B93303"/>
    <w:rsid w:val="00B93826"/>
    <w:rsid w:val="00B93BB2"/>
    <w:rsid w:val="00B941F8"/>
    <w:rsid w:val="00B94774"/>
    <w:rsid w:val="00B94F5F"/>
    <w:rsid w:val="00B95C21"/>
    <w:rsid w:val="00B9638D"/>
    <w:rsid w:val="00B96A0E"/>
    <w:rsid w:val="00B96EBF"/>
    <w:rsid w:val="00BA01A0"/>
    <w:rsid w:val="00BA0250"/>
    <w:rsid w:val="00BA045F"/>
    <w:rsid w:val="00BA150A"/>
    <w:rsid w:val="00BA3C27"/>
    <w:rsid w:val="00BA4894"/>
    <w:rsid w:val="00BA502B"/>
    <w:rsid w:val="00BA50A9"/>
    <w:rsid w:val="00BA5B69"/>
    <w:rsid w:val="00BA6E42"/>
    <w:rsid w:val="00BA7297"/>
    <w:rsid w:val="00BA76AD"/>
    <w:rsid w:val="00BA76D2"/>
    <w:rsid w:val="00BA78FB"/>
    <w:rsid w:val="00BA7EB4"/>
    <w:rsid w:val="00BA7FFB"/>
    <w:rsid w:val="00BB100E"/>
    <w:rsid w:val="00BB12F2"/>
    <w:rsid w:val="00BB19A5"/>
    <w:rsid w:val="00BB2F78"/>
    <w:rsid w:val="00BB452E"/>
    <w:rsid w:val="00BB457C"/>
    <w:rsid w:val="00BB4D91"/>
    <w:rsid w:val="00BB4F7F"/>
    <w:rsid w:val="00BB51FB"/>
    <w:rsid w:val="00BB56B9"/>
    <w:rsid w:val="00BB6125"/>
    <w:rsid w:val="00BB6142"/>
    <w:rsid w:val="00BB65D0"/>
    <w:rsid w:val="00BB670A"/>
    <w:rsid w:val="00BB693D"/>
    <w:rsid w:val="00BB6CC6"/>
    <w:rsid w:val="00BB715A"/>
    <w:rsid w:val="00BC0436"/>
    <w:rsid w:val="00BC04DA"/>
    <w:rsid w:val="00BC0785"/>
    <w:rsid w:val="00BC0F2B"/>
    <w:rsid w:val="00BC1079"/>
    <w:rsid w:val="00BC13A1"/>
    <w:rsid w:val="00BC15AA"/>
    <w:rsid w:val="00BC2433"/>
    <w:rsid w:val="00BC2678"/>
    <w:rsid w:val="00BC2707"/>
    <w:rsid w:val="00BC2975"/>
    <w:rsid w:val="00BC3039"/>
    <w:rsid w:val="00BC4148"/>
    <w:rsid w:val="00BC5016"/>
    <w:rsid w:val="00BC768D"/>
    <w:rsid w:val="00BD07EC"/>
    <w:rsid w:val="00BD1BA5"/>
    <w:rsid w:val="00BD1F81"/>
    <w:rsid w:val="00BD2277"/>
    <w:rsid w:val="00BD294A"/>
    <w:rsid w:val="00BD43CC"/>
    <w:rsid w:val="00BD43F0"/>
    <w:rsid w:val="00BD52EA"/>
    <w:rsid w:val="00BD5762"/>
    <w:rsid w:val="00BD5953"/>
    <w:rsid w:val="00BD6332"/>
    <w:rsid w:val="00BD6965"/>
    <w:rsid w:val="00BD76BF"/>
    <w:rsid w:val="00BD7CF1"/>
    <w:rsid w:val="00BD7DAC"/>
    <w:rsid w:val="00BE087B"/>
    <w:rsid w:val="00BE091B"/>
    <w:rsid w:val="00BE106D"/>
    <w:rsid w:val="00BE2165"/>
    <w:rsid w:val="00BE28F1"/>
    <w:rsid w:val="00BE2B73"/>
    <w:rsid w:val="00BE30F1"/>
    <w:rsid w:val="00BE3254"/>
    <w:rsid w:val="00BE3EDA"/>
    <w:rsid w:val="00BE45B3"/>
    <w:rsid w:val="00BE48C8"/>
    <w:rsid w:val="00BE5818"/>
    <w:rsid w:val="00BE7141"/>
    <w:rsid w:val="00BE7DE3"/>
    <w:rsid w:val="00BF02F9"/>
    <w:rsid w:val="00BF0C42"/>
    <w:rsid w:val="00BF0CB6"/>
    <w:rsid w:val="00BF1CB8"/>
    <w:rsid w:val="00BF210D"/>
    <w:rsid w:val="00BF29EA"/>
    <w:rsid w:val="00BF6494"/>
    <w:rsid w:val="00BF6911"/>
    <w:rsid w:val="00BF6CD1"/>
    <w:rsid w:val="00BF743C"/>
    <w:rsid w:val="00C001B3"/>
    <w:rsid w:val="00C009B4"/>
    <w:rsid w:val="00C00EBA"/>
    <w:rsid w:val="00C0171D"/>
    <w:rsid w:val="00C02317"/>
    <w:rsid w:val="00C02490"/>
    <w:rsid w:val="00C02C14"/>
    <w:rsid w:val="00C02DC7"/>
    <w:rsid w:val="00C030E1"/>
    <w:rsid w:val="00C03354"/>
    <w:rsid w:val="00C039D1"/>
    <w:rsid w:val="00C040C9"/>
    <w:rsid w:val="00C062BE"/>
    <w:rsid w:val="00C06E25"/>
    <w:rsid w:val="00C073BE"/>
    <w:rsid w:val="00C078E8"/>
    <w:rsid w:val="00C07FE9"/>
    <w:rsid w:val="00C106EB"/>
    <w:rsid w:val="00C10AAE"/>
    <w:rsid w:val="00C1188C"/>
    <w:rsid w:val="00C1224B"/>
    <w:rsid w:val="00C12478"/>
    <w:rsid w:val="00C13FED"/>
    <w:rsid w:val="00C1653E"/>
    <w:rsid w:val="00C17847"/>
    <w:rsid w:val="00C211A5"/>
    <w:rsid w:val="00C21B4A"/>
    <w:rsid w:val="00C222F9"/>
    <w:rsid w:val="00C226F1"/>
    <w:rsid w:val="00C2356E"/>
    <w:rsid w:val="00C24A2F"/>
    <w:rsid w:val="00C254C1"/>
    <w:rsid w:val="00C25677"/>
    <w:rsid w:val="00C2613D"/>
    <w:rsid w:val="00C264A7"/>
    <w:rsid w:val="00C273B0"/>
    <w:rsid w:val="00C27448"/>
    <w:rsid w:val="00C277BB"/>
    <w:rsid w:val="00C308A6"/>
    <w:rsid w:val="00C33BB5"/>
    <w:rsid w:val="00C33BDD"/>
    <w:rsid w:val="00C34E06"/>
    <w:rsid w:val="00C3536B"/>
    <w:rsid w:val="00C357E3"/>
    <w:rsid w:val="00C3593D"/>
    <w:rsid w:val="00C35F51"/>
    <w:rsid w:val="00C376EE"/>
    <w:rsid w:val="00C378A2"/>
    <w:rsid w:val="00C4027C"/>
    <w:rsid w:val="00C4210F"/>
    <w:rsid w:val="00C438CE"/>
    <w:rsid w:val="00C44914"/>
    <w:rsid w:val="00C45B01"/>
    <w:rsid w:val="00C45BF8"/>
    <w:rsid w:val="00C46602"/>
    <w:rsid w:val="00C4694B"/>
    <w:rsid w:val="00C470B8"/>
    <w:rsid w:val="00C517E7"/>
    <w:rsid w:val="00C51EC5"/>
    <w:rsid w:val="00C52A86"/>
    <w:rsid w:val="00C5329B"/>
    <w:rsid w:val="00C5333C"/>
    <w:rsid w:val="00C5357D"/>
    <w:rsid w:val="00C53C2B"/>
    <w:rsid w:val="00C544F6"/>
    <w:rsid w:val="00C54674"/>
    <w:rsid w:val="00C54DF3"/>
    <w:rsid w:val="00C54E91"/>
    <w:rsid w:val="00C551EF"/>
    <w:rsid w:val="00C555D3"/>
    <w:rsid w:val="00C55C0E"/>
    <w:rsid w:val="00C55E0D"/>
    <w:rsid w:val="00C56777"/>
    <w:rsid w:val="00C56A90"/>
    <w:rsid w:val="00C57757"/>
    <w:rsid w:val="00C6008F"/>
    <w:rsid w:val="00C616AF"/>
    <w:rsid w:val="00C6252B"/>
    <w:rsid w:val="00C62D05"/>
    <w:rsid w:val="00C63E6D"/>
    <w:rsid w:val="00C64884"/>
    <w:rsid w:val="00C64E1F"/>
    <w:rsid w:val="00C65426"/>
    <w:rsid w:val="00C65616"/>
    <w:rsid w:val="00C65A69"/>
    <w:rsid w:val="00C65BBD"/>
    <w:rsid w:val="00C66AE9"/>
    <w:rsid w:val="00C66EA2"/>
    <w:rsid w:val="00C7006A"/>
    <w:rsid w:val="00C70526"/>
    <w:rsid w:val="00C70F07"/>
    <w:rsid w:val="00C71480"/>
    <w:rsid w:val="00C720DD"/>
    <w:rsid w:val="00C72788"/>
    <w:rsid w:val="00C7324C"/>
    <w:rsid w:val="00C73817"/>
    <w:rsid w:val="00C738AA"/>
    <w:rsid w:val="00C74538"/>
    <w:rsid w:val="00C748CE"/>
    <w:rsid w:val="00C748F2"/>
    <w:rsid w:val="00C74D5F"/>
    <w:rsid w:val="00C750FC"/>
    <w:rsid w:val="00C75472"/>
    <w:rsid w:val="00C75643"/>
    <w:rsid w:val="00C75C72"/>
    <w:rsid w:val="00C77E64"/>
    <w:rsid w:val="00C820B9"/>
    <w:rsid w:val="00C82E72"/>
    <w:rsid w:val="00C84DEE"/>
    <w:rsid w:val="00C8555F"/>
    <w:rsid w:val="00C867B3"/>
    <w:rsid w:val="00C86B90"/>
    <w:rsid w:val="00C874CB"/>
    <w:rsid w:val="00C87745"/>
    <w:rsid w:val="00C87C62"/>
    <w:rsid w:val="00C90859"/>
    <w:rsid w:val="00C90C6F"/>
    <w:rsid w:val="00C92985"/>
    <w:rsid w:val="00C93B1A"/>
    <w:rsid w:val="00C93E18"/>
    <w:rsid w:val="00C93FD7"/>
    <w:rsid w:val="00C94126"/>
    <w:rsid w:val="00C94653"/>
    <w:rsid w:val="00C9504D"/>
    <w:rsid w:val="00C95B93"/>
    <w:rsid w:val="00C96CDE"/>
    <w:rsid w:val="00C96DE7"/>
    <w:rsid w:val="00C972A1"/>
    <w:rsid w:val="00CA0514"/>
    <w:rsid w:val="00CA0A34"/>
    <w:rsid w:val="00CA0CFE"/>
    <w:rsid w:val="00CA1465"/>
    <w:rsid w:val="00CA1783"/>
    <w:rsid w:val="00CA3ACB"/>
    <w:rsid w:val="00CA3D5D"/>
    <w:rsid w:val="00CA3E42"/>
    <w:rsid w:val="00CA4D10"/>
    <w:rsid w:val="00CA5156"/>
    <w:rsid w:val="00CA5282"/>
    <w:rsid w:val="00CA5470"/>
    <w:rsid w:val="00CA5A36"/>
    <w:rsid w:val="00CA5ABB"/>
    <w:rsid w:val="00CA5BB5"/>
    <w:rsid w:val="00CA62B6"/>
    <w:rsid w:val="00CB1721"/>
    <w:rsid w:val="00CB1884"/>
    <w:rsid w:val="00CB2A4A"/>
    <w:rsid w:val="00CB31BA"/>
    <w:rsid w:val="00CB39BC"/>
    <w:rsid w:val="00CB44F1"/>
    <w:rsid w:val="00CB4662"/>
    <w:rsid w:val="00CB4679"/>
    <w:rsid w:val="00CB48F0"/>
    <w:rsid w:val="00CB48F3"/>
    <w:rsid w:val="00CB4EE5"/>
    <w:rsid w:val="00CB580F"/>
    <w:rsid w:val="00CB5A6A"/>
    <w:rsid w:val="00CB5EF5"/>
    <w:rsid w:val="00CB600F"/>
    <w:rsid w:val="00CB6F40"/>
    <w:rsid w:val="00CB7AC9"/>
    <w:rsid w:val="00CC02BF"/>
    <w:rsid w:val="00CC08A5"/>
    <w:rsid w:val="00CC1A08"/>
    <w:rsid w:val="00CC1F6F"/>
    <w:rsid w:val="00CC334A"/>
    <w:rsid w:val="00CC39D4"/>
    <w:rsid w:val="00CC422A"/>
    <w:rsid w:val="00CC46E0"/>
    <w:rsid w:val="00CC4AD2"/>
    <w:rsid w:val="00CC5687"/>
    <w:rsid w:val="00CC6303"/>
    <w:rsid w:val="00CD039C"/>
    <w:rsid w:val="00CD22C2"/>
    <w:rsid w:val="00CD246E"/>
    <w:rsid w:val="00CD362B"/>
    <w:rsid w:val="00CD36C6"/>
    <w:rsid w:val="00CD3A30"/>
    <w:rsid w:val="00CD4103"/>
    <w:rsid w:val="00CD410A"/>
    <w:rsid w:val="00CD4B2D"/>
    <w:rsid w:val="00CD4D77"/>
    <w:rsid w:val="00CD5A4D"/>
    <w:rsid w:val="00CD7CD6"/>
    <w:rsid w:val="00CD7D94"/>
    <w:rsid w:val="00CD7F66"/>
    <w:rsid w:val="00CE0340"/>
    <w:rsid w:val="00CE1058"/>
    <w:rsid w:val="00CE14DF"/>
    <w:rsid w:val="00CE1DC0"/>
    <w:rsid w:val="00CE2BA3"/>
    <w:rsid w:val="00CE2EAC"/>
    <w:rsid w:val="00CE2EB7"/>
    <w:rsid w:val="00CE3DC1"/>
    <w:rsid w:val="00CE4378"/>
    <w:rsid w:val="00CE44D3"/>
    <w:rsid w:val="00CE5139"/>
    <w:rsid w:val="00CE5C25"/>
    <w:rsid w:val="00CE5E02"/>
    <w:rsid w:val="00CE6466"/>
    <w:rsid w:val="00CE693F"/>
    <w:rsid w:val="00CE6CDD"/>
    <w:rsid w:val="00CF0806"/>
    <w:rsid w:val="00CF1425"/>
    <w:rsid w:val="00CF3A99"/>
    <w:rsid w:val="00CF58F2"/>
    <w:rsid w:val="00CF5A1A"/>
    <w:rsid w:val="00CF5D35"/>
    <w:rsid w:val="00CF6E74"/>
    <w:rsid w:val="00CF7557"/>
    <w:rsid w:val="00CF7B49"/>
    <w:rsid w:val="00CF7D1C"/>
    <w:rsid w:val="00D0057B"/>
    <w:rsid w:val="00D00960"/>
    <w:rsid w:val="00D00AD5"/>
    <w:rsid w:val="00D0131A"/>
    <w:rsid w:val="00D01624"/>
    <w:rsid w:val="00D018D1"/>
    <w:rsid w:val="00D01F60"/>
    <w:rsid w:val="00D020B4"/>
    <w:rsid w:val="00D02292"/>
    <w:rsid w:val="00D02495"/>
    <w:rsid w:val="00D02BF8"/>
    <w:rsid w:val="00D02C97"/>
    <w:rsid w:val="00D0314D"/>
    <w:rsid w:val="00D035E1"/>
    <w:rsid w:val="00D036D2"/>
    <w:rsid w:val="00D0442A"/>
    <w:rsid w:val="00D0458F"/>
    <w:rsid w:val="00D05541"/>
    <w:rsid w:val="00D06738"/>
    <w:rsid w:val="00D068DC"/>
    <w:rsid w:val="00D0694A"/>
    <w:rsid w:val="00D06E0D"/>
    <w:rsid w:val="00D078CF"/>
    <w:rsid w:val="00D109C3"/>
    <w:rsid w:val="00D10B1C"/>
    <w:rsid w:val="00D12962"/>
    <w:rsid w:val="00D13687"/>
    <w:rsid w:val="00D14537"/>
    <w:rsid w:val="00D14E79"/>
    <w:rsid w:val="00D1510E"/>
    <w:rsid w:val="00D15339"/>
    <w:rsid w:val="00D1553A"/>
    <w:rsid w:val="00D157E7"/>
    <w:rsid w:val="00D15C86"/>
    <w:rsid w:val="00D1603D"/>
    <w:rsid w:val="00D16FFC"/>
    <w:rsid w:val="00D17191"/>
    <w:rsid w:val="00D1761F"/>
    <w:rsid w:val="00D17717"/>
    <w:rsid w:val="00D20090"/>
    <w:rsid w:val="00D21B7D"/>
    <w:rsid w:val="00D2201C"/>
    <w:rsid w:val="00D22090"/>
    <w:rsid w:val="00D22239"/>
    <w:rsid w:val="00D24F84"/>
    <w:rsid w:val="00D25569"/>
    <w:rsid w:val="00D258F4"/>
    <w:rsid w:val="00D25F46"/>
    <w:rsid w:val="00D25F47"/>
    <w:rsid w:val="00D2638E"/>
    <w:rsid w:val="00D2643D"/>
    <w:rsid w:val="00D27196"/>
    <w:rsid w:val="00D27C79"/>
    <w:rsid w:val="00D3022A"/>
    <w:rsid w:val="00D30599"/>
    <w:rsid w:val="00D30640"/>
    <w:rsid w:val="00D30F09"/>
    <w:rsid w:val="00D3117D"/>
    <w:rsid w:val="00D31906"/>
    <w:rsid w:val="00D31FCE"/>
    <w:rsid w:val="00D32942"/>
    <w:rsid w:val="00D330CD"/>
    <w:rsid w:val="00D34684"/>
    <w:rsid w:val="00D34E91"/>
    <w:rsid w:val="00D3562D"/>
    <w:rsid w:val="00D369BB"/>
    <w:rsid w:val="00D36A3A"/>
    <w:rsid w:val="00D36AFF"/>
    <w:rsid w:val="00D4093B"/>
    <w:rsid w:val="00D41252"/>
    <w:rsid w:val="00D42432"/>
    <w:rsid w:val="00D439C1"/>
    <w:rsid w:val="00D44228"/>
    <w:rsid w:val="00D4487A"/>
    <w:rsid w:val="00D44D35"/>
    <w:rsid w:val="00D45554"/>
    <w:rsid w:val="00D459C8"/>
    <w:rsid w:val="00D465AC"/>
    <w:rsid w:val="00D502A3"/>
    <w:rsid w:val="00D508BF"/>
    <w:rsid w:val="00D5127D"/>
    <w:rsid w:val="00D52155"/>
    <w:rsid w:val="00D52903"/>
    <w:rsid w:val="00D5294E"/>
    <w:rsid w:val="00D531D1"/>
    <w:rsid w:val="00D5370C"/>
    <w:rsid w:val="00D53C57"/>
    <w:rsid w:val="00D53CEF"/>
    <w:rsid w:val="00D54B13"/>
    <w:rsid w:val="00D54F3F"/>
    <w:rsid w:val="00D550A0"/>
    <w:rsid w:val="00D55252"/>
    <w:rsid w:val="00D55AF1"/>
    <w:rsid w:val="00D56778"/>
    <w:rsid w:val="00D604E5"/>
    <w:rsid w:val="00D61321"/>
    <w:rsid w:val="00D627E6"/>
    <w:rsid w:val="00D643FC"/>
    <w:rsid w:val="00D66B23"/>
    <w:rsid w:val="00D66DC3"/>
    <w:rsid w:val="00D671B8"/>
    <w:rsid w:val="00D677B3"/>
    <w:rsid w:val="00D704A8"/>
    <w:rsid w:val="00D70CAF"/>
    <w:rsid w:val="00D71FE1"/>
    <w:rsid w:val="00D72232"/>
    <w:rsid w:val="00D73224"/>
    <w:rsid w:val="00D73BAC"/>
    <w:rsid w:val="00D76146"/>
    <w:rsid w:val="00D7676D"/>
    <w:rsid w:val="00D76994"/>
    <w:rsid w:val="00D76CE4"/>
    <w:rsid w:val="00D775E0"/>
    <w:rsid w:val="00D77E48"/>
    <w:rsid w:val="00D82C20"/>
    <w:rsid w:val="00D84136"/>
    <w:rsid w:val="00D84404"/>
    <w:rsid w:val="00D85D9F"/>
    <w:rsid w:val="00D8609D"/>
    <w:rsid w:val="00D86A56"/>
    <w:rsid w:val="00D870F8"/>
    <w:rsid w:val="00D874E5"/>
    <w:rsid w:val="00D877BC"/>
    <w:rsid w:val="00D900F1"/>
    <w:rsid w:val="00D90100"/>
    <w:rsid w:val="00D902BE"/>
    <w:rsid w:val="00D90336"/>
    <w:rsid w:val="00D906CF"/>
    <w:rsid w:val="00D91023"/>
    <w:rsid w:val="00D92355"/>
    <w:rsid w:val="00D92471"/>
    <w:rsid w:val="00D9252E"/>
    <w:rsid w:val="00D938DE"/>
    <w:rsid w:val="00D9531E"/>
    <w:rsid w:val="00D95386"/>
    <w:rsid w:val="00D96A00"/>
    <w:rsid w:val="00D96AA0"/>
    <w:rsid w:val="00D96D12"/>
    <w:rsid w:val="00D96E3A"/>
    <w:rsid w:val="00DA0146"/>
    <w:rsid w:val="00DA072A"/>
    <w:rsid w:val="00DA0C95"/>
    <w:rsid w:val="00DA1516"/>
    <w:rsid w:val="00DA1EF4"/>
    <w:rsid w:val="00DA210B"/>
    <w:rsid w:val="00DA2AFE"/>
    <w:rsid w:val="00DA2EE5"/>
    <w:rsid w:val="00DA42BE"/>
    <w:rsid w:val="00DA51A0"/>
    <w:rsid w:val="00DA57A5"/>
    <w:rsid w:val="00DA57FA"/>
    <w:rsid w:val="00DA6897"/>
    <w:rsid w:val="00DA6AD2"/>
    <w:rsid w:val="00DA7D4D"/>
    <w:rsid w:val="00DB0F88"/>
    <w:rsid w:val="00DB18A5"/>
    <w:rsid w:val="00DB1991"/>
    <w:rsid w:val="00DB1E75"/>
    <w:rsid w:val="00DB2CA4"/>
    <w:rsid w:val="00DB37DC"/>
    <w:rsid w:val="00DB38A0"/>
    <w:rsid w:val="00DB3980"/>
    <w:rsid w:val="00DB3C43"/>
    <w:rsid w:val="00DB3FE3"/>
    <w:rsid w:val="00DB5450"/>
    <w:rsid w:val="00DB6926"/>
    <w:rsid w:val="00DB73AB"/>
    <w:rsid w:val="00DB7446"/>
    <w:rsid w:val="00DC0091"/>
    <w:rsid w:val="00DC0C66"/>
    <w:rsid w:val="00DC21B6"/>
    <w:rsid w:val="00DC2492"/>
    <w:rsid w:val="00DC2CC1"/>
    <w:rsid w:val="00DC4CEC"/>
    <w:rsid w:val="00DC54A3"/>
    <w:rsid w:val="00DC5DD8"/>
    <w:rsid w:val="00DC6192"/>
    <w:rsid w:val="00DC6288"/>
    <w:rsid w:val="00DC6578"/>
    <w:rsid w:val="00DC6687"/>
    <w:rsid w:val="00DC6BD1"/>
    <w:rsid w:val="00DC6BDB"/>
    <w:rsid w:val="00DC6C6C"/>
    <w:rsid w:val="00DD07DC"/>
    <w:rsid w:val="00DD0D56"/>
    <w:rsid w:val="00DD10A7"/>
    <w:rsid w:val="00DD21AC"/>
    <w:rsid w:val="00DD234E"/>
    <w:rsid w:val="00DD3859"/>
    <w:rsid w:val="00DD4F30"/>
    <w:rsid w:val="00DD56ED"/>
    <w:rsid w:val="00DD5A18"/>
    <w:rsid w:val="00DD6344"/>
    <w:rsid w:val="00DD6A23"/>
    <w:rsid w:val="00DD6C6E"/>
    <w:rsid w:val="00DD6D7C"/>
    <w:rsid w:val="00DE0FE9"/>
    <w:rsid w:val="00DE11CE"/>
    <w:rsid w:val="00DE19DC"/>
    <w:rsid w:val="00DE232B"/>
    <w:rsid w:val="00DE250B"/>
    <w:rsid w:val="00DE29BD"/>
    <w:rsid w:val="00DE2DF2"/>
    <w:rsid w:val="00DE401E"/>
    <w:rsid w:val="00DE42F3"/>
    <w:rsid w:val="00DE4560"/>
    <w:rsid w:val="00DE467E"/>
    <w:rsid w:val="00DE58A4"/>
    <w:rsid w:val="00DE5BAD"/>
    <w:rsid w:val="00DE627D"/>
    <w:rsid w:val="00DE6D9C"/>
    <w:rsid w:val="00DE70D8"/>
    <w:rsid w:val="00DE75FA"/>
    <w:rsid w:val="00DE798F"/>
    <w:rsid w:val="00DE7A8E"/>
    <w:rsid w:val="00DF0624"/>
    <w:rsid w:val="00DF0A34"/>
    <w:rsid w:val="00DF0B68"/>
    <w:rsid w:val="00DF1538"/>
    <w:rsid w:val="00DF1BA7"/>
    <w:rsid w:val="00DF1D13"/>
    <w:rsid w:val="00DF1FCA"/>
    <w:rsid w:val="00DF2193"/>
    <w:rsid w:val="00DF2C5A"/>
    <w:rsid w:val="00DF38C7"/>
    <w:rsid w:val="00DF3B80"/>
    <w:rsid w:val="00DF5429"/>
    <w:rsid w:val="00DF54E8"/>
    <w:rsid w:val="00DF55EA"/>
    <w:rsid w:val="00DF5629"/>
    <w:rsid w:val="00DF7681"/>
    <w:rsid w:val="00E00AD9"/>
    <w:rsid w:val="00E0158A"/>
    <w:rsid w:val="00E017F5"/>
    <w:rsid w:val="00E020E8"/>
    <w:rsid w:val="00E02474"/>
    <w:rsid w:val="00E03193"/>
    <w:rsid w:val="00E03F36"/>
    <w:rsid w:val="00E05AFE"/>
    <w:rsid w:val="00E06465"/>
    <w:rsid w:val="00E066CA"/>
    <w:rsid w:val="00E071C6"/>
    <w:rsid w:val="00E073C7"/>
    <w:rsid w:val="00E07410"/>
    <w:rsid w:val="00E1078A"/>
    <w:rsid w:val="00E108FB"/>
    <w:rsid w:val="00E1135D"/>
    <w:rsid w:val="00E11996"/>
    <w:rsid w:val="00E120E8"/>
    <w:rsid w:val="00E124EF"/>
    <w:rsid w:val="00E12576"/>
    <w:rsid w:val="00E1268B"/>
    <w:rsid w:val="00E12C97"/>
    <w:rsid w:val="00E136F0"/>
    <w:rsid w:val="00E142DD"/>
    <w:rsid w:val="00E14455"/>
    <w:rsid w:val="00E144D6"/>
    <w:rsid w:val="00E1669C"/>
    <w:rsid w:val="00E166C0"/>
    <w:rsid w:val="00E16880"/>
    <w:rsid w:val="00E16DBA"/>
    <w:rsid w:val="00E17CAD"/>
    <w:rsid w:val="00E209F6"/>
    <w:rsid w:val="00E232B3"/>
    <w:rsid w:val="00E23B16"/>
    <w:rsid w:val="00E24344"/>
    <w:rsid w:val="00E25172"/>
    <w:rsid w:val="00E26242"/>
    <w:rsid w:val="00E2639C"/>
    <w:rsid w:val="00E267D4"/>
    <w:rsid w:val="00E26964"/>
    <w:rsid w:val="00E26A20"/>
    <w:rsid w:val="00E27206"/>
    <w:rsid w:val="00E31778"/>
    <w:rsid w:val="00E324FE"/>
    <w:rsid w:val="00E325C9"/>
    <w:rsid w:val="00E32F81"/>
    <w:rsid w:val="00E33196"/>
    <w:rsid w:val="00E338EC"/>
    <w:rsid w:val="00E340D1"/>
    <w:rsid w:val="00E344EB"/>
    <w:rsid w:val="00E34F7D"/>
    <w:rsid w:val="00E35778"/>
    <w:rsid w:val="00E35993"/>
    <w:rsid w:val="00E366F1"/>
    <w:rsid w:val="00E36B94"/>
    <w:rsid w:val="00E36C48"/>
    <w:rsid w:val="00E37140"/>
    <w:rsid w:val="00E37D35"/>
    <w:rsid w:val="00E37EB7"/>
    <w:rsid w:val="00E4038E"/>
    <w:rsid w:val="00E4039F"/>
    <w:rsid w:val="00E40723"/>
    <w:rsid w:val="00E40F49"/>
    <w:rsid w:val="00E439B2"/>
    <w:rsid w:val="00E44055"/>
    <w:rsid w:val="00E44707"/>
    <w:rsid w:val="00E44909"/>
    <w:rsid w:val="00E45127"/>
    <w:rsid w:val="00E4528D"/>
    <w:rsid w:val="00E47358"/>
    <w:rsid w:val="00E50070"/>
    <w:rsid w:val="00E50EF2"/>
    <w:rsid w:val="00E5149C"/>
    <w:rsid w:val="00E5276B"/>
    <w:rsid w:val="00E52AF6"/>
    <w:rsid w:val="00E53C4C"/>
    <w:rsid w:val="00E553F7"/>
    <w:rsid w:val="00E5565B"/>
    <w:rsid w:val="00E564F2"/>
    <w:rsid w:val="00E57D76"/>
    <w:rsid w:val="00E6150E"/>
    <w:rsid w:val="00E6261A"/>
    <w:rsid w:val="00E629AC"/>
    <w:rsid w:val="00E62CC2"/>
    <w:rsid w:val="00E630D4"/>
    <w:rsid w:val="00E63708"/>
    <w:rsid w:val="00E63C0B"/>
    <w:rsid w:val="00E63D45"/>
    <w:rsid w:val="00E648A4"/>
    <w:rsid w:val="00E64A14"/>
    <w:rsid w:val="00E64D3A"/>
    <w:rsid w:val="00E66B96"/>
    <w:rsid w:val="00E672BB"/>
    <w:rsid w:val="00E711F1"/>
    <w:rsid w:val="00E71F60"/>
    <w:rsid w:val="00E722AD"/>
    <w:rsid w:val="00E7353D"/>
    <w:rsid w:val="00E7355E"/>
    <w:rsid w:val="00E738C3"/>
    <w:rsid w:val="00E7392D"/>
    <w:rsid w:val="00E73937"/>
    <w:rsid w:val="00E73A35"/>
    <w:rsid w:val="00E75136"/>
    <w:rsid w:val="00E753D3"/>
    <w:rsid w:val="00E75702"/>
    <w:rsid w:val="00E75A21"/>
    <w:rsid w:val="00E75A56"/>
    <w:rsid w:val="00E76445"/>
    <w:rsid w:val="00E76675"/>
    <w:rsid w:val="00E76EA1"/>
    <w:rsid w:val="00E77481"/>
    <w:rsid w:val="00E808FA"/>
    <w:rsid w:val="00E81198"/>
    <w:rsid w:val="00E8157E"/>
    <w:rsid w:val="00E8173D"/>
    <w:rsid w:val="00E82317"/>
    <w:rsid w:val="00E82470"/>
    <w:rsid w:val="00E82FB9"/>
    <w:rsid w:val="00E8321A"/>
    <w:rsid w:val="00E83543"/>
    <w:rsid w:val="00E83AA5"/>
    <w:rsid w:val="00E83E53"/>
    <w:rsid w:val="00E84385"/>
    <w:rsid w:val="00E846BB"/>
    <w:rsid w:val="00E848DF"/>
    <w:rsid w:val="00E84C97"/>
    <w:rsid w:val="00E853D6"/>
    <w:rsid w:val="00E87D76"/>
    <w:rsid w:val="00E9020E"/>
    <w:rsid w:val="00E90A7B"/>
    <w:rsid w:val="00E90F41"/>
    <w:rsid w:val="00E92198"/>
    <w:rsid w:val="00E9246B"/>
    <w:rsid w:val="00E92AFB"/>
    <w:rsid w:val="00E92DF1"/>
    <w:rsid w:val="00E92E27"/>
    <w:rsid w:val="00E9346E"/>
    <w:rsid w:val="00E975C3"/>
    <w:rsid w:val="00E97BE7"/>
    <w:rsid w:val="00EA192B"/>
    <w:rsid w:val="00EA23EA"/>
    <w:rsid w:val="00EA2849"/>
    <w:rsid w:val="00EA2D60"/>
    <w:rsid w:val="00EA3007"/>
    <w:rsid w:val="00EA388A"/>
    <w:rsid w:val="00EA46EA"/>
    <w:rsid w:val="00EA4702"/>
    <w:rsid w:val="00EA4794"/>
    <w:rsid w:val="00EA4D78"/>
    <w:rsid w:val="00EA6141"/>
    <w:rsid w:val="00EA6D78"/>
    <w:rsid w:val="00EA7696"/>
    <w:rsid w:val="00EA7BCC"/>
    <w:rsid w:val="00EA7C07"/>
    <w:rsid w:val="00EB06C7"/>
    <w:rsid w:val="00EB0A2B"/>
    <w:rsid w:val="00EB1733"/>
    <w:rsid w:val="00EB19D8"/>
    <w:rsid w:val="00EB2393"/>
    <w:rsid w:val="00EB2A0B"/>
    <w:rsid w:val="00EB3005"/>
    <w:rsid w:val="00EB358F"/>
    <w:rsid w:val="00EB3824"/>
    <w:rsid w:val="00EB3CA1"/>
    <w:rsid w:val="00EB3D30"/>
    <w:rsid w:val="00EB4735"/>
    <w:rsid w:val="00EB486A"/>
    <w:rsid w:val="00EB488C"/>
    <w:rsid w:val="00EB4AFE"/>
    <w:rsid w:val="00EB56E5"/>
    <w:rsid w:val="00EB689F"/>
    <w:rsid w:val="00EB6947"/>
    <w:rsid w:val="00EC096B"/>
    <w:rsid w:val="00EC0E4D"/>
    <w:rsid w:val="00EC12AC"/>
    <w:rsid w:val="00EC1520"/>
    <w:rsid w:val="00EC3971"/>
    <w:rsid w:val="00EC4433"/>
    <w:rsid w:val="00EC44D7"/>
    <w:rsid w:val="00EC4A42"/>
    <w:rsid w:val="00EC5279"/>
    <w:rsid w:val="00EC61E3"/>
    <w:rsid w:val="00EC6418"/>
    <w:rsid w:val="00EC769B"/>
    <w:rsid w:val="00EC7EC0"/>
    <w:rsid w:val="00ED090A"/>
    <w:rsid w:val="00ED0B18"/>
    <w:rsid w:val="00ED0BE0"/>
    <w:rsid w:val="00ED12F6"/>
    <w:rsid w:val="00ED14A9"/>
    <w:rsid w:val="00ED24FC"/>
    <w:rsid w:val="00ED2536"/>
    <w:rsid w:val="00ED2553"/>
    <w:rsid w:val="00ED28CC"/>
    <w:rsid w:val="00ED2EC4"/>
    <w:rsid w:val="00ED3145"/>
    <w:rsid w:val="00ED341A"/>
    <w:rsid w:val="00ED444F"/>
    <w:rsid w:val="00ED4645"/>
    <w:rsid w:val="00ED4D93"/>
    <w:rsid w:val="00ED64E9"/>
    <w:rsid w:val="00ED709F"/>
    <w:rsid w:val="00EE0A6A"/>
    <w:rsid w:val="00EE18FF"/>
    <w:rsid w:val="00EE1C6B"/>
    <w:rsid w:val="00EE20DF"/>
    <w:rsid w:val="00EE30D4"/>
    <w:rsid w:val="00EE3D95"/>
    <w:rsid w:val="00EE4943"/>
    <w:rsid w:val="00EE49E8"/>
    <w:rsid w:val="00EE4BE5"/>
    <w:rsid w:val="00EE4DC1"/>
    <w:rsid w:val="00EE5306"/>
    <w:rsid w:val="00EE5458"/>
    <w:rsid w:val="00EE5B1C"/>
    <w:rsid w:val="00EE5D45"/>
    <w:rsid w:val="00EE6453"/>
    <w:rsid w:val="00EE6E01"/>
    <w:rsid w:val="00EE73C3"/>
    <w:rsid w:val="00EE7B29"/>
    <w:rsid w:val="00EF03FC"/>
    <w:rsid w:val="00EF081D"/>
    <w:rsid w:val="00EF0B9C"/>
    <w:rsid w:val="00EF1F2B"/>
    <w:rsid w:val="00EF2280"/>
    <w:rsid w:val="00EF2403"/>
    <w:rsid w:val="00EF2677"/>
    <w:rsid w:val="00EF2980"/>
    <w:rsid w:val="00EF2A9D"/>
    <w:rsid w:val="00EF3062"/>
    <w:rsid w:val="00EF3369"/>
    <w:rsid w:val="00EF33D1"/>
    <w:rsid w:val="00EF3759"/>
    <w:rsid w:val="00EF498A"/>
    <w:rsid w:val="00EF4D4E"/>
    <w:rsid w:val="00EF5172"/>
    <w:rsid w:val="00EF5BA1"/>
    <w:rsid w:val="00EF5CD7"/>
    <w:rsid w:val="00EF5DD5"/>
    <w:rsid w:val="00EF64C9"/>
    <w:rsid w:val="00EF6C6C"/>
    <w:rsid w:val="00EF71A8"/>
    <w:rsid w:val="00EF7A01"/>
    <w:rsid w:val="00F004E1"/>
    <w:rsid w:val="00F0059C"/>
    <w:rsid w:val="00F006E7"/>
    <w:rsid w:val="00F01649"/>
    <w:rsid w:val="00F018BC"/>
    <w:rsid w:val="00F02A9E"/>
    <w:rsid w:val="00F02D03"/>
    <w:rsid w:val="00F03362"/>
    <w:rsid w:val="00F033C5"/>
    <w:rsid w:val="00F0358B"/>
    <w:rsid w:val="00F03BCF"/>
    <w:rsid w:val="00F043AA"/>
    <w:rsid w:val="00F04587"/>
    <w:rsid w:val="00F047AD"/>
    <w:rsid w:val="00F04DA1"/>
    <w:rsid w:val="00F04FB4"/>
    <w:rsid w:val="00F062F6"/>
    <w:rsid w:val="00F06611"/>
    <w:rsid w:val="00F06739"/>
    <w:rsid w:val="00F07644"/>
    <w:rsid w:val="00F07FC2"/>
    <w:rsid w:val="00F10570"/>
    <w:rsid w:val="00F10A78"/>
    <w:rsid w:val="00F11B78"/>
    <w:rsid w:val="00F12340"/>
    <w:rsid w:val="00F123CB"/>
    <w:rsid w:val="00F12EAD"/>
    <w:rsid w:val="00F14B1B"/>
    <w:rsid w:val="00F14E00"/>
    <w:rsid w:val="00F1584A"/>
    <w:rsid w:val="00F16921"/>
    <w:rsid w:val="00F202A8"/>
    <w:rsid w:val="00F20301"/>
    <w:rsid w:val="00F2035F"/>
    <w:rsid w:val="00F20ACD"/>
    <w:rsid w:val="00F20CF7"/>
    <w:rsid w:val="00F2136E"/>
    <w:rsid w:val="00F225A5"/>
    <w:rsid w:val="00F23598"/>
    <w:rsid w:val="00F23F68"/>
    <w:rsid w:val="00F24B3C"/>
    <w:rsid w:val="00F273F1"/>
    <w:rsid w:val="00F276AC"/>
    <w:rsid w:val="00F27769"/>
    <w:rsid w:val="00F27935"/>
    <w:rsid w:val="00F311A7"/>
    <w:rsid w:val="00F3304C"/>
    <w:rsid w:val="00F331AE"/>
    <w:rsid w:val="00F33A0C"/>
    <w:rsid w:val="00F344BD"/>
    <w:rsid w:val="00F369A3"/>
    <w:rsid w:val="00F36D86"/>
    <w:rsid w:val="00F37D69"/>
    <w:rsid w:val="00F4056F"/>
    <w:rsid w:val="00F41065"/>
    <w:rsid w:val="00F42052"/>
    <w:rsid w:val="00F42190"/>
    <w:rsid w:val="00F42820"/>
    <w:rsid w:val="00F42E1B"/>
    <w:rsid w:val="00F43604"/>
    <w:rsid w:val="00F444BF"/>
    <w:rsid w:val="00F45731"/>
    <w:rsid w:val="00F46421"/>
    <w:rsid w:val="00F47036"/>
    <w:rsid w:val="00F513B5"/>
    <w:rsid w:val="00F5167C"/>
    <w:rsid w:val="00F5205F"/>
    <w:rsid w:val="00F522E5"/>
    <w:rsid w:val="00F528E4"/>
    <w:rsid w:val="00F52BD0"/>
    <w:rsid w:val="00F52C63"/>
    <w:rsid w:val="00F531CE"/>
    <w:rsid w:val="00F5591B"/>
    <w:rsid w:val="00F56138"/>
    <w:rsid w:val="00F56CC1"/>
    <w:rsid w:val="00F574DA"/>
    <w:rsid w:val="00F5752F"/>
    <w:rsid w:val="00F57E4F"/>
    <w:rsid w:val="00F606E5"/>
    <w:rsid w:val="00F60950"/>
    <w:rsid w:val="00F62B6C"/>
    <w:rsid w:val="00F62C19"/>
    <w:rsid w:val="00F62CED"/>
    <w:rsid w:val="00F64322"/>
    <w:rsid w:val="00F654B5"/>
    <w:rsid w:val="00F6578C"/>
    <w:rsid w:val="00F65E66"/>
    <w:rsid w:val="00F70E8E"/>
    <w:rsid w:val="00F71029"/>
    <w:rsid w:val="00F71950"/>
    <w:rsid w:val="00F7258C"/>
    <w:rsid w:val="00F72772"/>
    <w:rsid w:val="00F729C5"/>
    <w:rsid w:val="00F72F87"/>
    <w:rsid w:val="00F737BB"/>
    <w:rsid w:val="00F73B9D"/>
    <w:rsid w:val="00F751E6"/>
    <w:rsid w:val="00F75256"/>
    <w:rsid w:val="00F765BC"/>
    <w:rsid w:val="00F76D85"/>
    <w:rsid w:val="00F77551"/>
    <w:rsid w:val="00F7786E"/>
    <w:rsid w:val="00F77D2C"/>
    <w:rsid w:val="00F77FB8"/>
    <w:rsid w:val="00F80C82"/>
    <w:rsid w:val="00F81741"/>
    <w:rsid w:val="00F838E7"/>
    <w:rsid w:val="00F839E0"/>
    <w:rsid w:val="00F845EC"/>
    <w:rsid w:val="00F848B2"/>
    <w:rsid w:val="00F864AD"/>
    <w:rsid w:val="00F86D45"/>
    <w:rsid w:val="00F8787C"/>
    <w:rsid w:val="00F8788F"/>
    <w:rsid w:val="00F9011A"/>
    <w:rsid w:val="00F907B7"/>
    <w:rsid w:val="00F90A0A"/>
    <w:rsid w:val="00F90AC6"/>
    <w:rsid w:val="00F90D71"/>
    <w:rsid w:val="00F91187"/>
    <w:rsid w:val="00F9143A"/>
    <w:rsid w:val="00F91FC6"/>
    <w:rsid w:val="00F921CB"/>
    <w:rsid w:val="00F922DF"/>
    <w:rsid w:val="00F92505"/>
    <w:rsid w:val="00F92BC4"/>
    <w:rsid w:val="00F93291"/>
    <w:rsid w:val="00F9360E"/>
    <w:rsid w:val="00F938D7"/>
    <w:rsid w:val="00F93C52"/>
    <w:rsid w:val="00F9465A"/>
    <w:rsid w:val="00F94AF0"/>
    <w:rsid w:val="00F94DFF"/>
    <w:rsid w:val="00F952AF"/>
    <w:rsid w:val="00F95388"/>
    <w:rsid w:val="00F957B4"/>
    <w:rsid w:val="00F96DE3"/>
    <w:rsid w:val="00F977B4"/>
    <w:rsid w:val="00F97A38"/>
    <w:rsid w:val="00F97DD3"/>
    <w:rsid w:val="00FA02AD"/>
    <w:rsid w:val="00FA114A"/>
    <w:rsid w:val="00FA1810"/>
    <w:rsid w:val="00FA1F3B"/>
    <w:rsid w:val="00FA28F7"/>
    <w:rsid w:val="00FA2E8B"/>
    <w:rsid w:val="00FA3664"/>
    <w:rsid w:val="00FA4F5E"/>
    <w:rsid w:val="00FA540B"/>
    <w:rsid w:val="00FA55BB"/>
    <w:rsid w:val="00FA56E2"/>
    <w:rsid w:val="00FA6662"/>
    <w:rsid w:val="00FA6B00"/>
    <w:rsid w:val="00FA7570"/>
    <w:rsid w:val="00FA7D60"/>
    <w:rsid w:val="00FB02FF"/>
    <w:rsid w:val="00FB0A58"/>
    <w:rsid w:val="00FB0BED"/>
    <w:rsid w:val="00FB2252"/>
    <w:rsid w:val="00FB3514"/>
    <w:rsid w:val="00FB3BAD"/>
    <w:rsid w:val="00FB3C95"/>
    <w:rsid w:val="00FB4942"/>
    <w:rsid w:val="00FB649C"/>
    <w:rsid w:val="00FB64F2"/>
    <w:rsid w:val="00FB7062"/>
    <w:rsid w:val="00FB79CB"/>
    <w:rsid w:val="00FC0ACB"/>
    <w:rsid w:val="00FC0C51"/>
    <w:rsid w:val="00FC109E"/>
    <w:rsid w:val="00FC1731"/>
    <w:rsid w:val="00FC25E2"/>
    <w:rsid w:val="00FC3726"/>
    <w:rsid w:val="00FC373B"/>
    <w:rsid w:val="00FC56DF"/>
    <w:rsid w:val="00FC6520"/>
    <w:rsid w:val="00FC6AF9"/>
    <w:rsid w:val="00FC6B5C"/>
    <w:rsid w:val="00FD027E"/>
    <w:rsid w:val="00FD03FD"/>
    <w:rsid w:val="00FD0926"/>
    <w:rsid w:val="00FD0A1B"/>
    <w:rsid w:val="00FD1665"/>
    <w:rsid w:val="00FD1806"/>
    <w:rsid w:val="00FD25C6"/>
    <w:rsid w:val="00FD30ED"/>
    <w:rsid w:val="00FD464B"/>
    <w:rsid w:val="00FD4912"/>
    <w:rsid w:val="00FD517C"/>
    <w:rsid w:val="00FD5BBF"/>
    <w:rsid w:val="00FD70C8"/>
    <w:rsid w:val="00FD7424"/>
    <w:rsid w:val="00FE0D32"/>
    <w:rsid w:val="00FE16C7"/>
    <w:rsid w:val="00FE1A5F"/>
    <w:rsid w:val="00FE2170"/>
    <w:rsid w:val="00FE26EE"/>
    <w:rsid w:val="00FE3F59"/>
    <w:rsid w:val="00FE4825"/>
    <w:rsid w:val="00FE52C9"/>
    <w:rsid w:val="00FE5B73"/>
    <w:rsid w:val="00FE5E29"/>
    <w:rsid w:val="00FE6242"/>
    <w:rsid w:val="00FE6A4C"/>
    <w:rsid w:val="00FE7986"/>
    <w:rsid w:val="00FF057B"/>
    <w:rsid w:val="00FF0F4E"/>
    <w:rsid w:val="00FF265F"/>
    <w:rsid w:val="00FF28B5"/>
    <w:rsid w:val="00FF2C3E"/>
    <w:rsid w:val="00FF2FF3"/>
    <w:rsid w:val="00FF375D"/>
    <w:rsid w:val="00FF42A3"/>
    <w:rsid w:val="00FF4421"/>
    <w:rsid w:val="00FF4DB2"/>
    <w:rsid w:val="00FF5187"/>
    <w:rsid w:val="00FF5223"/>
    <w:rsid w:val="00FF5CA5"/>
    <w:rsid w:val="00FF5CDE"/>
    <w:rsid w:val="00FF661C"/>
  </w:rsids>
  <m:mathPr>
    <m:mathFont m:val="Cambria Math"/>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F0"/>
    <w:rPr>
      <w:snapToGrid w:val="0"/>
      <w:sz w:val="24"/>
      <w:szCs w:val="24"/>
      <w:lang w:eastAsia="es-ES"/>
    </w:rPr>
  </w:style>
  <w:style w:type="paragraph" w:styleId="Heading1">
    <w:name w:val="heading 1"/>
    <w:basedOn w:val="Normal"/>
    <w:qFormat/>
    <w:rsid w:val="00FC25E2"/>
    <w:pPr>
      <w:spacing w:before="240" w:after="240"/>
      <w:ind w:left="168"/>
      <w:outlineLvl w:val="0"/>
    </w:pPr>
    <w:rPr>
      <w:b/>
      <w:bCs/>
      <w:snapToGrid/>
      <w:color w:val="5D8ECC"/>
      <w:kern w:val="36"/>
      <w:sz w:val="18"/>
      <w:szCs w:val="18"/>
    </w:rPr>
  </w:style>
  <w:style w:type="paragraph" w:styleId="Heading2">
    <w:name w:val="heading 2"/>
    <w:basedOn w:val="Normal"/>
    <w:next w:val="Normal"/>
    <w:link w:val="Heading2Char"/>
    <w:semiHidden/>
    <w:unhideWhenUsed/>
    <w:qFormat/>
    <w:rsid w:val="009B39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nhideWhenUsed/>
    <w:qFormat/>
    <w:rsid w:val="00421F78"/>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Text1">
    <w:name w:val="Text 1"/>
    <w:basedOn w:val="Normal"/>
    <w:link w:val="Text1Car"/>
    <w:pPr>
      <w:spacing w:after="240"/>
      <w:ind w:left="482"/>
      <w:jc w:val="both"/>
    </w:pPr>
    <w:rPr>
      <w:szCs w:val="20"/>
      <w:lang w:eastAsia="x-none"/>
    </w:rPr>
  </w:style>
  <w:style w:type="paragraph" w:customStyle="1" w:styleId="NumPar1">
    <w:name w:val="NumPar 1"/>
    <w:pPr>
      <w:tabs>
        <w:tab w:val="num" w:pos="480"/>
      </w:tabs>
      <w:spacing w:after="240"/>
      <w:ind w:left="480" w:hanging="480"/>
      <w:jc w:val="both"/>
    </w:pPr>
    <w:rPr>
      <w:snapToGrid w:val="0"/>
      <w:sz w:val="24"/>
      <w:lang w:eastAsia="es-ES"/>
    </w:rPr>
  </w:style>
  <w:style w:type="paragraph" w:styleId="Footer">
    <w:name w:val="footer"/>
    <w:basedOn w:val="Normal"/>
    <w:link w:val="FooterChar"/>
    <w:uiPriority w:val="99"/>
    <w:pPr>
      <w:tabs>
        <w:tab w:val="center" w:pos="4536"/>
        <w:tab w:val="right" w:pos="9072"/>
      </w:tabs>
    </w:pPr>
  </w:style>
  <w:style w:type="character" w:styleId="PageNumber">
    <w:name w:val="page number"/>
    <w:rPr>
      <w:rFonts w:cs="Times New Roman"/>
    </w:rPr>
  </w:style>
  <w:style w:type="paragraph" w:customStyle="1" w:styleId="StandardText">
    <w:name w:val="Standard Text"/>
    <w:basedOn w:val="Normal"/>
    <w:link w:val="StandardTextCar"/>
    <w:pPr>
      <w:spacing w:after="240" w:line="240" w:lineRule="exact"/>
      <w:jc w:val="both"/>
    </w:pPr>
    <w:rPr>
      <w:lang w:eastAsia="x-none"/>
    </w:rPr>
  </w:style>
  <w:style w:type="paragraph" w:customStyle="1" w:styleId="Ueber1">
    <w:name w:val="Ueber 1"/>
    <w:pPr>
      <w:keepNext/>
      <w:tabs>
        <w:tab w:val="num" w:pos="567"/>
      </w:tabs>
      <w:spacing w:before="480" w:after="240" w:line="320" w:lineRule="exact"/>
      <w:ind w:left="567" w:hanging="567"/>
      <w:jc w:val="both"/>
      <w:outlineLvl w:val="0"/>
    </w:pPr>
    <w:rPr>
      <w:rFonts w:ascii="Arial" w:hAnsi="Arial" w:cs="Arial"/>
      <w:b/>
      <w:bCs/>
      <w:snapToGrid w:val="0"/>
      <w:kern w:val="32"/>
      <w:sz w:val="28"/>
      <w:szCs w:val="32"/>
      <w:lang w:eastAsia="es-ES"/>
    </w:rPr>
  </w:style>
  <w:style w:type="paragraph" w:customStyle="1" w:styleId="Ueber3">
    <w:name w:val="Ueber 3"/>
    <w:pPr>
      <w:keepNext/>
      <w:tabs>
        <w:tab w:val="num" w:pos="1418"/>
      </w:tabs>
      <w:spacing w:before="360" w:after="240" w:line="240" w:lineRule="exact"/>
      <w:ind w:left="1418" w:hanging="738"/>
      <w:jc w:val="both"/>
      <w:outlineLvl w:val="2"/>
    </w:pPr>
    <w:rPr>
      <w:rFonts w:ascii="Arial" w:hAnsi="Arial" w:cs="Arial"/>
      <w:b/>
      <w:bCs/>
      <w:snapToGrid w:val="0"/>
      <w:sz w:val="24"/>
      <w:szCs w:val="26"/>
      <w:lang w:eastAsia="es-ES"/>
    </w:rPr>
  </w:style>
  <w:style w:type="paragraph" w:styleId="NormalWeb">
    <w:name w:val="Normal (Web)"/>
    <w:basedOn w:val="Normal"/>
    <w:uiPriority w:val="99"/>
    <w:pPr>
      <w:spacing w:before="100" w:beforeAutospacing="1" w:after="100" w:afterAutospacing="1"/>
    </w:pPr>
    <w:rPr>
      <w:rFonts w:ascii="Arial" w:hAnsi="Arial"/>
      <w:sz w:val="20"/>
      <w:szCs w:val="20"/>
    </w:rPr>
  </w:style>
  <w:style w:type="paragraph" w:styleId="FootnoteText">
    <w:name w:val="footnote text"/>
    <w:basedOn w:val="Normal"/>
    <w:link w:val="FootnoteTextChar"/>
    <w:uiPriority w:val="99"/>
    <w:rsid w:val="005344B2"/>
    <w:pPr>
      <w:ind w:left="284" w:hanging="284"/>
      <w:jc w:val="both"/>
    </w:pPr>
    <w:rPr>
      <w:rFonts w:ascii="Calibri" w:hAnsi="Calibri" w:cs="Calibri"/>
      <w:sz w:val="18"/>
      <w:szCs w:val="18"/>
      <w:lang w:eastAsia="x-none"/>
    </w:rPr>
  </w:style>
  <w:style w:type="character" w:styleId="FootnoteReference">
    <w:name w:val="footnote reference"/>
    <w:uiPriority w:val="99"/>
    <w:semiHidden/>
    <w:rPr>
      <w:rFonts w:cs="Times New Roman"/>
      <w:vertAlign w:val="superscript"/>
    </w:rPr>
  </w:style>
  <w:style w:type="table" w:styleId="TableGrid">
    <w:name w:val="Table Grid"/>
    <w:basedOn w:val="TableNormal"/>
    <w:uiPriority w:val="59"/>
    <w:rsid w:val="00393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22024"/>
    <w:rPr>
      <w:rFonts w:ascii="Tahoma" w:hAnsi="Tahoma"/>
      <w:sz w:val="16"/>
      <w:szCs w:val="16"/>
    </w:rPr>
  </w:style>
  <w:style w:type="character" w:customStyle="1" w:styleId="BalloonTextChar">
    <w:name w:val="Balloon Text Char"/>
    <w:link w:val="BalloonText"/>
    <w:rsid w:val="00722024"/>
    <w:rPr>
      <w:rFonts w:ascii="Tahoma" w:hAnsi="Tahoma" w:cs="Tahoma"/>
      <w:snapToGrid w:val="0"/>
      <w:sz w:val="16"/>
      <w:szCs w:val="16"/>
      <w:lang w:val="en-GB" w:eastAsia="es-ES"/>
    </w:rPr>
  </w:style>
  <w:style w:type="numbering" w:styleId="111111">
    <w:name w:val="Outline List 2"/>
    <w:basedOn w:val="NoList"/>
    <w:rsid w:val="00801C28"/>
    <w:pPr>
      <w:numPr>
        <w:numId w:val="1"/>
      </w:numPr>
    </w:pPr>
  </w:style>
  <w:style w:type="character" w:styleId="Hyperlink">
    <w:name w:val="Hyperlink"/>
    <w:uiPriority w:val="99"/>
    <w:rsid w:val="002C758B"/>
    <w:rPr>
      <w:color w:val="0000FF"/>
      <w:u w:val="single"/>
    </w:rPr>
  </w:style>
  <w:style w:type="character" w:customStyle="1" w:styleId="estilo161">
    <w:name w:val="estilo161"/>
    <w:rsid w:val="008C2B59"/>
    <w:rPr>
      <w:rFonts w:ascii="Verdana" w:hAnsi="Verdana" w:hint="default"/>
      <w:sz w:val="14"/>
      <w:szCs w:val="14"/>
    </w:rPr>
  </w:style>
  <w:style w:type="character" w:customStyle="1" w:styleId="titulo011">
    <w:name w:val="titulo_011"/>
    <w:rsid w:val="00DD6344"/>
    <w:rPr>
      <w:rFonts w:ascii="Arial" w:hAnsi="Arial" w:cs="Arial" w:hint="default"/>
      <w:b/>
      <w:bCs/>
      <w:color w:val="006B54"/>
      <w:sz w:val="17"/>
      <w:szCs w:val="17"/>
    </w:rPr>
  </w:style>
  <w:style w:type="character" w:styleId="Strong">
    <w:name w:val="Strong"/>
    <w:uiPriority w:val="22"/>
    <w:qFormat/>
    <w:rsid w:val="00CD22C2"/>
    <w:rPr>
      <w:b/>
      <w:bCs/>
    </w:rPr>
  </w:style>
  <w:style w:type="paragraph" w:customStyle="1" w:styleId="Ttulo21">
    <w:name w:val="Título 21"/>
    <w:basedOn w:val="Normal"/>
    <w:rsid w:val="00F77FB8"/>
    <w:pPr>
      <w:spacing w:after="240"/>
      <w:jc w:val="both"/>
      <w:outlineLvl w:val="2"/>
    </w:pPr>
    <w:rPr>
      <w:snapToGrid/>
      <w:color w:val="6E8BB6"/>
      <w:sz w:val="17"/>
      <w:szCs w:val="17"/>
    </w:rPr>
  </w:style>
  <w:style w:type="paragraph" w:customStyle="1" w:styleId="NormalWeb4">
    <w:name w:val="Normal (Web)4"/>
    <w:basedOn w:val="Normal"/>
    <w:rsid w:val="00F77FB8"/>
    <w:pPr>
      <w:spacing w:after="240"/>
      <w:jc w:val="both"/>
    </w:pPr>
    <w:rPr>
      <w:snapToGrid/>
      <w:color w:val="868686"/>
      <w:sz w:val="16"/>
      <w:szCs w:val="16"/>
    </w:rPr>
  </w:style>
  <w:style w:type="paragraph" w:styleId="HTMLTopofForm">
    <w:name w:val="HTML Top of Form"/>
    <w:basedOn w:val="Normal"/>
    <w:next w:val="Normal"/>
    <w:hidden/>
    <w:rsid w:val="007D21CC"/>
    <w:pPr>
      <w:pBdr>
        <w:bottom w:val="single" w:sz="6" w:space="1" w:color="auto"/>
      </w:pBdr>
      <w:ind w:left="372"/>
      <w:jc w:val="center"/>
    </w:pPr>
    <w:rPr>
      <w:rFonts w:ascii="Arial" w:hAnsi="Arial" w:cs="Arial"/>
      <w:snapToGrid/>
      <w:vanish/>
      <w:sz w:val="16"/>
      <w:szCs w:val="16"/>
    </w:rPr>
  </w:style>
  <w:style w:type="paragraph" w:customStyle="1" w:styleId="aligncenter1">
    <w:name w:val="aligncenter1"/>
    <w:basedOn w:val="Normal"/>
    <w:rsid w:val="007D21CC"/>
    <w:pPr>
      <w:spacing w:after="240"/>
      <w:jc w:val="center"/>
    </w:pPr>
    <w:rPr>
      <w:snapToGrid/>
      <w:color w:val="868686"/>
      <w:sz w:val="16"/>
      <w:szCs w:val="16"/>
    </w:rPr>
  </w:style>
  <w:style w:type="paragraph" w:styleId="HTMLBottomofForm">
    <w:name w:val="HTML Bottom of Form"/>
    <w:basedOn w:val="Normal"/>
    <w:next w:val="Normal"/>
    <w:hidden/>
    <w:rsid w:val="007D21CC"/>
    <w:pPr>
      <w:pBdr>
        <w:top w:val="single" w:sz="6" w:space="1" w:color="auto"/>
      </w:pBdr>
      <w:ind w:left="372"/>
      <w:jc w:val="center"/>
    </w:pPr>
    <w:rPr>
      <w:rFonts w:ascii="Arial" w:hAnsi="Arial" w:cs="Arial"/>
      <w:snapToGrid/>
      <w:vanish/>
      <w:sz w:val="16"/>
      <w:szCs w:val="16"/>
    </w:rPr>
  </w:style>
  <w:style w:type="paragraph" w:customStyle="1" w:styleId="standardtext0">
    <w:name w:val="standardtext"/>
    <w:basedOn w:val="Normal"/>
    <w:rsid w:val="00B6258B"/>
    <w:pPr>
      <w:spacing w:before="100" w:beforeAutospacing="1" w:after="100" w:afterAutospacing="1"/>
    </w:pPr>
    <w:rPr>
      <w:snapToGrid/>
    </w:rPr>
  </w:style>
  <w:style w:type="character" w:styleId="CommentReference">
    <w:name w:val="annotation reference"/>
    <w:uiPriority w:val="99"/>
    <w:semiHidden/>
    <w:rsid w:val="00A02842"/>
    <w:rPr>
      <w:sz w:val="16"/>
      <w:szCs w:val="16"/>
    </w:rPr>
  </w:style>
  <w:style w:type="paragraph" w:styleId="CommentText">
    <w:name w:val="annotation text"/>
    <w:basedOn w:val="Normal"/>
    <w:link w:val="CommentTextChar"/>
    <w:semiHidden/>
    <w:rsid w:val="00A02842"/>
    <w:rPr>
      <w:sz w:val="20"/>
      <w:szCs w:val="20"/>
    </w:rPr>
  </w:style>
  <w:style w:type="paragraph" w:styleId="CommentSubject">
    <w:name w:val="annotation subject"/>
    <w:basedOn w:val="CommentText"/>
    <w:next w:val="CommentText"/>
    <w:semiHidden/>
    <w:rsid w:val="00A02842"/>
    <w:rPr>
      <w:b/>
      <w:bCs/>
    </w:rPr>
  </w:style>
  <w:style w:type="character" w:styleId="FollowedHyperlink">
    <w:name w:val="FollowedHyperlink"/>
    <w:rsid w:val="004C0BE2"/>
    <w:rPr>
      <w:color w:val="800080"/>
      <w:u w:val="single"/>
    </w:rPr>
  </w:style>
  <w:style w:type="paragraph" w:styleId="Index1">
    <w:name w:val="index 1"/>
    <w:basedOn w:val="Normal"/>
    <w:next w:val="Normal"/>
    <w:autoRedefine/>
    <w:uiPriority w:val="99"/>
    <w:semiHidden/>
    <w:rsid w:val="006B2828"/>
    <w:pPr>
      <w:tabs>
        <w:tab w:val="right" w:pos="9180"/>
        <w:tab w:val="left" w:pos="9540"/>
        <w:tab w:val="right" w:pos="9579"/>
      </w:tabs>
      <w:spacing w:before="360" w:after="240"/>
      <w:ind w:left="1079" w:right="1669" w:hanging="539" w:leftChars="225"/>
      <w:jc w:val="both"/>
    </w:pPr>
    <w:rPr>
      <w:rFonts w:ascii="Arial" w:hAnsi="Arial" w:cs="Arial"/>
      <w:b/>
      <w:smallCaps/>
      <w:noProof/>
      <w:color w:val="000080"/>
      <w:sz w:val="26"/>
    </w:rPr>
  </w:style>
  <w:style w:type="paragraph" w:styleId="List5">
    <w:name w:val="List 5"/>
    <w:basedOn w:val="Normal"/>
    <w:rsid w:val="00E82470"/>
    <w:pPr>
      <w:ind w:left="1415" w:hanging="283"/>
    </w:pPr>
  </w:style>
  <w:style w:type="paragraph" w:styleId="ListBullet2">
    <w:name w:val="List Bullet 2"/>
    <w:basedOn w:val="Normal"/>
    <w:rsid w:val="00E82470"/>
    <w:pPr>
      <w:numPr>
        <w:numId w:val="4"/>
      </w:numPr>
    </w:pPr>
  </w:style>
  <w:style w:type="paragraph" w:styleId="ListBullet3">
    <w:name w:val="List Bullet 3"/>
    <w:basedOn w:val="Normal"/>
    <w:rsid w:val="00E82470"/>
    <w:pPr>
      <w:numPr>
        <w:numId w:val="5"/>
      </w:numPr>
    </w:pPr>
  </w:style>
  <w:style w:type="paragraph" w:styleId="ListBullet4">
    <w:name w:val="List Bullet 4"/>
    <w:basedOn w:val="Normal"/>
    <w:rsid w:val="00E82470"/>
    <w:pPr>
      <w:numPr>
        <w:numId w:val="6"/>
      </w:numPr>
    </w:pPr>
  </w:style>
  <w:style w:type="paragraph" w:styleId="ListBullet5">
    <w:name w:val="List Bullet 5"/>
    <w:basedOn w:val="Normal"/>
    <w:rsid w:val="00E82470"/>
    <w:pPr>
      <w:numPr>
        <w:numId w:val="7"/>
      </w:numPr>
    </w:pPr>
  </w:style>
  <w:style w:type="paragraph" w:styleId="BodyText">
    <w:name w:val="Body Text"/>
    <w:basedOn w:val="Normal"/>
    <w:link w:val="BodyTextChar"/>
    <w:rsid w:val="00E82470"/>
    <w:pPr>
      <w:spacing w:after="120"/>
    </w:pPr>
  </w:style>
  <w:style w:type="paragraph" w:styleId="BodyTextIndent">
    <w:name w:val="Body Text Indent"/>
    <w:basedOn w:val="Normal"/>
    <w:rsid w:val="00E82470"/>
    <w:pPr>
      <w:spacing w:after="120"/>
      <w:ind w:left="283"/>
    </w:pPr>
  </w:style>
  <w:style w:type="paragraph" w:styleId="BodyTextFirstIndent2">
    <w:name w:val="Body Text First Indent 2"/>
    <w:basedOn w:val="BodyTextIndent"/>
    <w:rsid w:val="00E82470"/>
    <w:pPr>
      <w:ind w:firstLine="210"/>
    </w:pPr>
  </w:style>
  <w:style w:type="paragraph" w:styleId="NoteHeading">
    <w:name w:val="Note Heading"/>
    <w:basedOn w:val="Normal"/>
    <w:next w:val="Normal"/>
    <w:rsid w:val="00E82470"/>
  </w:style>
  <w:style w:type="paragraph" w:styleId="Revision">
    <w:name w:val="Revision"/>
    <w:hidden/>
    <w:uiPriority w:val="99"/>
    <w:semiHidden/>
    <w:rsid w:val="00A107AD"/>
    <w:rPr>
      <w:snapToGrid w:val="0"/>
      <w:sz w:val="24"/>
      <w:szCs w:val="24"/>
      <w:lang w:eastAsia="es-ES"/>
    </w:rPr>
  </w:style>
  <w:style w:type="paragraph" w:styleId="EndnoteText">
    <w:name w:val="endnote text"/>
    <w:basedOn w:val="Normal"/>
    <w:link w:val="EndnoteTextChar"/>
    <w:rsid w:val="00025F38"/>
    <w:rPr>
      <w:sz w:val="20"/>
      <w:szCs w:val="20"/>
      <w:lang w:eastAsia="x-none"/>
    </w:rPr>
  </w:style>
  <w:style w:type="character" w:customStyle="1" w:styleId="EndnoteTextChar">
    <w:name w:val="Endnote Text Char"/>
    <w:link w:val="EndnoteText"/>
    <w:rsid w:val="00025F38"/>
    <w:rPr>
      <w:snapToGrid w:val="0"/>
      <w:lang w:val="en-GB"/>
    </w:rPr>
  </w:style>
  <w:style w:type="character" w:styleId="EndnoteReference">
    <w:name w:val="endnote reference"/>
    <w:rsid w:val="00025F38"/>
    <w:rPr>
      <w:vertAlign w:val="superscript"/>
    </w:rPr>
  </w:style>
  <w:style w:type="paragraph" w:customStyle="1" w:styleId="Default">
    <w:name w:val="Default"/>
    <w:rsid w:val="00CB1721"/>
    <w:pPr>
      <w:autoSpaceDE w:val="0"/>
      <w:autoSpaceDN w:val="0"/>
      <w:adjustRightInd w:val="0"/>
    </w:pPr>
    <w:rPr>
      <w:rFonts w:ascii="Arial" w:hAnsi="Arial" w:cs="Arial"/>
      <w:color w:val="000000"/>
      <w:sz w:val="24"/>
      <w:szCs w:val="24"/>
      <w:lang w:eastAsia="es-ES"/>
    </w:rPr>
  </w:style>
  <w:style w:type="paragraph" w:customStyle="1" w:styleId="CM1">
    <w:name w:val="CM1"/>
    <w:basedOn w:val="Default"/>
    <w:next w:val="Default"/>
    <w:uiPriority w:val="99"/>
    <w:rsid w:val="00656B61"/>
    <w:rPr>
      <w:rFonts w:ascii="EUAlbertina" w:hAnsi="EUAlbertina" w:cs="Times New Roman"/>
      <w:color w:val="auto"/>
    </w:rPr>
  </w:style>
  <w:style w:type="paragraph" w:customStyle="1" w:styleId="CM4">
    <w:name w:val="CM4"/>
    <w:basedOn w:val="Default"/>
    <w:next w:val="Default"/>
    <w:uiPriority w:val="99"/>
    <w:rsid w:val="00656B61"/>
    <w:rPr>
      <w:rFonts w:ascii="EUAlbertina" w:hAnsi="EUAlbertina" w:cs="Times New Roman"/>
      <w:color w:val="auto"/>
    </w:rPr>
  </w:style>
  <w:style w:type="paragraph" w:styleId="TOC1">
    <w:name w:val="toc 1"/>
    <w:basedOn w:val="Normal"/>
    <w:next w:val="Normal"/>
    <w:autoRedefine/>
    <w:uiPriority w:val="39"/>
    <w:rsid w:val="002B0E2D"/>
    <w:pPr>
      <w:tabs>
        <w:tab w:val="left" w:pos="851"/>
        <w:tab w:val="left" w:leader="dot" w:pos="8364"/>
      </w:tabs>
      <w:spacing w:before="240" w:after="120"/>
      <w:ind w:left="851" w:right="1559" w:hanging="851"/>
      <w:jc w:val="both"/>
    </w:pPr>
    <w:rPr>
      <w:rFonts w:ascii="Calibri" w:hAnsi="Calibri" w:cs="Calibri"/>
      <w:b/>
      <w:noProof/>
      <w:sz w:val="32"/>
      <w:szCs w:val="28"/>
    </w:rPr>
  </w:style>
  <w:style w:type="paragraph" w:styleId="Title">
    <w:name w:val="Title"/>
    <w:basedOn w:val="NumPar1"/>
    <w:next w:val="Normal"/>
    <w:link w:val="TitleChar"/>
    <w:uiPriority w:val="10"/>
    <w:qFormat/>
    <w:rsid w:val="00BB6142"/>
    <w:pPr>
      <w:numPr>
        <w:numId w:val="15"/>
      </w:numPr>
      <w:tabs>
        <w:tab w:val="left" w:pos="175"/>
        <w:tab w:val="left" w:pos="1310"/>
        <w:tab w:val="left" w:pos="3810"/>
        <w:tab w:val="left" w:pos="4570"/>
        <w:tab w:val="right" w:pos="9639"/>
      </w:tabs>
      <w:spacing w:before="360"/>
      <w:jc w:val="right"/>
      <w:outlineLvl w:val="0"/>
    </w:pPr>
    <w:rPr>
      <w:rFonts w:ascii="Arial Rounded MT Bold" w:hAnsi="Arial Rounded MT Bold"/>
      <w:b/>
      <w:smallCaps/>
      <w:color w:val="000080"/>
      <w:sz w:val="56"/>
      <w:szCs w:val="28"/>
      <w:lang w:eastAsia="x-none"/>
    </w:rPr>
  </w:style>
  <w:style w:type="character" w:customStyle="1" w:styleId="TitleChar">
    <w:name w:val="Title Char"/>
    <w:link w:val="Title"/>
    <w:uiPriority w:val="10"/>
    <w:rsid w:val="00BB6142"/>
    <w:rPr>
      <w:rFonts w:ascii="Arial Rounded MT Bold" w:hAnsi="Arial Rounded MT Bold"/>
      <w:b/>
      <w:smallCaps/>
      <w:snapToGrid w:val="0"/>
      <w:color w:val="000080"/>
      <w:sz w:val="56"/>
      <w:szCs w:val="28"/>
      <w:lang w:eastAsia="x-none"/>
    </w:rPr>
  </w:style>
  <w:style w:type="paragraph" w:styleId="ListParagraph">
    <w:name w:val="List Paragraph"/>
    <w:basedOn w:val="Normal"/>
    <w:link w:val="ListParagraphChar"/>
    <w:uiPriority w:val="34"/>
    <w:qFormat/>
    <w:rsid w:val="00366296"/>
    <w:pPr>
      <w:ind w:left="708"/>
    </w:pPr>
  </w:style>
  <w:style w:type="paragraph" w:customStyle="1" w:styleId="CM3">
    <w:name w:val="CM3"/>
    <w:basedOn w:val="Default"/>
    <w:next w:val="Default"/>
    <w:uiPriority w:val="99"/>
    <w:rsid w:val="0065093A"/>
    <w:rPr>
      <w:rFonts w:ascii="EUAlbertina" w:hAnsi="EUAlbertina" w:cs="Times New Roman"/>
      <w:color w:val="auto"/>
      <w:lang w:eastAsia="es-ES_tradnl"/>
    </w:rPr>
  </w:style>
  <w:style w:type="paragraph" w:styleId="DocumentMap">
    <w:name w:val="Document Map"/>
    <w:basedOn w:val="Normal"/>
    <w:link w:val="DocumentMapChar"/>
    <w:rsid w:val="00D61321"/>
    <w:rPr>
      <w:rFonts w:ascii="Tahoma" w:hAnsi="Tahoma"/>
      <w:sz w:val="16"/>
      <w:szCs w:val="16"/>
      <w:lang w:eastAsia="x-none"/>
    </w:rPr>
  </w:style>
  <w:style w:type="character" w:customStyle="1" w:styleId="DocumentMapChar">
    <w:name w:val="Document Map Char"/>
    <w:link w:val="DocumentMap"/>
    <w:rsid w:val="00D61321"/>
    <w:rPr>
      <w:rFonts w:ascii="Tahoma" w:hAnsi="Tahoma" w:cs="Tahoma"/>
      <w:snapToGrid w:val="0"/>
      <w:sz w:val="16"/>
      <w:szCs w:val="16"/>
      <w:lang w:val="en-GB"/>
    </w:rPr>
  </w:style>
  <w:style w:type="character" w:customStyle="1" w:styleId="ListParagraphChar">
    <w:name w:val="List Paragraph Char"/>
    <w:link w:val="ListParagraph"/>
    <w:uiPriority w:val="34"/>
    <w:rsid w:val="00D643FC"/>
    <w:rPr>
      <w:snapToGrid w:val="0"/>
      <w:sz w:val="24"/>
      <w:szCs w:val="24"/>
      <w:lang w:val="en-GB" w:eastAsia="es-ES"/>
    </w:rPr>
  </w:style>
  <w:style w:type="paragraph" w:customStyle="1" w:styleId="Notaalpie">
    <w:name w:val="Nota al pie"/>
    <w:basedOn w:val="FootnoteText"/>
    <w:link w:val="NotaalpieCar"/>
    <w:qFormat/>
    <w:rsid w:val="00897350"/>
    <w:rPr>
      <w:rFonts w:ascii="Candara" w:hAnsi="Candara"/>
      <w:i/>
    </w:rPr>
  </w:style>
  <w:style w:type="paragraph" w:customStyle="1" w:styleId="Subtitulo1">
    <w:name w:val="Subtitulo 1"/>
    <w:basedOn w:val="Text1"/>
    <w:link w:val="Subtitulo1Car"/>
    <w:qFormat/>
    <w:rsid w:val="00885A31"/>
    <w:pPr>
      <w:pBdr>
        <w:bottom w:val="dotted" w:sz="4" w:space="1" w:color="548DD4"/>
      </w:pBdr>
      <w:shd w:val="clear" w:color="auto" w:fill="DBE5F1"/>
      <w:spacing w:before="240" w:after="120"/>
      <w:ind w:left="0"/>
    </w:pPr>
    <w:rPr>
      <w:rFonts w:ascii="Franklin Gothic Demi" w:hAnsi="Franklin Gothic Demi"/>
      <w:smallCaps/>
      <w:color w:val="000080"/>
      <w:sz w:val="32"/>
      <w:szCs w:val="26"/>
    </w:rPr>
  </w:style>
  <w:style w:type="character" w:customStyle="1" w:styleId="FootnoteTextChar">
    <w:name w:val="Footnote Text Char"/>
    <w:link w:val="FootnoteText"/>
    <w:uiPriority w:val="99"/>
    <w:rsid w:val="005344B2"/>
    <w:rPr>
      <w:rFonts w:ascii="Calibri" w:hAnsi="Calibri" w:cs="Calibri"/>
      <w:snapToGrid w:val="0"/>
      <w:sz w:val="18"/>
      <w:szCs w:val="18"/>
      <w:lang w:val="en-GB" w:eastAsia="x-none"/>
    </w:rPr>
  </w:style>
  <w:style w:type="character" w:customStyle="1" w:styleId="NotaalpieCar">
    <w:name w:val="Nota al pie Car"/>
    <w:link w:val="Notaalpie"/>
    <w:rsid w:val="00897350"/>
    <w:rPr>
      <w:rFonts w:ascii="Candara" w:hAnsi="Candara"/>
      <w:i/>
      <w:snapToGrid w:val="0"/>
      <w:lang w:val="en-GB"/>
    </w:rPr>
  </w:style>
  <w:style w:type="paragraph" w:customStyle="1" w:styleId="PUNTOS">
    <w:name w:val="PUNTOS"/>
    <w:basedOn w:val="StandardText"/>
    <w:link w:val="PUNTOSCar"/>
    <w:qFormat/>
    <w:rsid w:val="00885A31"/>
    <w:pPr>
      <w:numPr>
        <w:numId w:val="30"/>
      </w:numPr>
      <w:spacing w:before="120" w:after="120" w:line="240" w:lineRule="auto"/>
    </w:pPr>
    <w:rPr>
      <w:rFonts w:ascii="Calibri" w:hAnsi="Calibri"/>
    </w:rPr>
  </w:style>
  <w:style w:type="character" w:customStyle="1" w:styleId="Text1Car">
    <w:name w:val="Text 1 Car"/>
    <w:link w:val="Text1"/>
    <w:rsid w:val="00946D8C"/>
    <w:rPr>
      <w:snapToGrid w:val="0"/>
      <w:sz w:val="24"/>
      <w:lang w:val="en-GB"/>
    </w:rPr>
  </w:style>
  <w:style w:type="character" w:customStyle="1" w:styleId="Subtitulo1Car">
    <w:name w:val="Subtitulo 1 Car"/>
    <w:link w:val="Subtitulo1"/>
    <w:rsid w:val="00885A31"/>
    <w:rPr>
      <w:rFonts w:ascii="Franklin Gothic Demi" w:hAnsi="Franklin Gothic Demi"/>
      <w:smallCaps/>
      <w:snapToGrid w:val="0"/>
      <w:color w:val="000080"/>
      <w:sz w:val="32"/>
      <w:szCs w:val="26"/>
      <w:shd w:val="clear" w:color="auto" w:fill="DBE5F1"/>
      <w:lang w:eastAsia="x-none"/>
    </w:rPr>
  </w:style>
  <w:style w:type="paragraph" w:customStyle="1" w:styleId="PUNTOS2">
    <w:name w:val="PUNTOS 2"/>
    <w:basedOn w:val="StandardText"/>
    <w:link w:val="PUNTOS2Car"/>
    <w:qFormat/>
    <w:rsid w:val="00964512"/>
    <w:pPr>
      <w:numPr>
        <w:numId w:val="9"/>
      </w:numPr>
      <w:spacing w:after="120" w:line="240" w:lineRule="auto"/>
    </w:pPr>
    <w:rPr>
      <w:rFonts w:ascii="Calibri" w:hAnsi="Calibri"/>
      <w:b/>
      <w:color w:val="000000"/>
    </w:rPr>
  </w:style>
  <w:style w:type="character" w:customStyle="1" w:styleId="StandardTextCar">
    <w:name w:val="Standard Text Car"/>
    <w:link w:val="StandardText"/>
    <w:rsid w:val="00885A31"/>
    <w:rPr>
      <w:snapToGrid w:val="0"/>
      <w:sz w:val="24"/>
      <w:szCs w:val="24"/>
      <w:lang w:val="en-GB"/>
    </w:rPr>
  </w:style>
  <w:style w:type="character" w:customStyle="1" w:styleId="PUNTOSCar">
    <w:name w:val="PUNTOS Car"/>
    <w:link w:val="PUNTOS"/>
    <w:rsid w:val="00885A31"/>
    <w:rPr>
      <w:rFonts w:ascii="Calibri" w:hAnsi="Calibri"/>
      <w:snapToGrid w:val="0"/>
      <w:sz w:val="24"/>
      <w:szCs w:val="24"/>
      <w:lang w:eastAsia="x-none"/>
    </w:rPr>
  </w:style>
  <w:style w:type="table" w:customStyle="1" w:styleId="Sombreadoclaro-nfasis11">
    <w:name w:val="Sombreado claro - Énfasis 11"/>
    <w:basedOn w:val="TableNormal"/>
    <w:uiPriority w:val="60"/>
    <w:rsid w:val="006C279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PUNTOS2Car">
    <w:name w:val="PUNTOS 2 Car"/>
    <w:link w:val="PUNTOS2"/>
    <w:rsid w:val="00964512"/>
    <w:rPr>
      <w:rFonts w:ascii="Calibri" w:hAnsi="Calibri"/>
      <w:b/>
      <w:snapToGrid w:val="0"/>
      <w:color w:val="000000"/>
      <w:sz w:val="24"/>
      <w:szCs w:val="24"/>
      <w:lang w:eastAsia="x-none"/>
    </w:rPr>
  </w:style>
  <w:style w:type="paragraph" w:styleId="TOCHeading">
    <w:name w:val="TOC Heading"/>
    <w:basedOn w:val="Heading1"/>
    <w:next w:val="Normal"/>
    <w:uiPriority w:val="39"/>
    <w:semiHidden/>
    <w:unhideWhenUsed/>
    <w:qFormat/>
    <w:rsid w:val="00D3117D"/>
    <w:pPr>
      <w:keepNext/>
      <w:keepLines/>
      <w:spacing w:before="480" w:after="0" w:line="276" w:lineRule="auto"/>
      <w:ind w:left="0"/>
      <w:outlineLvl w:val="9"/>
    </w:pPr>
    <w:rPr>
      <w:rFonts w:ascii="Cambria" w:hAnsi="Cambria"/>
      <w:color w:val="365F91"/>
      <w:kern w:val="0"/>
      <w:sz w:val="28"/>
      <w:szCs w:val="28"/>
    </w:rPr>
  </w:style>
  <w:style w:type="paragraph" w:customStyle="1" w:styleId="parrafo1">
    <w:name w:val="parrafo1"/>
    <w:basedOn w:val="Normal"/>
    <w:rsid w:val="00E8173D"/>
    <w:pPr>
      <w:spacing w:before="180" w:after="180"/>
      <w:ind w:firstLine="360"/>
      <w:jc w:val="both"/>
    </w:pPr>
    <w:rPr>
      <w:snapToGrid/>
      <w:lang w:eastAsia="es-ES_tradnl"/>
    </w:rPr>
  </w:style>
  <w:style w:type="paragraph" w:styleId="PlainText">
    <w:name w:val="Plain Text"/>
    <w:basedOn w:val="Normal"/>
    <w:link w:val="PlainTextChar"/>
    <w:uiPriority w:val="99"/>
    <w:unhideWhenUsed/>
    <w:rsid w:val="00785868"/>
    <w:rPr>
      <w:rFonts w:ascii="Calibri" w:eastAsia="Calibri" w:hAnsi="Calibri"/>
      <w:snapToGrid/>
      <w:sz w:val="22"/>
      <w:szCs w:val="21"/>
      <w:lang w:eastAsia="en-US"/>
    </w:rPr>
  </w:style>
  <w:style w:type="character" w:customStyle="1" w:styleId="PlainTextChar">
    <w:name w:val="Plain Text Char"/>
    <w:link w:val="PlainText"/>
    <w:uiPriority w:val="99"/>
    <w:rsid w:val="00785868"/>
    <w:rPr>
      <w:rFonts w:ascii="Calibri" w:eastAsia="Calibri" w:hAnsi="Calibri"/>
      <w:sz w:val="22"/>
      <w:szCs w:val="21"/>
      <w:lang w:eastAsia="en-US"/>
    </w:rPr>
  </w:style>
  <w:style w:type="character" w:customStyle="1" w:styleId="FooterChar">
    <w:name w:val="Footer Char"/>
    <w:link w:val="Footer"/>
    <w:uiPriority w:val="99"/>
    <w:rsid w:val="00DC6BDB"/>
    <w:rPr>
      <w:snapToGrid w:val="0"/>
      <w:sz w:val="24"/>
      <w:szCs w:val="24"/>
      <w:lang w:val="en-GB" w:eastAsia="es-ES"/>
    </w:rPr>
  </w:style>
  <w:style w:type="character" w:customStyle="1" w:styleId="Heading6Char">
    <w:name w:val="Heading 6 Char"/>
    <w:link w:val="Heading6"/>
    <w:rsid w:val="00421F78"/>
    <w:rPr>
      <w:rFonts w:ascii="Calibri" w:eastAsia="Times New Roman" w:hAnsi="Calibri" w:cs="Times New Roman"/>
      <w:b/>
      <w:bCs/>
      <w:snapToGrid w:val="0"/>
      <w:sz w:val="22"/>
      <w:szCs w:val="22"/>
      <w:lang w:val="en-GB" w:eastAsia="es-ES"/>
    </w:rPr>
  </w:style>
  <w:style w:type="character" w:customStyle="1" w:styleId="Heading2Char">
    <w:name w:val="Heading 2 Char"/>
    <w:basedOn w:val="DefaultParagraphFont"/>
    <w:link w:val="Heading2"/>
    <w:semiHidden/>
    <w:rsid w:val="009B39A6"/>
    <w:rPr>
      <w:rFonts w:asciiTheme="majorHAnsi" w:eastAsiaTheme="majorEastAsia" w:hAnsiTheme="majorHAnsi" w:cstheme="majorBidi"/>
      <w:b/>
      <w:bCs/>
      <w:snapToGrid w:val="0"/>
      <w:color w:val="4F81BD" w:themeColor="accent1"/>
      <w:sz w:val="26"/>
      <w:szCs w:val="26"/>
      <w:lang w:val="en-GB" w:eastAsia="es-ES"/>
    </w:rPr>
  </w:style>
  <w:style w:type="character" w:customStyle="1" w:styleId="CommentTextChar">
    <w:name w:val="Comment Text Char"/>
    <w:basedOn w:val="DefaultParagraphFont"/>
    <w:link w:val="CommentText"/>
    <w:semiHidden/>
    <w:rsid w:val="00EE5B1C"/>
    <w:rPr>
      <w:snapToGrid w:val="0"/>
      <w:lang w:val="en-GB" w:eastAsia="es-ES"/>
    </w:rPr>
  </w:style>
  <w:style w:type="paragraph" w:customStyle="1" w:styleId="Bodytextinannex">
    <w:name w:val="Body text in annex"/>
    <w:basedOn w:val="Normal"/>
    <w:rsid w:val="009764FE"/>
    <w:pPr>
      <w:spacing w:before="240"/>
      <w:ind w:left="1134" w:hanging="1134"/>
      <w:jc w:val="both"/>
    </w:pPr>
    <w:rPr>
      <w:rFonts w:ascii="Calibri" w:hAnsi="Calibri" w:eastAsiaTheme="minorHAnsi" w:cs="Calibri"/>
      <w:snapToGrid/>
      <w:lang w:eastAsia="fr-FR"/>
    </w:rPr>
  </w:style>
  <w:style w:type="paragraph" w:styleId="Caption">
    <w:name w:val="caption"/>
    <w:basedOn w:val="Normal"/>
    <w:next w:val="Normal"/>
    <w:unhideWhenUsed/>
    <w:qFormat/>
    <w:rsid w:val="00C5329B"/>
    <w:pPr>
      <w:spacing w:after="200"/>
      <w:jc w:val="center"/>
    </w:pPr>
    <w:rPr>
      <w:rFonts w:asciiTheme="minorHAnsi" w:hAnsiTheme="minorHAnsi" w:cstheme="minorHAnsi"/>
      <w:i/>
      <w:iCs/>
      <w:color w:val="1F497D" w:themeColor="text2"/>
      <w:sz w:val="18"/>
      <w:szCs w:val="18"/>
    </w:rPr>
  </w:style>
  <w:style w:type="character" w:customStyle="1" w:styleId="BodyTextChar">
    <w:name w:val="Body Text Char"/>
    <w:basedOn w:val="DefaultParagraphFont"/>
    <w:link w:val="BodyText"/>
    <w:rsid w:val="00F90A0A"/>
    <w:rPr>
      <w:snapToGrid w:val="0"/>
      <w:sz w:val="24"/>
      <w:szCs w:val="24"/>
      <w:lang w:val="en-GB" w:eastAsia="es-ES"/>
    </w:rPr>
  </w:style>
  <w:style w:type="paragraph" w:customStyle="1" w:styleId="notueber">
    <w:name w:val="notueber"/>
    <w:basedOn w:val="Ueber1"/>
    <w:qFormat/>
    <w:rsid w:val="0096415C"/>
    <w:pPr>
      <w:tabs>
        <w:tab w:val="clear" w:pos="567"/>
      </w:tabs>
      <w:spacing w:before="0" w:after="0" w:line="240" w:lineRule="auto"/>
      <w:ind w:left="0" w:firstLine="0"/>
      <w:jc w:val="center"/>
    </w:pPr>
    <w:rPr>
      <w:rFonts w:ascii="Franklin Gothic Demi" w:hAnsi="Franklin Gothic Demi" w:cs="Times New Roman"/>
      <w:b w:val="0"/>
      <w:bCs w:val="0"/>
      <w:color w:val="808080"/>
      <w:sz w:val="200"/>
      <w:szCs w:val="144"/>
    </w:rPr>
  </w:style>
  <w:style w:type="paragraph" w:customStyle="1" w:styleId="Style1">
    <w:name w:val="Style1"/>
    <w:link w:val="Style1Char"/>
    <w:qFormat/>
    <w:rsid w:val="00022D09"/>
    <w:rPr>
      <w:rFonts w:ascii="Franklin Gothic Demi" w:hAnsi="Franklin Gothic Demi"/>
      <w:snapToGrid w:val="0"/>
      <w:color w:val="808080"/>
      <w:kern w:val="32"/>
      <w:sz w:val="200"/>
      <w:szCs w:val="144"/>
      <w:lang w:eastAsia="es-ES"/>
    </w:rPr>
  </w:style>
  <w:style w:type="character" w:customStyle="1" w:styleId="Style1Char">
    <w:name w:val="Style1 Char"/>
    <w:basedOn w:val="DefaultParagraphFont"/>
    <w:link w:val="Style1"/>
    <w:rsid w:val="00022D09"/>
    <w:rPr>
      <w:rFonts w:ascii="Franklin Gothic Demi" w:hAnsi="Franklin Gothic Demi"/>
      <w:snapToGrid w:val="0"/>
      <w:color w:val="808080"/>
      <w:kern w:val="32"/>
      <w:sz w:val="200"/>
      <w:szCs w:val="14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image" Target="media/image4.png" /><Relationship Id="rId15" Type="http://schemas.openxmlformats.org/officeDocument/2006/relationships/footer" Target="footer4.xml" /><Relationship Id="rId16" Type="http://schemas.openxmlformats.org/officeDocument/2006/relationships/image" Target="media/image5.png" /><Relationship Id="rId17" Type="http://schemas.openxmlformats.org/officeDocument/2006/relationships/hyperlink" Target="http://www.seguridadferroviaria.es/NR/rdonlyres/8C71789C-115A-4DF1-BD1D-86727C6021AF/129275/RD_10722014.pdf" TargetMode="External" /><Relationship Id="rId18" Type="http://schemas.openxmlformats.org/officeDocument/2006/relationships/hyperlink" Target="http://www.seguridadferroviaria.es" TargetMode="External" /><Relationship Id="rId19" Type="http://schemas.openxmlformats.org/officeDocument/2006/relationships/image" Target="media/image6.png" /><Relationship Id="rId2" Type="http://schemas.openxmlformats.org/officeDocument/2006/relationships/settings" Target="settings.xml" /><Relationship Id="rId20" Type="http://schemas.openxmlformats.org/officeDocument/2006/relationships/image" Target="media/image7.png" /><Relationship Id="rId21" Type="http://schemas.openxmlformats.org/officeDocument/2006/relationships/image" Target="media/image8.emf" /><Relationship Id="rId22" Type="http://schemas.openxmlformats.org/officeDocument/2006/relationships/image" Target="media/image9.emf" /><Relationship Id="rId23" Type="http://schemas.openxmlformats.org/officeDocument/2006/relationships/image" Target="media/image10.emf" /><Relationship Id="rId24" Type="http://schemas.openxmlformats.org/officeDocument/2006/relationships/image" Target="media/image11.png" /><Relationship Id="rId25" Type="http://schemas.openxmlformats.org/officeDocument/2006/relationships/image" Target="media/image12.emf" /><Relationship Id="rId26" Type="http://schemas.openxmlformats.org/officeDocument/2006/relationships/image" Target="media/image13.emf" /><Relationship Id="rId27" Type="http://schemas.openxmlformats.org/officeDocument/2006/relationships/chart" Target="charts/chart1.xml" /><Relationship Id="rId28" Type="http://schemas.openxmlformats.org/officeDocument/2006/relationships/image" Target="media/image14.png" /><Relationship Id="rId29" Type="http://schemas.openxmlformats.org/officeDocument/2006/relationships/image" Target="media/image15.png" /><Relationship Id="rId3" Type="http://schemas.openxmlformats.org/officeDocument/2006/relationships/webSettings" Target="webSettings.xml" /><Relationship Id="rId30" Type="http://schemas.openxmlformats.org/officeDocument/2006/relationships/image" Target="media/image16.emf" /><Relationship Id="rId31" Type="http://schemas.openxmlformats.org/officeDocument/2006/relationships/image" Target="media/image17.emf" /><Relationship Id="rId32" Type="http://schemas.openxmlformats.org/officeDocument/2006/relationships/image" Target="media/image18.emf" /><Relationship Id="rId33" Type="http://schemas.openxmlformats.org/officeDocument/2006/relationships/image" Target="media/image19.emf"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emf" /><Relationship Id="rId37" Type="http://schemas.openxmlformats.org/officeDocument/2006/relationships/image" Target="media/image23.png" /><Relationship Id="rId38" Type="http://schemas.openxmlformats.org/officeDocument/2006/relationships/image" Target="media/image24.emf" /><Relationship Id="rId39" Type="http://schemas.openxmlformats.org/officeDocument/2006/relationships/image" Target="media/image25.emf" /><Relationship Id="rId4" Type="http://schemas.openxmlformats.org/officeDocument/2006/relationships/fontTable" Target="fontTable.xml" /><Relationship Id="rId40" Type="http://schemas.openxmlformats.org/officeDocument/2006/relationships/image" Target="media/image26.emf" /><Relationship Id="rId41" Type="http://schemas.openxmlformats.org/officeDocument/2006/relationships/image" Target="media/image27.emf" /><Relationship Id="rId42" Type="http://schemas.openxmlformats.org/officeDocument/2006/relationships/image" Target="media/image28.png" /><Relationship Id="rId43" Type="http://schemas.openxmlformats.org/officeDocument/2006/relationships/image" Target="media/image29.png" /><Relationship Id="rId44" Type="http://schemas.openxmlformats.org/officeDocument/2006/relationships/image" Target="media/image30.emf" /><Relationship Id="rId45" Type="http://schemas.openxmlformats.org/officeDocument/2006/relationships/image" Target="media/image31.emf" /><Relationship Id="rId46" Type="http://schemas.openxmlformats.org/officeDocument/2006/relationships/image" Target="media/image32.emf" /><Relationship Id="rId47" Type="http://schemas.openxmlformats.org/officeDocument/2006/relationships/image" Target="media/image33.emf" /><Relationship Id="rId48" Type="http://schemas.openxmlformats.org/officeDocument/2006/relationships/image" Target="media/image34.emf" /><Relationship Id="rId49" Type="http://schemas.openxmlformats.org/officeDocument/2006/relationships/image" Target="media/image35.emf" /><Relationship Id="rId5" Type="http://schemas.openxmlformats.org/officeDocument/2006/relationships/customXml" Target="../customXml/item1.xml" /><Relationship Id="rId50" Type="http://schemas.openxmlformats.org/officeDocument/2006/relationships/image" Target="media/image36.emf" /><Relationship Id="rId51" Type="http://schemas.openxmlformats.org/officeDocument/2006/relationships/image" Target="media/image37.emf" /><Relationship Id="rId52" Type="http://schemas.openxmlformats.org/officeDocument/2006/relationships/header" Target="header4.xml" /><Relationship Id="rId53" Type="http://schemas.openxmlformats.org/officeDocument/2006/relationships/image" Target="media/image38.jpeg" /><Relationship Id="rId54" Type="http://schemas.openxmlformats.org/officeDocument/2006/relationships/header" Target="header5.xml" /><Relationship Id="rId55" Type="http://schemas.openxmlformats.org/officeDocument/2006/relationships/footer" Target="footer5.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header" Target="header1.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er2.xml.rels>&#65279;<?xml version="1.0" encoding="utf-8" standalone="yes"?><Relationships xmlns="http://schemas.openxmlformats.org/package/2006/relationships"><Relationship Id="rId1" Type="http://schemas.openxmlformats.org/officeDocument/2006/relationships/image" Target="media/image3.jpeg" /></Relationships>
</file>

<file path=word/_rels/footnotes.xml.rels>&#65279;<?xml version="1.0" encoding="utf-8" standalone="yes"?><Relationships xmlns="http://schemas.openxmlformats.org/package/2006/relationships"><Relationship Id="rId1" Type="http://schemas.openxmlformats.org/officeDocument/2006/relationships/hyperlink" Target="http://www.seguridadferroviaria.es/quienes-somos/plan-de-accion" TargetMode="External" /><Relationship Id="rId2" Type="http://schemas.openxmlformats.org/officeDocument/2006/relationships/hyperlink" Target="http://www.seguridadferroviaria.es/recursos_aesf/o030201gu01guiasolicitudcertificados.pdf" TargetMode="External" /><Relationship Id="rId3" Type="http://schemas.openxmlformats.org/officeDocument/2006/relationships/hyperlink" Target="http://www.seguridadferroviaria.es/recursos_aesf/o030101gu01guiasolicitudautorizaciones.pdf" TargetMode="External" /><Relationship Id="rId4" Type="http://schemas.openxmlformats.org/officeDocument/2006/relationships/hyperlink" Target="file:///C:\Users\Jes&#250;s\Desktop\IAS%202017\www.seguridadferroviaria.es\recursos_aesf\estrategia20supervisic3b3n.pdf" TargetMode="External"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jmgescribano\Desktop\CONSULTA%20GENERAL%20y%20TD%20(version%204).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66875996328682"/>
          <c:y val="0.062983109075293447"/>
          <c:w val="0.57478850401747816"/>
          <c:h val="0.80418970674757839"/>
        </c:manualLayout>
      </c:layout>
      <c:barChart>
        <c:barDir val="col"/>
        <c:grouping val="clustered"/>
        <c:varyColors val="0"/>
        <c:ser>
          <c:idx val="2"/>
          <c:order val="1"/>
          <c:tx>
            <c:strRef>
              <c:f>Hoja1!$C$138</c:f>
              <c:strCache>
                <c:ptCount val="1"/>
                <c:pt idx="0">
                  <c:v>MHGP Acc. de personas</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t" anchorCtr="1">
                <a:spAutoFit/>
              </a:bodyPr>
              <a:lstStyle/>
              <a:p>
                <a:pPr>
                  <a:defRPr sz="700" b="1" i="0" u="none" strike="noStrike" kern="1200" baseline="0">
                    <a:solidFill>
                      <a:schemeClr val="accent3">
                        <a:lumMod val="7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Hoja1!$H$129:$O$129</c:f>
              <c:numCache>
                <c:formatCode>General</c:formatCode>
                <c:ptCount val="2"/>
                <c:pt idx="0">
                  <c:v>2016</c:v>
                </c:pt>
                <c:pt idx="1">
                  <c:v>2017</c:v>
                </c:pt>
              </c:numCache>
            </c:numRef>
          </c:cat>
          <c:val>
            <c:numRef>
              <c:f>Hoja1!$E$138:$O$138</c:f>
              <c:numCache>
                <c:formatCode>General</c:formatCode>
                <c:ptCount val="5"/>
                <c:pt idx="0">
                  <c:v>19.6</c:v>
                </c:pt>
                <c:pt idx="1">
                  <c:v>17</c:v>
                </c:pt>
                <c:pt idx="2">
                  <c:v>14.999999999999998</c:v>
                </c:pt>
                <c:pt idx="3">
                  <c:v>16.6</c:v>
                </c:pt>
                <c:pt idx="4">
                  <c:v>15.7</c:v>
                </c:pt>
              </c:numCache>
            </c:numRef>
          </c:val>
          <c:extLst>
            <c:ext xmlns:c="http://schemas.openxmlformats.org/drawingml/2006/chart" xmlns:c16="http://schemas.microsoft.com/office/drawing/2014/chart" uri="{C3380CC4-5D6E-409C-BE32-E72D297353CC}">
              <c16:uniqueId val="{00000000-6E9A-4B7D-8EAD-876A2FB7DF7C}"/>
            </c:ext>
          </c:extLst>
        </c:ser>
        <c:ser>
          <c:idx val="3"/>
          <c:order val="3"/>
          <c:tx>
            <c:strRef>
              <c:f>Hoja1!$C$139</c:f>
              <c:strCache>
                <c:ptCount val="1"/>
                <c:pt idx="0">
                  <c:v>MHGP Acc. en paso a nivel</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7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Hoja1!$H$129:$O$129</c:f>
              <c:numCache>
                <c:formatCode>General</c:formatCode>
                <c:ptCount val="2"/>
                <c:pt idx="0">
                  <c:v>2016</c:v>
                </c:pt>
                <c:pt idx="1">
                  <c:v>2017</c:v>
                </c:pt>
              </c:numCache>
            </c:numRef>
          </c:cat>
          <c:val>
            <c:numRef>
              <c:f>Hoja1!$E$139:$O$139</c:f>
              <c:numCache>
                <c:formatCode>General</c:formatCode>
                <c:ptCount val="5"/>
                <c:pt idx="0">
                  <c:v>7.2999999999999989</c:v>
                </c:pt>
                <c:pt idx="1">
                  <c:v>9.3</c:v>
                </c:pt>
                <c:pt idx="2">
                  <c:v>6.2</c:v>
                </c:pt>
                <c:pt idx="3">
                  <c:v>8.3</c:v>
                </c:pt>
                <c:pt idx="4">
                  <c:v>14.1</c:v>
                </c:pt>
              </c:numCache>
            </c:numRef>
          </c:val>
          <c:extLst>
            <c:ext xmlns:c="http://schemas.openxmlformats.org/drawingml/2006/chart" xmlns:c16="http://schemas.microsoft.com/office/drawing/2014/chart" uri="{C3380CC4-5D6E-409C-BE32-E72D297353CC}">
              <c16:uniqueId val="{00000001-6E9A-4B7D-8EAD-876A2FB7DF7C}"/>
            </c:ext>
          </c:extLst>
        </c:ser>
        <c:ser>
          <c:idx val="5"/>
          <c:order val="5"/>
          <c:tx>
            <c:strRef>
              <c:f>Hoja1!$C$140</c:f>
              <c:strCache>
                <c:ptCount val="1"/>
                <c:pt idx="0">
                  <c:v>MHGP Resto de accidentes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Hoja1!$E$129:$O$129</c:f>
              <c:numCache>
                <c:formatCode>General</c:formatCode>
                <c:ptCount val="5"/>
                <c:pt idx="0">
                  <c:v>2013</c:v>
                </c:pt>
                <c:pt idx="1">
                  <c:v>2014</c:v>
                </c:pt>
                <c:pt idx="2">
                  <c:v>2015</c:v>
                </c:pt>
                <c:pt idx="3">
                  <c:v>2016</c:v>
                </c:pt>
                <c:pt idx="4">
                  <c:v>2017</c:v>
                </c:pt>
              </c:numCache>
            </c:numRef>
          </c:cat>
          <c:val>
            <c:numRef>
              <c:f>Hoja1!$E$140:$O$140</c:f>
              <c:numCache>
                <c:formatCode>General</c:formatCode>
                <c:ptCount val="5"/>
                <c:pt idx="0">
                  <c:v>86.3</c:v>
                </c:pt>
                <c:pt idx="1">
                  <c:v>0.2</c:v>
                </c:pt>
                <c:pt idx="2">
                  <c:v>0</c:v>
                </c:pt>
                <c:pt idx="3">
                  <c:v>5.3</c:v>
                </c:pt>
                <c:pt idx="4">
                  <c:v>0.79999999999999993</c:v>
                </c:pt>
              </c:numCache>
            </c:numRef>
          </c:val>
          <c:extLst>
            <c:ext xmlns:c="http://schemas.openxmlformats.org/drawingml/2006/chart" xmlns:c16="http://schemas.microsoft.com/office/drawing/2014/chart" uri="{C3380CC4-5D6E-409C-BE32-E72D297353CC}">
              <c16:uniqueId val="{00000002-6E9A-4B7D-8EAD-876A2FB7DF7C}"/>
            </c:ext>
          </c:extLst>
        </c:ser>
        <c:dLbls>
          <c:showLegendKey val="0"/>
          <c:showVal val="0"/>
          <c:showCatName val="0"/>
          <c:showSerName val="0"/>
          <c:showPercent val="0"/>
          <c:showBubbleSize val="0"/>
        </c:dLbls>
        <c:gapWidth val="150"/>
        <c:axId val="706352256"/>
        <c:axId val="706351472"/>
      </c:barChart>
      <c:lineChart>
        <c:grouping val="standard"/>
        <c:varyColors val="0"/>
        <c:ser>
          <c:idx val="0"/>
          <c:order val="0"/>
          <c:tx>
            <c:strRef>
              <c:f>Hoja1!$C$135</c:f>
              <c:strCache>
                <c:ptCount val="1"/>
                <c:pt idx="0">
                  <c:v>Acc. personas / Mill tr.km</c:v>
                </c:pt>
              </c:strCache>
            </c:strRef>
          </c:tx>
          <c:spPr>
            <a:ln w="38100" cap="rnd">
              <a:solidFill>
                <a:srgbClr val="92D050"/>
              </a:solidFill>
              <a:prstDash val="sysDot"/>
              <a:round/>
            </a:ln>
            <a:effectLst/>
          </c:spPr>
          <c:marker>
            <c:symbol val="none"/>
          </c:marker>
          <c:cat>
            <c:numRef>
              <c:f>Hoja1!$E$129:$O$129</c:f>
              <c:numCache>
                <c:formatCode>General</c:formatCode>
                <c:ptCount val="5"/>
                <c:pt idx="0">
                  <c:v>2013</c:v>
                </c:pt>
                <c:pt idx="1">
                  <c:v>2014</c:v>
                </c:pt>
                <c:pt idx="2">
                  <c:v>2015</c:v>
                </c:pt>
                <c:pt idx="3">
                  <c:v>2016</c:v>
                </c:pt>
                <c:pt idx="4">
                  <c:v>2017</c:v>
                </c:pt>
              </c:numCache>
            </c:numRef>
          </c:cat>
          <c:val>
            <c:numRef>
              <c:f>Hoja1!$E$135:$O$135</c:f>
              <c:numCache>
                <c:formatCode>0.00</c:formatCode>
                <c:ptCount val="5"/>
                <c:pt idx="0">
                  <c:v>0.12576422056047476</c:v>
                </c:pt>
                <c:pt idx="1">
                  <c:v>0.12729596946933469</c:v>
                </c:pt>
                <c:pt idx="2">
                  <c:v>0.11951720784855162</c:v>
                </c:pt>
                <c:pt idx="3">
                  <c:v>0.11088765568374839</c:v>
                </c:pt>
                <c:pt idx="4">
                  <c:v>0.10535028971329671</c:v>
                </c:pt>
              </c:numCache>
            </c:numRef>
          </c:val>
          <c:smooth val="0"/>
          <c:extLst>
            <c:ext xmlns:c="http://schemas.openxmlformats.org/drawingml/2006/chart" xmlns:c16="http://schemas.microsoft.com/office/drawing/2014/chart" uri="{C3380CC4-5D6E-409C-BE32-E72D297353CC}">
              <c16:uniqueId val="{00000003-6E9A-4B7D-8EAD-876A2FB7DF7C}"/>
            </c:ext>
          </c:extLst>
        </c:ser>
        <c:ser>
          <c:idx val="1"/>
          <c:order val="2"/>
          <c:tx>
            <c:strRef>
              <c:f>Hoja1!$C$136</c:f>
              <c:strCache>
                <c:ptCount val="1"/>
                <c:pt idx="0">
                  <c:v>Acc en paso a nivel / Mill tr.km</c:v>
                </c:pt>
              </c:strCache>
            </c:strRef>
          </c:tx>
          <c:spPr>
            <a:ln w="38100" cap="rnd">
              <a:solidFill>
                <a:srgbClr val="00B0F0"/>
              </a:solidFill>
              <a:prstDash val="sysDot"/>
              <a:round/>
            </a:ln>
            <a:effectLst/>
          </c:spPr>
          <c:marker>
            <c:symbol val="none"/>
          </c:marker>
          <c:cat>
            <c:numRef>
              <c:f>Hoja1!$E$129:$O$129</c:f>
              <c:numCache>
                <c:formatCode>General</c:formatCode>
                <c:ptCount val="5"/>
                <c:pt idx="0">
                  <c:v>2013</c:v>
                </c:pt>
                <c:pt idx="1">
                  <c:v>2014</c:v>
                </c:pt>
                <c:pt idx="2">
                  <c:v>2015</c:v>
                </c:pt>
                <c:pt idx="3">
                  <c:v>2016</c:v>
                </c:pt>
                <c:pt idx="4">
                  <c:v>2017</c:v>
                </c:pt>
              </c:numCache>
            </c:numRef>
          </c:cat>
          <c:val>
            <c:numRef>
              <c:f>Hoja1!$E$136:$O$136</c:f>
              <c:numCache>
                <c:formatCode>0.00</c:formatCode>
                <c:ptCount val="5"/>
                <c:pt idx="0">
                  <c:v>0.050305688224189904</c:v>
                </c:pt>
                <c:pt idx="1">
                  <c:v>0.053855987083180061</c:v>
                </c:pt>
                <c:pt idx="2">
                  <c:v>0.034859185622494224</c:v>
                </c:pt>
                <c:pt idx="3">
                  <c:v>0.045363131870624344</c:v>
                </c:pt>
                <c:pt idx="4">
                  <c:v>0.055183485087917324</c:v>
                </c:pt>
              </c:numCache>
            </c:numRef>
          </c:val>
          <c:smooth val="0"/>
          <c:extLst>
            <c:ext xmlns:c="http://schemas.openxmlformats.org/drawingml/2006/chart" xmlns:c16="http://schemas.microsoft.com/office/drawing/2014/chart" uri="{C3380CC4-5D6E-409C-BE32-E72D297353CC}">
              <c16:uniqueId val="{00000004-6E9A-4B7D-8EAD-876A2FB7DF7C}"/>
            </c:ext>
          </c:extLst>
        </c:ser>
        <c:ser>
          <c:idx val="4"/>
          <c:order val="4"/>
          <c:tx>
            <c:strRef>
              <c:f>Hoja1!$C$137</c:f>
              <c:strCache>
                <c:ptCount val="1"/>
                <c:pt idx="0">
                  <c:v>Resto de accidentes signif. con víctimas / Mill tr.km</c:v>
                </c:pt>
              </c:strCache>
            </c:strRef>
          </c:tx>
          <c:spPr>
            <a:ln w="38100" cap="rnd">
              <a:solidFill>
                <a:schemeClr val="accent6">
                  <a:lumMod val="75000"/>
                </a:schemeClr>
              </a:solidFill>
              <a:prstDash val="sysDot"/>
              <a:round/>
            </a:ln>
            <a:effectLst/>
          </c:spPr>
          <c:marker>
            <c:symbol val="none"/>
          </c:marker>
          <c:cat>
            <c:numRef>
              <c:f>Hoja1!$E$129:$O$129</c:f>
              <c:numCache>
                <c:formatCode>General</c:formatCode>
                <c:ptCount val="5"/>
                <c:pt idx="0">
                  <c:v>2013</c:v>
                </c:pt>
                <c:pt idx="1">
                  <c:v>2014</c:v>
                </c:pt>
                <c:pt idx="2">
                  <c:v>2015</c:v>
                </c:pt>
                <c:pt idx="3">
                  <c:v>2016</c:v>
                </c:pt>
                <c:pt idx="4">
                  <c:v>2017</c:v>
                </c:pt>
              </c:numCache>
            </c:numRef>
          </c:cat>
          <c:val>
            <c:numRef>
              <c:f>Hoja1!$E$137:$O$137</c:f>
              <c:numCache>
                <c:formatCode>0.00</c:formatCode>
                <c:ptCount val="5"/>
                <c:pt idx="0">
                  <c:v>0.010061137644837981</c:v>
                </c:pt>
                <c:pt idx="1">
                  <c:v>0.0097919976514872827</c:v>
                </c:pt>
                <c:pt idx="2">
                  <c:v>0</c:v>
                </c:pt>
                <c:pt idx="3">
                  <c:v>0.0050403479856249269</c:v>
                </c:pt>
                <c:pt idx="4">
                  <c:v>0.020066721850151754</c:v>
                </c:pt>
              </c:numCache>
            </c:numRef>
          </c:val>
          <c:smooth val="0"/>
          <c:extLst>
            <c:ext xmlns:c="http://schemas.openxmlformats.org/drawingml/2006/chart" xmlns:c16="http://schemas.microsoft.com/office/drawing/2014/chart" uri="{C3380CC4-5D6E-409C-BE32-E72D297353CC}">
              <c16:uniqueId val="{00000005-6E9A-4B7D-8EAD-876A2FB7DF7C}"/>
            </c:ext>
          </c:extLst>
        </c:ser>
        <c:dLbls>
          <c:showLegendKey val="0"/>
          <c:showVal val="0"/>
          <c:showCatName val="0"/>
          <c:showSerName val="0"/>
          <c:showPercent val="0"/>
          <c:showBubbleSize val="0"/>
        </c:dLbls>
        <c:marker val="1"/>
        <c:smooth val="0"/>
        <c:axId val="854135392"/>
        <c:axId val="854134608"/>
      </c:lineChart>
      <c:catAx>
        <c:axId val="854135392"/>
        <c:scaling>
          <c:orientation val="minMax"/>
        </c:scaling>
        <c:delete val="0"/>
        <c:axPos val="b"/>
        <c:numFmt formatCode="General" sourceLinked="1"/>
        <c:majorTickMark val="cross"/>
        <c:minorTickMark val="none"/>
        <c:tickLblPos val="nextTo"/>
        <c:spPr>
          <a:noFill/>
          <a:ln w="9525">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54134608"/>
        <c:crosses val="autoZero"/>
        <c:auto val="1"/>
        <c:lblAlgn val="ctr"/>
        <c:lblOffset val="100"/>
        <c:noMultiLvlLbl val="0"/>
      </c:catAx>
      <c:valAx>
        <c:axId val="85413460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900" b="1"/>
                  <a:t>Accidentes con víctimas / millón tren.km</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854135392"/>
        <c:crosses val="autoZero"/>
        <c:crossBetween val="between"/>
      </c:valAx>
      <c:valAx>
        <c:axId val="7063514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900" b="1"/>
                  <a:t>MHGP</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6352256"/>
        <c:crosses val="max"/>
        <c:crossBetween val="between"/>
      </c:valAx>
      <c:catAx>
        <c:axId val="706352256"/>
        <c:scaling>
          <c:orientation val="minMax"/>
        </c:scaling>
        <c:delete val="1"/>
        <c:axPos val="b"/>
        <c:numFmt formatCode="General" sourceLinked="1"/>
        <c:majorTickMark val="out"/>
        <c:minorTickMark val="none"/>
        <c:tickLblPos val="nextTo"/>
        <c:crossAx val="706351472"/>
        <c:crosses val="autoZero"/>
        <c:auto val="1"/>
        <c:lblAlgn val="ctr"/>
        <c:lblOffset val="100"/>
        <c:noMultiLvlLbl val="0"/>
      </c:catAx>
      <c:spPr>
        <a:noFill/>
        <a:ln>
          <a:noFill/>
        </a:ln>
        <a:effectLst/>
      </c:spPr>
    </c:plotArea>
    <c:legend>
      <c:legendPos val="r"/>
      <c:layout>
        <c:manualLayout>
          <c:xMode val="edge"/>
          <c:yMode val="edge"/>
          <c:x val="0.77021319420961931"/>
          <c:y val="0.028338792320298629"/>
          <c:w val="0.22774181601532936"/>
          <c:h val="0.880338855438661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no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42312-0F52-48ED-A7FA-8EE70AF2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14825</Words>
  <Characters>84139</Characters>
  <Application>Microsoft Office Word</Application>
  <DocSecurity>0</DocSecurity>
  <Lines>701</Lines>
  <Paragraphs>197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CDT</Company>
  <LinksUpToDate>false</LinksUpToDate>
  <CharactersWithSpaces>98767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CDT</cp:lastModifiedBy>
  <cp:revision>1</cp:revision>
  <dcterms:created xsi:type="dcterms:W3CDTF">2018-10-23T15:22:00Z</dcterms:created>
  <dcterms:modified xsi:type="dcterms:W3CDTF">2018-12-11T09:06:00Z</dcterms:modified>
</cp:coreProperties>
</file>