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F10689" w:rsidRPr="00E526BD" w:rsidP="007A2AEC">
      <w:pPr>
        <w:pStyle w:val="Title"/>
      </w:pPr>
      <w:r w:rsidRPr="00E526BD">
        <w:t>German Federal Railway Authority Report</w:t>
      </w:r>
    </w:p>
    <w:p w:rsidR="00F10689" w:rsidRPr="00E526BD" w:rsidP="00A1058C">
      <w:pPr>
        <w:pStyle w:val="Text1"/>
        <w:jc w:val="center"/>
        <w:rPr>
          <w:rFonts w:ascii="Arial" w:hAnsi="Arial" w:cs="Arial"/>
          <w:sz w:val="60"/>
          <w:szCs w:val="60"/>
        </w:rPr>
      </w:pPr>
    </w:p>
    <w:p w:rsidR="00F35AEA" w:rsidRPr="00E526BD" w:rsidP="00A1058C">
      <w:pPr>
        <w:pStyle w:val="Text1"/>
        <w:jc w:val="center"/>
        <w:rPr>
          <w:rFonts w:ascii="Arial" w:hAnsi="Arial" w:cs="Arial"/>
          <w:sz w:val="48"/>
          <w:szCs w:val="48"/>
        </w:rPr>
      </w:pPr>
      <w:r w:rsidRPr="00E526BD">
        <w:rPr>
          <w:rFonts w:ascii="Arial" w:hAnsi="Arial"/>
          <w:sz w:val="36"/>
        </w:rPr>
        <w:t>on</w:t>
      </w:r>
      <w:r w:rsidRPr="00E526BD">
        <w:rPr>
          <w:rFonts w:ascii="Arial" w:hAnsi="Arial"/>
          <w:sz w:val="36"/>
        </w:rPr>
        <w:t xml:space="preserve"> activities as safety authority pursuant to Article 18 of the Directive on safety on the Community’s railways (Directive 2004/49/EC, ‘Railway Safety Directive’).</w:t>
      </w:r>
    </w:p>
    <w:p w:rsidR="00F35AEA" w:rsidRPr="00E526BD" w:rsidP="00F35AEA">
      <w:pPr>
        <w:pStyle w:val="Text1"/>
        <w:jc w:val="center"/>
        <w:rPr>
          <w:rFonts w:ascii="Arial" w:hAnsi="Arial" w:cs="Arial"/>
          <w:sz w:val="48"/>
          <w:szCs w:val="48"/>
        </w:rPr>
      </w:pPr>
    </w:p>
    <w:p w:rsidR="000733B0" w:rsidRPr="00E526BD" w:rsidP="00F35AEA">
      <w:pPr>
        <w:pStyle w:val="Text1"/>
        <w:jc w:val="center"/>
        <w:rPr>
          <w:rFonts w:ascii="Arial" w:hAnsi="Arial" w:cs="Arial"/>
          <w:sz w:val="48"/>
          <w:szCs w:val="48"/>
        </w:rPr>
      </w:pPr>
      <w:r w:rsidRPr="00E526BD">
        <w:rPr>
          <w:rFonts w:ascii="Verdana" w:hAnsi="Verdana"/>
          <w:noProof/>
          <w:sz w:val="22"/>
          <w:szCs w:val="22"/>
          <w:lang w:val="en-US" w:eastAsia="en-US" w:bidi="ar-SA"/>
        </w:rPr>
        <w:drawing>
          <wp:inline distT="0" distB="0" distL="0" distR="0">
            <wp:extent cx="5142865" cy="3006725"/>
            <wp:effectExtent l="0" t="0" r="635" b="3175"/>
            <wp:docPr id="6" name="Bild 1" descr="Kompetenz und Verantwortung ist der Leitspruch des EBA. Farbofotos von Eisenbahnth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13008" name="Picture 1" descr="Kompetenz und Verantwortung ist der Leitspruch des EBA. Farbofotos von Eisenbahnthemen."/>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142865" cy="3006725"/>
                    </a:xfrm>
                    <a:prstGeom prst="rect">
                      <a:avLst/>
                    </a:prstGeom>
                    <a:noFill/>
                    <a:ln>
                      <a:noFill/>
                    </a:ln>
                  </pic:spPr>
                </pic:pic>
              </a:graphicData>
            </a:graphic>
          </wp:inline>
        </w:drawing>
      </w:r>
    </w:p>
    <w:p w:rsidR="000733B0" w:rsidRPr="00E526BD" w:rsidP="00F35AEA">
      <w:pPr>
        <w:pStyle w:val="Text1"/>
        <w:jc w:val="center"/>
        <w:rPr>
          <w:rFonts w:ascii="Arial" w:hAnsi="Arial" w:cs="Arial"/>
          <w:sz w:val="48"/>
          <w:szCs w:val="48"/>
        </w:rPr>
      </w:pPr>
    </w:p>
    <w:p w:rsidR="000733B0" w:rsidRPr="00E526BD" w:rsidP="00F55B99">
      <w:pPr>
        <w:pStyle w:val="Text1"/>
        <w:jc w:val="center"/>
        <w:rPr>
          <w:rFonts w:ascii="Arial" w:hAnsi="Arial" w:cs="Arial"/>
          <w:b/>
          <w:sz w:val="48"/>
          <w:szCs w:val="48"/>
        </w:rPr>
      </w:pPr>
    </w:p>
    <w:p w:rsidR="00F55B99" w:rsidRPr="00E526BD" w:rsidP="009C3393">
      <w:pPr>
        <w:pStyle w:val="Text1"/>
        <w:jc w:val="center"/>
      </w:pPr>
      <w:r w:rsidRPr="00E526BD">
        <w:rPr>
          <w:rFonts w:ascii="Arial" w:hAnsi="Arial"/>
          <w:b/>
          <w:sz w:val="48"/>
        </w:rPr>
        <w:t>Reporting Year 2017</w:t>
      </w:r>
    </w:p>
    <w:p w:rsidR="00D85A31" w:rsidRPr="00E526BD" w:rsidP="00F55B99">
      <w:pPr>
        <w:pStyle w:val="Text1"/>
        <w:sectPr w:rsidSect="007A2AEC">
          <w:headerReference w:type="default" r:id="rId8"/>
          <w:footerReference w:type="even" r:id="rId9"/>
          <w:footerReference w:type="default" r:id="rId10"/>
          <w:headerReference w:type="first" r:id="rId11"/>
          <w:pgSz w:w="11906" w:h="16838"/>
          <w:pgMar w:top="2618" w:right="1417" w:bottom="1134" w:left="1440" w:header="708" w:footer="708" w:gutter="0"/>
          <w:cols w:space="708"/>
          <w:titlePg/>
          <w:docGrid w:linePitch="360"/>
        </w:sectPr>
      </w:pPr>
    </w:p>
    <w:p w:rsidR="00F55B99" w:rsidRPr="00E526BD" w:rsidP="00F55B99">
      <w:pPr>
        <w:pStyle w:val="Text1"/>
      </w:pPr>
    </w:p>
    <w:p w:rsidR="00F55B99" w:rsidRPr="00E526BD" w:rsidP="00F55B99">
      <w:pPr>
        <w:pStyle w:val="Text1"/>
      </w:pPr>
    </w:p>
    <w:p w:rsidR="00F55B99" w:rsidRPr="00E526BD" w:rsidP="00F55B99">
      <w:pPr>
        <w:pStyle w:val="Text1"/>
      </w:pPr>
    </w:p>
    <w:p w:rsidR="00F55B99" w:rsidRPr="00E526BD" w:rsidP="00F55B99">
      <w:pPr>
        <w:pStyle w:val="Text1"/>
      </w:pPr>
    </w:p>
    <w:p w:rsidR="00F55B99" w:rsidRPr="00E526BD" w:rsidP="00F55B99">
      <w:pPr>
        <w:pStyle w:val="Text1"/>
      </w:pPr>
    </w:p>
    <w:p w:rsidR="00F55B99" w:rsidRPr="00E526BD" w:rsidP="00F55B99">
      <w:pPr>
        <w:pStyle w:val="Text1"/>
      </w:pPr>
    </w:p>
    <w:p w:rsidR="00F55B99" w:rsidRPr="00E526BD" w:rsidP="00F55B99">
      <w:pPr>
        <w:pStyle w:val="Text1"/>
      </w:pPr>
    </w:p>
    <w:p w:rsidR="00F55B99" w:rsidRPr="00E526BD" w:rsidP="00F55B99">
      <w:pPr>
        <w:pStyle w:val="Text1"/>
      </w:pPr>
    </w:p>
    <w:p w:rsidR="00F55B99" w:rsidRPr="00E526BD" w:rsidP="00F55B99">
      <w:pPr>
        <w:pStyle w:val="Text1"/>
      </w:pPr>
    </w:p>
    <w:p w:rsidR="00F55B99" w:rsidRPr="00E526BD" w:rsidP="00F55B99">
      <w:pPr>
        <w:pStyle w:val="Text1"/>
      </w:pPr>
    </w:p>
    <w:p w:rsidR="00F55B99" w:rsidRPr="00E526BD" w:rsidP="00F55B99">
      <w:pPr>
        <w:pStyle w:val="Text1"/>
      </w:pPr>
    </w:p>
    <w:p w:rsidR="00F55B99" w:rsidRPr="00E526BD" w:rsidP="00F55B99">
      <w:pPr>
        <w:pStyle w:val="Text1"/>
      </w:pPr>
    </w:p>
    <w:p w:rsidR="00F55B99" w:rsidRPr="00E526BD" w:rsidP="00F55B99">
      <w:pPr>
        <w:pStyle w:val="Text1"/>
      </w:pPr>
    </w:p>
    <w:p w:rsidR="009C3393" w:rsidRPr="00E526BD" w:rsidP="00F55B99">
      <w:pPr>
        <w:pStyle w:val="Text1"/>
      </w:pPr>
    </w:p>
    <w:p w:rsidR="009C3393" w:rsidRPr="00E526BD" w:rsidP="00F55B99">
      <w:pPr>
        <w:pStyle w:val="Text1"/>
      </w:pPr>
    </w:p>
    <w:p w:rsidR="009C3393" w:rsidRPr="00E526BD" w:rsidP="00F55B99">
      <w:pPr>
        <w:pStyle w:val="Text1"/>
      </w:pPr>
    </w:p>
    <w:p w:rsidR="009C3393" w:rsidRPr="00E526BD" w:rsidP="00F55B99">
      <w:pPr>
        <w:pStyle w:val="Text1"/>
      </w:pPr>
    </w:p>
    <w:p w:rsidR="00F55B99" w:rsidRPr="00E526BD" w:rsidP="00F55B99">
      <w:pPr>
        <w:pStyle w:val="Text1"/>
      </w:pPr>
    </w:p>
    <w:p w:rsidR="00ED2319" w:rsidRPr="00E526BD" w:rsidP="00F55B99">
      <w:pPr>
        <w:pStyle w:val="Text1"/>
      </w:pPr>
    </w:p>
    <w:p w:rsidR="00ED2319" w:rsidRPr="00E526BD" w:rsidP="00F55B99">
      <w:pPr>
        <w:pStyle w:val="Text1"/>
      </w:pPr>
    </w:p>
    <w:p w:rsidR="00F55B99" w:rsidRPr="00E526BD" w:rsidP="00521BCA">
      <w:pPr>
        <w:pStyle w:val="StandardText"/>
        <w:spacing w:before="120" w:after="0" w:line="360" w:lineRule="auto"/>
        <w:jc w:val="left"/>
        <w:rPr>
          <w:rFonts w:ascii="Arial" w:hAnsi="Arial" w:cs="Arial"/>
          <w:b/>
          <w:bCs/>
          <w:sz w:val="16"/>
          <w:szCs w:val="16"/>
        </w:rPr>
      </w:pPr>
      <w:r w:rsidRPr="00E526BD">
        <w:rPr>
          <w:rFonts w:ascii="Arial" w:hAnsi="Arial"/>
          <w:b/>
          <w:sz w:val="16"/>
        </w:rPr>
        <w:t>Published by:</w:t>
      </w:r>
    </w:p>
    <w:p w:rsidR="00F55B99" w:rsidRPr="00E526BD" w:rsidP="00521BCA">
      <w:pPr>
        <w:pStyle w:val="Text1"/>
        <w:ind w:left="0"/>
        <w:rPr>
          <w:rFonts w:ascii="Arial" w:hAnsi="Arial"/>
          <w:sz w:val="16"/>
        </w:rPr>
      </w:pPr>
    </w:p>
    <w:p w:rsidR="00F55B99" w:rsidRPr="00E526BD" w:rsidP="00521BCA">
      <w:pPr>
        <w:pStyle w:val="StandardText"/>
        <w:spacing w:after="0" w:line="480" w:lineRule="auto"/>
        <w:rPr>
          <w:rFonts w:ascii="Arial" w:hAnsi="Arial"/>
          <w:sz w:val="16"/>
        </w:rPr>
      </w:pPr>
      <w:r w:rsidRPr="00E526BD">
        <w:rPr>
          <w:rFonts w:ascii="Arial" w:hAnsi="Arial"/>
          <w:sz w:val="16"/>
        </w:rPr>
        <w:t>German Federal Railway Authority</w:t>
      </w:r>
    </w:p>
    <w:p w:rsidR="00F55B99" w:rsidRPr="00E526BD" w:rsidP="00521BCA">
      <w:pPr>
        <w:pStyle w:val="StandardText"/>
        <w:spacing w:after="0" w:line="480" w:lineRule="auto"/>
        <w:rPr>
          <w:rFonts w:ascii="Arial" w:hAnsi="Arial"/>
          <w:sz w:val="16"/>
        </w:rPr>
      </w:pPr>
      <w:r w:rsidRPr="00E526BD">
        <w:rPr>
          <w:rFonts w:ascii="Arial" w:hAnsi="Arial"/>
          <w:sz w:val="16"/>
        </w:rPr>
        <w:t>Heinemannstraße</w:t>
      </w:r>
      <w:r w:rsidRPr="00E526BD">
        <w:rPr>
          <w:rFonts w:ascii="Arial" w:hAnsi="Arial"/>
          <w:sz w:val="16"/>
        </w:rPr>
        <w:t xml:space="preserve"> 6</w:t>
      </w:r>
    </w:p>
    <w:p w:rsidR="00F55B99" w:rsidRPr="00E526BD" w:rsidP="00521BCA">
      <w:pPr>
        <w:pStyle w:val="StandardText"/>
        <w:spacing w:after="0" w:line="480" w:lineRule="auto"/>
        <w:rPr>
          <w:rFonts w:ascii="Arial" w:hAnsi="Arial"/>
          <w:sz w:val="16"/>
        </w:rPr>
      </w:pPr>
      <w:r w:rsidRPr="00E526BD">
        <w:rPr>
          <w:rFonts w:ascii="Arial" w:hAnsi="Arial"/>
          <w:sz w:val="16"/>
        </w:rPr>
        <w:t>53175 Bonn</w:t>
      </w:r>
    </w:p>
    <w:p w:rsidR="00F55B99" w:rsidRPr="00E526BD" w:rsidP="00521BCA">
      <w:pPr>
        <w:pStyle w:val="StandardText"/>
        <w:spacing w:after="0" w:line="480" w:lineRule="auto"/>
        <w:rPr>
          <w:rFonts w:ascii="Arial" w:hAnsi="Arial"/>
          <w:sz w:val="16"/>
        </w:rPr>
      </w:pPr>
      <w:r w:rsidRPr="00E526BD">
        <w:rPr>
          <w:rFonts w:ascii="Arial" w:hAnsi="Arial"/>
          <w:sz w:val="16"/>
        </w:rPr>
        <w:t>Germany</w:t>
      </w:r>
    </w:p>
    <w:p w:rsidR="00BE074E" w:rsidRPr="00E526BD" w:rsidP="00521BCA">
      <w:pPr>
        <w:pStyle w:val="StandardText"/>
        <w:spacing w:after="0" w:line="480" w:lineRule="auto"/>
        <w:rPr>
          <w:rFonts w:ascii="Arial" w:hAnsi="Arial"/>
          <w:sz w:val="16"/>
        </w:rPr>
      </w:pPr>
      <w:hyperlink r:id="rId12" w:history="1">
        <w:r w:rsidRPr="00E526BD">
          <w:rPr>
            <w:rStyle w:val="Hyperlink"/>
            <w:rFonts w:ascii="Arial" w:hAnsi="Arial"/>
            <w:sz w:val="16"/>
          </w:rPr>
          <w:t>www.eisenbahn-bundesamt.de</w:t>
        </w:r>
      </w:hyperlink>
    </w:p>
    <w:p w:rsidR="002C1E19" w:rsidRPr="00E526BD" w:rsidP="002C1E19">
      <w:pPr>
        <w:pStyle w:val="StandardText"/>
        <w:spacing w:after="0" w:line="480" w:lineRule="auto"/>
        <w:jc w:val="left"/>
        <w:rPr>
          <w:b/>
          <w:bCs/>
          <w:sz w:val="20"/>
          <w:szCs w:val="20"/>
          <w:u w:val="single"/>
        </w:rPr>
      </w:pPr>
      <w:r w:rsidRPr="00E526BD">
        <w:rPr>
          <w:rFonts w:ascii="Arial" w:hAnsi="Arial"/>
          <w:b/>
          <w:sz w:val="16"/>
          <w:u w:val="single"/>
        </w:rPr>
        <w:t>As at: 30.09.2018</w:t>
      </w:r>
      <w:r w:rsidRPr="00E526BD">
        <w:br w:type="page"/>
      </w:r>
    </w:p>
    <w:p w:rsidR="002C1E19" w:rsidRPr="00E526BD">
      <w:pPr>
        <w:pStyle w:val="TOCHeading"/>
        <w:rPr>
          <w:rFonts w:ascii="Arial" w:hAnsi="Arial" w:cs="Arial"/>
          <w:color w:val="auto"/>
          <w:sz w:val="32"/>
          <w:szCs w:val="32"/>
        </w:rPr>
      </w:pPr>
      <w:r w:rsidRPr="00E526BD">
        <w:rPr>
          <w:rFonts w:ascii="Arial" w:hAnsi="Arial"/>
          <w:color w:val="auto"/>
          <w:sz w:val="32"/>
        </w:rPr>
        <w:t>Contents</w:t>
      </w:r>
    </w:p>
    <w:p w:rsidR="00C24E23" w:rsidRPr="00E526BD" w:rsidP="00C24E23"/>
    <w:p w:rsidR="00E526BD">
      <w:pPr>
        <w:pStyle w:val="TOC1"/>
        <w:rPr>
          <w:rFonts w:asciiTheme="minorHAnsi" w:eastAsiaTheme="minorEastAsia" w:hAnsiTheme="minorHAnsi" w:cstheme="minorBidi"/>
          <w:noProof/>
          <w:lang w:val="en-US" w:eastAsia="en-US" w:bidi="ar-SA"/>
        </w:rPr>
      </w:pPr>
      <w:r w:rsidRPr="00E526BD">
        <w:fldChar w:fldCharType="begin"/>
      </w:r>
      <w:r w:rsidRPr="00E526BD">
        <w:instrText xml:space="preserve"> TOC \o "1-2" \h \z \u </w:instrText>
      </w:r>
      <w:r w:rsidRPr="00E526BD">
        <w:fldChar w:fldCharType="separate"/>
      </w:r>
      <w:hyperlink w:anchor="_Toc530579220" w:history="1">
        <w:r w:rsidRPr="00D4289A">
          <w:rPr>
            <w:rStyle w:val="Hyperlink"/>
            <w:noProof/>
          </w:rPr>
          <w:t>A. Introduction</w:t>
        </w:r>
        <w:r>
          <w:rPr>
            <w:noProof/>
            <w:webHidden/>
          </w:rPr>
          <w:tab/>
        </w:r>
        <w:r>
          <w:rPr>
            <w:noProof/>
            <w:webHidden/>
          </w:rPr>
          <w:fldChar w:fldCharType="begin"/>
        </w:r>
        <w:r>
          <w:rPr>
            <w:noProof/>
            <w:webHidden/>
          </w:rPr>
          <w:instrText xml:space="preserve"> PAGEREF _Toc530579220 \h </w:instrText>
        </w:r>
        <w:r>
          <w:rPr>
            <w:noProof/>
            <w:webHidden/>
          </w:rPr>
          <w:fldChar w:fldCharType="separate"/>
        </w:r>
        <w:r>
          <w:rPr>
            <w:noProof/>
            <w:webHidden/>
          </w:rPr>
          <w:t>4</w:t>
        </w:r>
        <w:r>
          <w:rPr>
            <w:noProof/>
            <w:webHidden/>
          </w:rPr>
          <w:fldChar w:fldCharType="end"/>
        </w:r>
      </w:hyperlink>
    </w:p>
    <w:p w:rsidR="00E526BD">
      <w:pPr>
        <w:pStyle w:val="TOC1"/>
        <w:rPr>
          <w:rFonts w:asciiTheme="minorHAnsi" w:eastAsiaTheme="minorEastAsia" w:hAnsiTheme="minorHAnsi" w:cstheme="minorBidi"/>
          <w:noProof/>
          <w:lang w:val="en-US" w:eastAsia="en-US" w:bidi="ar-SA"/>
        </w:rPr>
      </w:pPr>
      <w:hyperlink w:anchor="_Toc530579221" w:history="1">
        <w:r w:rsidRPr="00D4289A">
          <w:rPr>
            <w:rStyle w:val="Hyperlink"/>
            <w:noProof/>
          </w:rPr>
          <w:t>B. Safety Balance Sheet and Strategy</w:t>
        </w:r>
        <w:r>
          <w:rPr>
            <w:noProof/>
            <w:webHidden/>
          </w:rPr>
          <w:tab/>
        </w:r>
        <w:r>
          <w:rPr>
            <w:noProof/>
            <w:webHidden/>
          </w:rPr>
          <w:fldChar w:fldCharType="begin"/>
        </w:r>
        <w:r>
          <w:rPr>
            <w:noProof/>
            <w:webHidden/>
          </w:rPr>
          <w:instrText xml:space="preserve"> PAGEREF _Toc530579221 \h </w:instrText>
        </w:r>
        <w:r>
          <w:rPr>
            <w:noProof/>
            <w:webHidden/>
          </w:rPr>
          <w:fldChar w:fldCharType="separate"/>
        </w:r>
        <w:r>
          <w:rPr>
            <w:noProof/>
            <w:webHidden/>
          </w:rPr>
          <w:t>5</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22" w:history="1">
        <w:r w:rsidRPr="00D4289A">
          <w:rPr>
            <w:rStyle w:val="Hyperlink"/>
            <w:noProof/>
          </w:rPr>
          <w:t>B.1 Main conclusions for the reporting year</w:t>
        </w:r>
        <w:r>
          <w:rPr>
            <w:noProof/>
            <w:webHidden/>
          </w:rPr>
          <w:tab/>
        </w:r>
        <w:r>
          <w:rPr>
            <w:noProof/>
            <w:webHidden/>
          </w:rPr>
          <w:fldChar w:fldCharType="begin"/>
        </w:r>
        <w:r>
          <w:rPr>
            <w:noProof/>
            <w:webHidden/>
          </w:rPr>
          <w:instrText xml:space="preserve"> PAGEREF _Toc530579222 \h </w:instrText>
        </w:r>
        <w:r>
          <w:rPr>
            <w:noProof/>
            <w:webHidden/>
          </w:rPr>
          <w:fldChar w:fldCharType="separate"/>
        </w:r>
        <w:r>
          <w:rPr>
            <w:noProof/>
            <w:webHidden/>
          </w:rPr>
          <w:t>5</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23" w:history="1">
        <w:r w:rsidRPr="00D4289A">
          <w:rPr>
            <w:rStyle w:val="Hyperlink"/>
            <w:noProof/>
          </w:rPr>
          <w:t>B.2 National safety strategies, programmes and initiatives</w:t>
        </w:r>
        <w:r>
          <w:rPr>
            <w:noProof/>
            <w:webHidden/>
          </w:rPr>
          <w:tab/>
        </w:r>
        <w:r>
          <w:rPr>
            <w:noProof/>
            <w:webHidden/>
          </w:rPr>
          <w:fldChar w:fldCharType="begin"/>
        </w:r>
        <w:r>
          <w:rPr>
            <w:noProof/>
            <w:webHidden/>
          </w:rPr>
          <w:instrText xml:space="preserve"> PAGEREF _Toc530579223 \h </w:instrText>
        </w:r>
        <w:r>
          <w:rPr>
            <w:noProof/>
            <w:webHidden/>
          </w:rPr>
          <w:fldChar w:fldCharType="separate"/>
        </w:r>
        <w:r>
          <w:rPr>
            <w:noProof/>
            <w:webHidden/>
          </w:rPr>
          <w:t>5</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24" w:history="1">
        <w:r w:rsidRPr="00D4289A">
          <w:rPr>
            <w:rStyle w:val="Hyperlink"/>
            <w:noProof/>
          </w:rPr>
          <w:t>B.3 Assessment of the reporting year</w:t>
        </w:r>
        <w:r>
          <w:rPr>
            <w:noProof/>
            <w:webHidden/>
          </w:rPr>
          <w:tab/>
        </w:r>
        <w:r>
          <w:rPr>
            <w:noProof/>
            <w:webHidden/>
          </w:rPr>
          <w:fldChar w:fldCharType="begin"/>
        </w:r>
        <w:r>
          <w:rPr>
            <w:noProof/>
            <w:webHidden/>
          </w:rPr>
          <w:instrText xml:space="preserve"> PAGEREF _Toc530579224 \h </w:instrText>
        </w:r>
        <w:r>
          <w:rPr>
            <w:noProof/>
            <w:webHidden/>
          </w:rPr>
          <w:fldChar w:fldCharType="separate"/>
        </w:r>
        <w:r>
          <w:rPr>
            <w:noProof/>
            <w:webHidden/>
          </w:rPr>
          <w:t>5</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25" w:history="1">
        <w:r w:rsidRPr="00D4289A">
          <w:rPr>
            <w:rStyle w:val="Hyperlink"/>
            <w:noProof/>
          </w:rPr>
          <w:t>B.4 Priority areas for 2018</w:t>
        </w:r>
        <w:r>
          <w:rPr>
            <w:noProof/>
            <w:webHidden/>
          </w:rPr>
          <w:tab/>
        </w:r>
        <w:r>
          <w:rPr>
            <w:noProof/>
            <w:webHidden/>
          </w:rPr>
          <w:fldChar w:fldCharType="begin"/>
        </w:r>
        <w:r>
          <w:rPr>
            <w:noProof/>
            <w:webHidden/>
          </w:rPr>
          <w:instrText xml:space="preserve"> PAGEREF _Toc530579225 \h </w:instrText>
        </w:r>
        <w:r>
          <w:rPr>
            <w:noProof/>
            <w:webHidden/>
          </w:rPr>
          <w:fldChar w:fldCharType="separate"/>
        </w:r>
        <w:r>
          <w:rPr>
            <w:noProof/>
            <w:webHidden/>
          </w:rPr>
          <w:t>7</w:t>
        </w:r>
        <w:r>
          <w:rPr>
            <w:noProof/>
            <w:webHidden/>
          </w:rPr>
          <w:fldChar w:fldCharType="end"/>
        </w:r>
      </w:hyperlink>
    </w:p>
    <w:p w:rsidR="00E526BD">
      <w:pPr>
        <w:pStyle w:val="TOC1"/>
        <w:rPr>
          <w:rFonts w:asciiTheme="minorHAnsi" w:eastAsiaTheme="minorEastAsia" w:hAnsiTheme="minorHAnsi" w:cstheme="minorBidi"/>
          <w:noProof/>
          <w:lang w:val="en-US" w:eastAsia="en-US" w:bidi="ar-SA"/>
        </w:rPr>
      </w:pPr>
      <w:hyperlink w:anchor="_Toc530579226" w:history="1">
        <w:r w:rsidRPr="00D4289A">
          <w:rPr>
            <w:rStyle w:val="Hyperlink"/>
            <w:noProof/>
          </w:rPr>
          <w:t>C. Development in the safety sector</w:t>
        </w:r>
        <w:r>
          <w:rPr>
            <w:noProof/>
            <w:webHidden/>
          </w:rPr>
          <w:tab/>
        </w:r>
        <w:r>
          <w:rPr>
            <w:noProof/>
            <w:webHidden/>
          </w:rPr>
          <w:fldChar w:fldCharType="begin"/>
        </w:r>
        <w:r>
          <w:rPr>
            <w:noProof/>
            <w:webHidden/>
          </w:rPr>
          <w:instrText xml:space="preserve"> PAGEREF _Toc530579226 \h </w:instrText>
        </w:r>
        <w:r>
          <w:rPr>
            <w:noProof/>
            <w:webHidden/>
          </w:rPr>
          <w:fldChar w:fldCharType="separate"/>
        </w:r>
        <w:r>
          <w:rPr>
            <w:noProof/>
            <w:webHidden/>
          </w:rPr>
          <w:t>9</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27" w:history="1">
        <w:r w:rsidRPr="00D4289A">
          <w:rPr>
            <w:rStyle w:val="Hyperlink"/>
            <w:noProof/>
          </w:rPr>
          <w:t>C.1 In-depth analysis of the trends noted in the recent past</w:t>
        </w:r>
        <w:r>
          <w:rPr>
            <w:noProof/>
            <w:webHidden/>
          </w:rPr>
          <w:tab/>
        </w:r>
        <w:r>
          <w:rPr>
            <w:noProof/>
            <w:webHidden/>
          </w:rPr>
          <w:fldChar w:fldCharType="begin"/>
        </w:r>
        <w:r>
          <w:rPr>
            <w:noProof/>
            <w:webHidden/>
          </w:rPr>
          <w:instrText xml:space="preserve"> PAGEREF _Toc530579227 \h </w:instrText>
        </w:r>
        <w:r>
          <w:rPr>
            <w:noProof/>
            <w:webHidden/>
          </w:rPr>
          <w:fldChar w:fldCharType="separate"/>
        </w:r>
        <w:r>
          <w:rPr>
            <w:noProof/>
            <w:webHidden/>
          </w:rPr>
          <w:t>9</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28" w:history="1">
        <w:r w:rsidRPr="00D4289A">
          <w:rPr>
            <w:rStyle w:val="Hyperlink"/>
            <w:noProof/>
          </w:rPr>
          <w:t>C.2 Results of the safety recommendation from the BEU (German Federal Agency for Railway Accident Investigation).</w:t>
        </w:r>
        <w:r>
          <w:rPr>
            <w:noProof/>
            <w:webHidden/>
          </w:rPr>
          <w:tab/>
        </w:r>
        <w:r>
          <w:rPr>
            <w:noProof/>
            <w:webHidden/>
          </w:rPr>
          <w:fldChar w:fldCharType="begin"/>
        </w:r>
        <w:r>
          <w:rPr>
            <w:noProof/>
            <w:webHidden/>
          </w:rPr>
          <w:instrText xml:space="preserve"> PAGEREF _Toc530579228 \h </w:instrText>
        </w:r>
        <w:r>
          <w:rPr>
            <w:noProof/>
            <w:webHidden/>
          </w:rPr>
          <w:fldChar w:fldCharType="separate"/>
        </w:r>
        <w:r>
          <w:rPr>
            <w:noProof/>
            <w:webHidden/>
          </w:rPr>
          <w:t>11</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29" w:history="1">
        <w:r w:rsidRPr="00D4289A">
          <w:rPr>
            <w:rStyle w:val="Hyperlink"/>
            <w:noProof/>
          </w:rPr>
          <w:t>C.3 Measures implemented without reference to safety recommendations</w:t>
        </w:r>
        <w:r>
          <w:rPr>
            <w:noProof/>
            <w:webHidden/>
          </w:rPr>
          <w:tab/>
        </w:r>
        <w:r>
          <w:rPr>
            <w:noProof/>
            <w:webHidden/>
          </w:rPr>
          <w:fldChar w:fldCharType="begin"/>
        </w:r>
        <w:r>
          <w:rPr>
            <w:noProof/>
            <w:webHidden/>
          </w:rPr>
          <w:instrText xml:space="preserve"> PAGEREF _Toc530579229 \h </w:instrText>
        </w:r>
        <w:r>
          <w:rPr>
            <w:noProof/>
            <w:webHidden/>
          </w:rPr>
          <w:fldChar w:fldCharType="separate"/>
        </w:r>
        <w:r>
          <w:rPr>
            <w:noProof/>
            <w:webHidden/>
          </w:rPr>
          <w:t>16</w:t>
        </w:r>
        <w:r>
          <w:rPr>
            <w:noProof/>
            <w:webHidden/>
          </w:rPr>
          <w:fldChar w:fldCharType="end"/>
        </w:r>
      </w:hyperlink>
    </w:p>
    <w:p w:rsidR="00E526BD">
      <w:pPr>
        <w:pStyle w:val="TOC1"/>
        <w:rPr>
          <w:rFonts w:asciiTheme="minorHAnsi" w:eastAsiaTheme="minorEastAsia" w:hAnsiTheme="minorHAnsi" w:cstheme="minorBidi"/>
          <w:noProof/>
          <w:lang w:val="en-US" w:eastAsia="en-US" w:bidi="ar-SA"/>
        </w:rPr>
      </w:pPr>
      <w:hyperlink w:anchor="_Toc530579230" w:history="1">
        <w:r w:rsidRPr="00D4289A">
          <w:rPr>
            <w:rStyle w:val="Hyperlink"/>
            <w:noProof/>
          </w:rPr>
          <w:t>D. Supervision</w:t>
        </w:r>
        <w:r>
          <w:rPr>
            <w:noProof/>
            <w:webHidden/>
          </w:rPr>
          <w:tab/>
        </w:r>
        <w:r>
          <w:rPr>
            <w:noProof/>
            <w:webHidden/>
          </w:rPr>
          <w:fldChar w:fldCharType="begin"/>
        </w:r>
        <w:r>
          <w:rPr>
            <w:noProof/>
            <w:webHidden/>
          </w:rPr>
          <w:instrText xml:space="preserve"> PAGEREF _Toc530579230 \h </w:instrText>
        </w:r>
        <w:r>
          <w:rPr>
            <w:noProof/>
            <w:webHidden/>
          </w:rPr>
          <w:fldChar w:fldCharType="separate"/>
        </w:r>
        <w:r>
          <w:rPr>
            <w:noProof/>
            <w:webHidden/>
          </w:rPr>
          <w:t>17</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31" w:history="1">
        <w:r w:rsidRPr="00D4289A">
          <w:rPr>
            <w:rStyle w:val="Hyperlink"/>
            <w:noProof/>
          </w:rPr>
          <w:t>D.1 Strategy and plan(s)</w:t>
        </w:r>
        <w:r>
          <w:rPr>
            <w:noProof/>
            <w:webHidden/>
          </w:rPr>
          <w:tab/>
        </w:r>
        <w:r>
          <w:rPr>
            <w:noProof/>
            <w:webHidden/>
          </w:rPr>
          <w:fldChar w:fldCharType="begin"/>
        </w:r>
        <w:r>
          <w:rPr>
            <w:noProof/>
            <w:webHidden/>
          </w:rPr>
          <w:instrText xml:space="preserve"> PAGEREF _Toc530579231 \h </w:instrText>
        </w:r>
        <w:r>
          <w:rPr>
            <w:noProof/>
            <w:webHidden/>
          </w:rPr>
          <w:fldChar w:fldCharType="separate"/>
        </w:r>
        <w:r>
          <w:rPr>
            <w:noProof/>
            <w:webHidden/>
          </w:rPr>
          <w:t>17</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32" w:history="1">
        <w:r w:rsidRPr="00D4289A">
          <w:rPr>
            <w:rStyle w:val="Hyperlink"/>
            <w:noProof/>
          </w:rPr>
          <w:t>D.2 Staff</w:t>
        </w:r>
        <w:r>
          <w:rPr>
            <w:noProof/>
            <w:webHidden/>
          </w:rPr>
          <w:tab/>
        </w:r>
        <w:r>
          <w:rPr>
            <w:noProof/>
            <w:webHidden/>
          </w:rPr>
          <w:fldChar w:fldCharType="begin"/>
        </w:r>
        <w:r>
          <w:rPr>
            <w:noProof/>
            <w:webHidden/>
          </w:rPr>
          <w:instrText xml:space="preserve"> PAGEREF _Toc530579232 \h </w:instrText>
        </w:r>
        <w:r>
          <w:rPr>
            <w:noProof/>
            <w:webHidden/>
          </w:rPr>
          <w:fldChar w:fldCharType="separate"/>
        </w:r>
        <w:r>
          <w:rPr>
            <w:noProof/>
            <w:webHidden/>
          </w:rPr>
          <w:t>19</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33" w:history="1">
        <w:r w:rsidRPr="00D4289A">
          <w:rPr>
            <w:rStyle w:val="Hyperlink"/>
            <w:noProof/>
          </w:rPr>
          <w:t>D.3 Skills</w:t>
        </w:r>
        <w:r>
          <w:rPr>
            <w:noProof/>
            <w:webHidden/>
          </w:rPr>
          <w:tab/>
        </w:r>
        <w:r>
          <w:rPr>
            <w:noProof/>
            <w:webHidden/>
          </w:rPr>
          <w:fldChar w:fldCharType="begin"/>
        </w:r>
        <w:r>
          <w:rPr>
            <w:noProof/>
            <w:webHidden/>
          </w:rPr>
          <w:instrText xml:space="preserve"> PAGEREF _Toc530579233 \h </w:instrText>
        </w:r>
        <w:r>
          <w:rPr>
            <w:noProof/>
            <w:webHidden/>
          </w:rPr>
          <w:fldChar w:fldCharType="separate"/>
        </w:r>
        <w:r>
          <w:rPr>
            <w:noProof/>
            <w:webHidden/>
          </w:rPr>
          <w:t>19</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34" w:history="1">
        <w:r w:rsidRPr="00D4289A">
          <w:rPr>
            <w:rStyle w:val="Hyperlink"/>
            <w:noProof/>
          </w:rPr>
          <w:t>D.4 Decision-making</w:t>
        </w:r>
        <w:r>
          <w:rPr>
            <w:noProof/>
            <w:webHidden/>
          </w:rPr>
          <w:tab/>
        </w:r>
        <w:r>
          <w:rPr>
            <w:noProof/>
            <w:webHidden/>
          </w:rPr>
          <w:fldChar w:fldCharType="begin"/>
        </w:r>
        <w:r>
          <w:rPr>
            <w:noProof/>
            <w:webHidden/>
          </w:rPr>
          <w:instrText xml:space="preserve"> PAGEREF _Toc530579234 \h </w:instrText>
        </w:r>
        <w:r>
          <w:rPr>
            <w:noProof/>
            <w:webHidden/>
          </w:rPr>
          <w:fldChar w:fldCharType="separate"/>
        </w:r>
        <w:r>
          <w:rPr>
            <w:noProof/>
            <w:webHidden/>
          </w:rPr>
          <w:t>20</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35" w:history="1">
        <w:r w:rsidRPr="00D4289A">
          <w:rPr>
            <w:rStyle w:val="Hyperlink"/>
            <w:noProof/>
          </w:rPr>
          <w:t>D.5 Co-ordination and co-operation</w:t>
        </w:r>
        <w:bookmarkStart w:id="0" w:name="_GoBack"/>
        <w:bookmarkEnd w:id="0"/>
        <w:r>
          <w:rPr>
            <w:noProof/>
            <w:webHidden/>
          </w:rPr>
          <w:tab/>
        </w:r>
        <w:r>
          <w:rPr>
            <w:noProof/>
            <w:webHidden/>
          </w:rPr>
          <w:fldChar w:fldCharType="begin"/>
        </w:r>
        <w:r>
          <w:rPr>
            <w:noProof/>
            <w:webHidden/>
          </w:rPr>
          <w:instrText xml:space="preserve"> PAGEREF _Toc530579235 \h </w:instrText>
        </w:r>
        <w:r>
          <w:rPr>
            <w:noProof/>
            <w:webHidden/>
          </w:rPr>
          <w:fldChar w:fldCharType="separate"/>
        </w:r>
        <w:r>
          <w:rPr>
            <w:noProof/>
            <w:webHidden/>
          </w:rPr>
          <w:t>20</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36" w:history="1">
        <w:r w:rsidRPr="00D4289A">
          <w:rPr>
            <w:rStyle w:val="Hyperlink"/>
            <w:noProof/>
          </w:rPr>
          <w:t>D.6 Lessons learned from measures adopted</w:t>
        </w:r>
        <w:r>
          <w:rPr>
            <w:noProof/>
            <w:webHidden/>
          </w:rPr>
          <w:tab/>
        </w:r>
        <w:r>
          <w:rPr>
            <w:noProof/>
            <w:webHidden/>
          </w:rPr>
          <w:fldChar w:fldCharType="begin"/>
        </w:r>
        <w:r>
          <w:rPr>
            <w:noProof/>
            <w:webHidden/>
          </w:rPr>
          <w:instrText xml:space="preserve"> PAGEREF _Toc530579236 \h </w:instrText>
        </w:r>
        <w:r>
          <w:rPr>
            <w:noProof/>
            <w:webHidden/>
          </w:rPr>
          <w:fldChar w:fldCharType="separate"/>
        </w:r>
        <w:r>
          <w:rPr>
            <w:noProof/>
            <w:webHidden/>
          </w:rPr>
          <w:t>21</w:t>
        </w:r>
        <w:r>
          <w:rPr>
            <w:noProof/>
            <w:webHidden/>
          </w:rPr>
          <w:fldChar w:fldCharType="end"/>
        </w:r>
      </w:hyperlink>
    </w:p>
    <w:p w:rsidR="00E526BD">
      <w:pPr>
        <w:pStyle w:val="TOC1"/>
        <w:rPr>
          <w:rFonts w:asciiTheme="minorHAnsi" w:eastAsiaTheme="minorEastAsia" w:hAnsiTheme="minorHAnsi" w:cstheme="minorBidi"/>
          <w:noProof/>
          <w:lang w:val="en-US" w:eastAsia="en-US" w:bidi="ar-SA"/>
        </w:rPr>
      </w:pPr>
      <w:hyperlink w:anchor="_Toc530579237" w:history="1">
        <w:r w:rsidRPr="00D4289A">
          <w:rPr>
            <w:rStyle w:val="Hyperlink"/>
            <w:noProof/>
          </w:rPr>
          <w:t>E. Safety certification and authorisation</w:t>
        </w:r>
        <w:r>
          <w:rPr>
            <w:noProof/>
            <w:webHidden/>
          </w:rPr>
          <w:tab/>
        </w:r>
        <w:r>
          <w:rPr>
            <w:noProof/>
            <w:webHidden/>
          </w:rPr>
          <w:fldChar w:fldCharType="begin"/>
        </w:r>
        <w:r>
          <w:rPr>
            <w:noProof/>
            <w:webHidden/>
          </w:rPr>
          <w:instrText xml:space="preserve"> PAGEREF _Toc530579237 \h </w:instrText>
        </w:r>
        <w:r>
          <w:rPr>
            <w:noProof/>
            <w:webHidden/>
          </w:rPr>
          <w:fldChar w:fldCharType="separate"/>
        </w:r>
        <w:r>
          <w:rPr>
            <w:noProof/>
            <w:webHidden/>
          </w:rPr>
          <w:t>22</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38" w:history="1">
        <w:r w:rsidRPr="00D4289A">
          <w:rPr>
            <w:rStyle w:val="Hyperlink"/>
            <w:noProof/>
          </w:rPr>
          <w:t>E.1 Guidelines</w:t>
        </w:r>
        <w:r>
          <w:rPr>
            <w:noProof/>
            <w:webHidden/>
          </w:rPr>
          <w:tab/>
        </w:r>
        <w:r>
          <w:rPr>
            <w:noProof/>
            <w:webHidden/>
          </w:rPr>
          <w:fldChar w:fldCharType="begin"/>
        </w:r>
        <w:r>
          <w:rPr>
            <w:noProof/>
            <w:webHidden/>
          </w:rPr>
          <w:instrText xml:space="preserve"> PAGEREF _Toc530579238 \h </w:instrText>
        </w:r>
        <w:r>
          <w:rPr>
            <w:noProof/>
            <w:webHidden/>
          </w:rPr>
          <w:fldChar w:fldCharType="separate"/>
        </w:r>
        <w:r>
          <w:rPr>
            <w:noProof/>
            <w:webHidden/>
          </w:rPr>
          <w:t>22</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39" w:history="1">
        <w:r w:rsidRPr="00D4289A">
          <w:rPr>
            <w:rStyle w:val="Hyperlink"/>
            <w:noProof/>
          </w:rPr>
          <w:t>E.2 Contacts with other national safety authorities</w:t>
        </w:r>
        <w:r>
          <w:rPr>
            <w:noProof/>
            <w:webHidden/>
          </w:rPr>
          <w:tab/>
        </w:r>
        <w:r>
          <w:rPr>
            <w:noProof/>
            <w:webHidden/>
          </w:rPr>
          <w:fldChar w:fldCharType="begin"/>
        </w:r>
        <w:r>
          <w:rPr>
            <w:noProof/>
            <w:webHidden/>
          </w:rPr>
          <w:instrText xml:space="preserve"> PAGEREF _Toc530579239 \h </w:instrText>
        </w:r>
        <w:r>
          <w:rPr>
            <w:noProof/>
            <w:webHidden/>
          </w:rPr>
          <w:fldChar w:fldCharType="separate"/>
        </w:r>
        <w:r>
          <w:rPr>
            <w:noProof/>
            <w:webHidden/>
          </w:rPr>
          <w:t>22</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40" w:history="1">
        <w:r w:rsidRPr="00D4289A">
          <w:rPr>
            <w:rStyle w:val="Hyperlink"/>
            <w:noProof/>
          </w:rPr>
          <w:t>E.3 Procedural aspects</w:t>
        </w:r>
        <w:r>
          <w:rPr>
            <w:noProof/>
            <w:webHidden/>
          </w:rPr>
          <w:tab/>
        </w:r>
        <w:r>
          <w:rPr>
            <w:noProof/>
            <w:webHidden/>
          </w:rPr>
          <w:fldChar w:fldCharType="begin"/>
        </w:r>
        <w:r>
          <w:rPr>
            <w:noProof/>
            <w:webHidden/>
          </w:rPr>
          <w:instrText xml:space="preserve"> PAGEREF _Toc530579240 \h </w:instrText>
        </w:r>
        <w:r>
          <w:rPr>
            <w:noProof/>
            <w:webHidden/>
          </w:rPr>
          <w:fldChar w:fldCharType="separate"/>
        </w:r>
        <w:r>
          <w:rPr>
            <w:noProof/>
            <w:webHidden/>
          </w:rPr>
          <w:t>22</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41" w:history="1">
        <w:r w:rsidRPr="00D4289A">
          <w:rPr>
            <w:rStyle w:val="Hyperlink"/>
            <w:noProof/>
          </w:rPr>
          <w:t>E.4 Feedback</w:t>
        </w:r>
        <w:r>
          <w:rPr>
            <w:noProof/>
            <w:webHidden/>
          </w:rPr>
          <w:tab/>
        </w:r>
        <w:r>
          <w:rPr>
            <w:noProof/>
            <w:webHidden/>
          </w:rPr>
          <w:fldChar w:fldCharType="begin"/>
        </w:r>
        <w:r>
          <w:rPr>
            <w:noProof/>
            <w:webHidden/>
          </w:rPr>
          <w:instrText xml:space="preserve"> PAGEREF _Toc530579241 \h </w:instrText>
        </w:r>
        <w:r>
          <w:rPr>
            <w:noProof/>
            <w:webHidden/>
          </w:rPr>
          <w:fldChar w:fldCharType="separate"/>
        </w:r>
        <w:r>
          <w:rPr>
            <w:noProof/>
            <w:webHidden/>
          </w:rPr>
          <w:t>22</w:t>
        </w:r>
        <w:r>
          <w:rPr>
            <w:noProof/>
            <w:webHidden/>
          </w:rPr>
          <w:fldChar w:fldCharType="end"/>
        </w:r>
      </w:hyperlink>
    </w:p>
    <w:p w:rsidR="00E526BD">
      <w:pPr>
        <w:pStyle w:val="TOC1"/>
        <w:rPr>
          <w:rFonts w:asciiTheme="minorHAnsi" w:eastAsiaTheme="minorEastAsia" w:hAnsiTheme="minorHAnsi" w:cstheme="minorBidi"/>
          <w:noProof/>
          <w:lang w:val="en-US" w:eastAsia="en-US" w:bidi="ar-SA"/>
        </w:rPr>
      </w:pPr>
      <w:hyperlink w:anchor="_Toc530579242" w:history="1">
        <w:r w:rsidRPr="00D4289A">
          <w:rPr>
            <w:rStyle w:val="Hyperlink"/>
            <w:noProof/>
          </w:rPr>
          <w:t>F. Changes to statutes and regulations</w:t>
        </w:r>
        <w:r>
          <w:rPr>
            <w:noProof/>
            <w:webHidden/>
          </w:rPr>
          <w:tab/>
        </w:r>
        <w:r>
          <w:rPr>
            <w:noProof/>
            <w:webHidden/>
          </w:rPr>
          <w:fldChar w:fldCharType="begin"/>
        </w:r>
        <w:r>
          <w:rPr>
            <w:noProof/>
            <w:webHidden/>
          </w:rPr>
          <w:instrText xml:space="preserve"> PAGEREF _Toc530579242 \h </w:instrText>
        </w:r>
        <w:r>
          <w:rPr>
            <w:noProof/>
            <w:webHidden/>
          </w:rPr>
          <w:fldChar w:fldCharType="separate"/>
        </w:r>
        <w:r>
          <w:rPr>
            <w:noProof/>
            <w:webHidden/>
          </w:rPr>
          <w:t>23</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43" w:history="1">
        <w:r w:rsidRPr="00D4289A">
          <w:rPr>
            <w:rStyle w:val="Hyperlink"/>
            <w:noProof/>
          </w:rPr>
          <w:t>F.1 Railway Safety Directive</w:t>
        </w:r>
        <w:r>
          <w:rPr>
            <w:noProof/>
            <w:webHidden/>
          </w:rPr>
          <w:tab/>
        </w:r>
        <w:r>
          <w:rPr>
            <w:noProof/>
            <w:webHidden/>
          </w:rPr>
          <w:fldChar w:fldCharType="begin"/>
        </w:r>
        <w:r>
          <w:rPr>
            <w:noProof/>
            <w:webHidden/>
          </w:rPr>
          <w:instrText xml:space="preserve"> PAGEREF _Toc530579243 \h </w:instrText>
        </w:r>
        <w:r>
          <w:rPr>
            <w:noProof/>
            <w:webHidden/>
          </w:rPr>
          <w:fldChar w:fldCharType="separate"/>
        </w:r>
        <w:r>
          <w:rPr>
            <w:noProof/>
            <w:webHidden/>
          </w:rPr>
          <w:t>23</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44" w:history="1">
        <w:r w:rsidRPr="00D4289A">
          <w:rPr>
            <w:rStyle w:val="Hyperlink"/>
            <w:noProof/>
          </w:rPr>
          <w:t>F.2 Changes in legislation and administrative regulations</w:t>
        </w:r>
        <w:r>
          <w:rPr>
            <w:noProof/>
            <w:webHidden/>
          </w:rPr>
          <w:tab/>
        </w:r>
        <w:r>
          <w:rPr>
            <w:noProof/>
            <w:webHidden/>
          </w:rPr>
          <w:fldChar w:fldCharType="begin"/>
        </w:r>
        <w:r>
          <w:rPr>
            <w:noProof/>
            <w:webHidden/>
          </w:rPr>
          <w:instrText xml:space="preserve"> PAGEREF _Toc530579244 \h </w:instrText>
        </w:r>
        <w:r>
          <w:rPr>
            <w:noProof/>
            <w:webHidden/>
          </w:rPr>
          <w:fldChar w:fldCharType="separate"/>
        </w:r>
        <w:r>
          <w:rPr>
            <w:noProof/>
            <w:webHidden/>
          </w:rPr>
          <w:t>23</w:t>
        </w:r>
        <w:r>
          <w:rPr>
            <w:noProof/>
            <w:webHidden/>
          </w:rPr>
          <w:fldChar w:fldCharType="end"/>
        </w:r>
      </w:hyperlink>
    </w:p>
    <w:p w:rsidR="00E526BD">
      <w:pPr>
        <w:pStyle w:val="TOC1"/>
        <w:rPr>
          <w:rFonts w:asciiTheme="minorHAnsi" w:eastAsiaTheme="minorEastAsia" w:hAnsiTheme="minorHAnsi" w:cstheme="minorBidi"/>
          <w:noProof/>
          <w:lang w:val="en-US" w:eastAsia="en-US" w:bidi="ar-SA"/>
        </w:rPr>
      </w:pPr>
      <w:hyperlink w:anchor="_Toc530579245" w:history="1">
        <w:r w:rsidRPr="00D4289A">
          <w:rPr>
            <w:rStyle w:val="Hyperlink"/>
            <w:noProof/>
          </w:rPr>
          <w:t>G. The application of CSM to risk evaluation and assessment</w:t>
        </w:r>
        <w:r>
          <w:rPr>
            <w:noProof/>
            <w:webHidden/>
          </w:rPr>
          <w:tab/>
        </w:r>
        <w:r>
          <w:rPr>
            <w:noProof/>
            <w:webHidden/>
          </w:rPr>
          <w:fldChar w:fldCharType="begin"/>
        </w:r>
        <w:r>
          <w:rPr>
            <w:noProof/>
            <w:webHidden/>
          </w:rPr>
          <w:instrText xml:space="preserve"> PAGEREF _Toc530579245 \h </w:instrText>
        </w:r>
        <w:r>
          <w:rPr>
            <w:noProof/>
            <w:webHidden/>
          </w:rPr>
          <w:fldChar w:fldCharType="separate"/>
        </w:r>
        <w:r>
          <w:rPr>
            <w:noProof/>
            <w:webHidden/>
          </w:rPr>
          <w:t>24</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46" w:history="1">
        <w:r w:rsidRPr="00D4289A">
          <w:rPr>
            <w:rStyle w:val="Hyperlink"/>
            <w:noProof/>
          </w:rPr>
          <w:t>G.1 Experience of the safety authority</w:t>
        </w:r>
        <w:r>
          <w:rPr>
            <w:noProof/>
            <w:webHidden/>
          </w:rPr>
          <w:tab/>
        </w:r>
        <w:r>
          <w:rPr>
            <w:noProof/>
            <w:webHidden/>
          </w:rPr>
          <w:fldChar w:fldCharType="begin"/>
        </w:r>
        <w:r>
          <w:rPr>
            <w:noProof/>
            <w:webHidden/>
          </w:rPr>
          <w:instrText xml:space="preserve"> PAGEREF _Toc530579246 \h </w:instrText>
        </w:r>
        <w:r>
          <w:rPr>
            <w:noProof/>
            <w:webHidden/>
          </w:rPr>
          <w:fldChar w:fldCharType="separate"/>
        </w:r>
        <w:r>
          <w:rPr>
            <w:noProof/>
            <w:webHidden/>
          </w:rPr>
          <w:t>24</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47" w:history="1">
        <w:r w:rsidRPr="00D4289A">
          <w:rPr>
            <w:rStyle w:val="Hyperlink"/>
            <w:noProof/>
          </w:rPr>
          <w:t>G.2 Feedback from providers</w:t>
        </w:r>
        <w:r>
          <w:rPr>
            <w:noProof/>
            <w:webHidden/>
          </w:rPr>
          <w:tab/>
        </w:r>
        <w:r>
          <w:rPr>
            <w:noProof/>
            <w:webHidden/>
          </w:rPr>
          <w:fldChar w:fldCharType="begin"/>
        </w:r>
        <w:r>
          <w:rPr>
            <w:noProof/>
            <w:webHidden/>
          </w:rPr>
          <w:instrText xml:space="preserve"> PAGEREF _Toc530579247 \h </w:instrText>
        </w:r>
        <w:r>
          <w:rPr>
            <w:noProof/>
            <w:webHidden/>
          </w:rPr>
          <w:fldChar w:fldCharType="separate"/>
        </w:r>
        <w:r>
          <w:rPr>
            <w:noProof/>
            <w:webHidden/>
          </w:rPr>
          <w:t>25</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48" w:history="1">
        <w:r w:rsidRPr="00D4289A">
          <w:rPr>
            <w:rStyle w:val="Hyperlink"/>
            <w:noProof/>
          </w:rPr>
          <w:t xml:space="preserve">G.3 Revision of national safety regulations to take account of the Commission Regulation </w:t>
        </w:r>
        <w:r>
          <w:rPr>
            <w:rStyle w:val="Hyperlink"/>
            <w:noProof/>
          </w:rPr>
          <w:br/>
        </w:r>
        <w:r w:rsidRPr="00D4289A">
          <w:rPr>
            <w:rStyle w:val="Hyperlink"/>
            <w:noProof/>
          </w:rPr>
          <w:t>on CSM for risk evaluation and assessment</w:t>
        </w:r>
        <w:r>
          <w:rPr>
            <w:noProof/>
            <w:webHidden/>
          </w:rPr>
          <w:tab/>
        </w:r>
        <w:r>
          <w:rPr>
            <w:noProof/>
            <w:webHidden/>
          </w:rPr>
          <w:fldChar w:fldCharType="begin"/>
        </w:r>
        <w:r>
          <w:rPr>
            <w:noProof/>
            <w:webHidden/>
          </w:rPr>
          <w:instrText xml:space="preserve"> PAGEREF _Toc530579248 \h </w:instrText>
        </w:r>
        <w:r>
          <w:rPr>
            <w:noProof/>
            <w:webHidden/>
          </w:rPr>
          <w:fldChar w:fldCharType="separate"/>
        </w:r>
        <w:r>
          <w:rPr>
            <w:noProof/>
            <w:webHidden/>
          </w:rPr>
          <w:t>25</w:t>
        </w:r>
        <w:r>
          <w:rPr>
            <w:noProof/>
            <w:webHidden/>
          </w:rPr>
          <w:fldChar w:fldCharType="end"/>
        </w:r>
      </w:hyperlink>
    </w:p>
    <w:p w:rsidR="00E526BD">
      <w:pPr>
        <w:pStyle w:val="TOC1"/>
        <w:rPr>
          <w:rFonts w:asciiTheme="minorHAnsi" w:eastAsiaTheme="minorEastAsia" w:hAnsiTheme="minorHAnsi" w:cstheme="minorBidi"/>
          <w:noProof/>
          <w:lang w:val="en-US" w:eastAsia="en-US" w:bidi="ar-SA"/>
        </w:rPr>
      </w:pPr>
      <w:hyperlink w:anchor="_Toc530579249" w:history="1">
        <w:r w:rsidRPr="00D4289A">
          <w:rPr>
            <w:rStyle w:val="Hyperlink"/>
            <w:noProof/>
          </w:rPr>
          <w:t>H. Application of CSM monitoring</w:t>
        </w:r>
        <w:r>
          <w:rPr>
            <w:noProof/>
            <w:webHidden/>
          </w:rPr>
          <w:tab/>
        </w:r>
        <w:r>
          <w:rPr>
            <w:noProof/>
            <w:webHidden/>
          </w:rPr>
          <w:fldChar w:fldCharType="begin"/>
        </w:r>
        <w:r>
          <w:rPr>
            <w:noProof/>
            <w:webHidden/>
          </w:rPr>
          <w:instrText xml:space="preserve"> PAGEREF _Toc530579249 \h </w:instrText>
        </w:r>
        <w:r>
          <w:rPr>
            <w:noProof/>
            <w:webHidden/>
          </w:rPr>
          <w:fldChar w:fldCharType="separate"/>
        </w:r>
        <w:r>
          <w:rPr>
            <w:noProof/>
            <w:webHidden/>
          </w:rPr>
          <w:t>26</w:t>
        </w:r>
        <w:r>
          <w:rPr>
            <w:noProof/>
            <w:webHidden/>
          </w:rPr>
          <w:fldChar w:fldCharType="end"/>
        </w:r>
      </w:hyperlink>
    </w:p>
    <w:p w:rsidR="00E526BD">
      <w:pPr>
        <w:pStyle w:val="TOC1"/>
        <w:rPr>
          <w:rFonts w:asciiTheme="minorHAnsi" w:eastAsiaTheme="minorEastAsia" w:hAnsiTheme="minorHAnsi" w:cstheme="minorBidi"/>
          <w:noProof/>
          <w:lang w:val="en-US" w:eastAsia="en-US" w:bidi="ar-SA"/>
        </w:rPr>
      </w:pPr>
      <w:hyperlink w:anchor="_Toc530579250" w:history="1">
        <w:r w:rsidRPr="00D4289A">
          <w:rPr>
            <w:rStyle w:val="Hyperlink"/>
            <w:noProof/>
          </w:rPr>
          <w:t>I. Exceptions to the ECM certification system</w:t>
        </w:r>
        <w:r>
          <w:rPr>
            <w:noProof/>
            <w:webHidden/>
          </w:rPr>
          <w:tab/>
        </w:r>
        <w:r>
          <w:rPr>
            <w:noProof/>
            <w:webHidden/>
          </w:rPr>
          <w:fldChar w:fldCharType="begin"/>
        </w:r>
        <w:r>
          <w:rPr>
            <w:noProof/>
            <w:webHidden/>
          </w:rPr>
          <w:instrText xml:space="preserve"> PAGEREF _Toc530579250 \h </w:instrText>
        </w:r>
        <w:r>
          <w:rPr>
            <w:noProof/>
            <w:webHidden/>
          </w:rPr>
          <w:fldChar w:fldCharType="separate"/>
        </w:r>
        <w:r>
          <w:rPr>
            <w:noProof/>
            <w:webHidden/>
          </w:rPr>
          <w:t>27</w:t>
        </w:r>
        <w:r>
          <w:rPr>
            <w:noProof/>
            <w:webHidden/>
          </w:rPr>
          <w:fldChar w:fldCharType="end"/>
        </w:r>
      </w:hyperlink>
    </w:p>
    <w:p w:rsidR="00E526BD">
      <w:pPr>
        <w:pStyle w:val="TOC1"/>
        <w:rPr>
          <w:rFonts w:asciiTheme="minorHAnsi" w:eastAsiaTheme="minorEastAsia" w:hAnsiTheme="minorHAnsi" w:cstheme="minorBidi"/>
          <w:noProof/>
          <w:lang w:val="en-US" w:eastAsia="en-US" w:bidi="ar-SA"/>
        </w:rPr>
      </w:pPr>
      <w:hyperlink w:anchor="_Toc530579251" w:history="1">
        <w:r w:rsidRPr="00D4289A">
          <w:rPr>
            <w:rStyle w:val="Hyperlink"/>
            <w:noProof/>
          </w:rPr>
          <w:t>ANNEX A: Common Safety Indicators</w:t>
        </w:r>
        <w:r>
          <w:rPr>
            <w:noProof/>
            <w:webHidden/>
          </w:rPr>
          <w:tab/>
        </w:r>
        <w:r>
          <w:rPr>
            <w:noProof/>
            <w:webHidden/>
          </w:rPr>
          <w:fldChar w:fldCharType="begin"/>
        </w:r>
        <w:r>
          <w:rPr>
            <w:noProof/>
            <w:webHidden/>
          </w:rPr>
          <w:instrText xml:space="preserve"> PAGEREF _Toc530579251 \h </w:instrText>
        </w:r>
        <w:r>
          <w:rPr>
            <w:noProof/>
            <w:webHidden/>
          </w:rPr>
          <w:fldChar w:fldCharType="separate"/>
        </w:r>
        <w:r>
          <w:rPr>
            <w:noProof/>
            <w:webHidden/>
          </w:rPr>
          <w:t>28</w:t>
        </w:r>
        <w:r>
          <w:rPr>
            <w:noProof/>
            <w:webHidden/>
          </w:rPr>
          <w:fldChar w:fldCharType="end"/>
        </w:r>
      </w:hyperlink>
    </w:p>
    <w:p w:rsidR="00E526BD">
      <w:pPr>
        <w:pStyle w:val="TOC1"/>
        <w:rPr>
          <w:rFonts w:asciiTheme="minorHAnsi" w:eastAsiaTheme="minorEastAsia" w:hAnsiTheme="minorHAnsi" w:cstheme="minorBidi"/>
          <w:noProof/>
          <w:lang w:val="en-US" w:eastAsia="en-US" w:bidi="ar-SA"/>
        </w:rPr>
      </w:pPr>
      <w:hyperlink w:anchor="_Toc530579252" w:history="1">
        <w:r w:rsidRPr="00D4289A">
          <w:rPr>
            <w:rStyle w:val="Hyperlink"/>
            <w:noProof/>
          </w:rPr>
          <w:t>ANNEX B: Amended legal provisions</w:t>
        </w:r>
        <w:r>
          <w:rPr>
            <w:noProof/>
            <w:webHidden/>
          </w:rPr>
          <w:tab/>
        </w:r>
        <w:r>
          <w:rPr>
            <w:noProof/>
            <w:webHidden/>
          </w:rPr>
          <w:fldChar w:fldCharType="begin"/>
        </w:r>
        <w:r>
          <w:rPr>
            <w:noProof/>
            <w:webHidden/>
          </w:rPr>
          <w:instrText xml:space="preserve"> PAGEREF _Toc530579252 \h </w:instrText>
        </w:r>
        <w:r>
          <w:rPr>
            <w:noProof/>
            <w:webHidden/>
          </w:rPr>
          <w:fldChar w:fldCharType="separate"/>
        </w:r>
        <w:r>
          <w:rPr>
            <w:noProof/>
            <w:webHidden/>
          </w:rPr>
          <w:t>31</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53" w:history="1">
        <w:r w:rsidRPr="00D4289A">
          <w:rPr>
            <w:rStyle w:val="Hyperlink"/>
            <w:noProof/>
          </w:rPr>
          <w:t>Table 1: Implementation of the amendments to Directive 2004/49/EC</w:t>
        </w:r>
        <w:r>
          <w:rPr>
            <w:noProof/>
            <w:webHidden/>
          </w:rPr>
          <w:tab/>
        </w:r>
        <w:r>
          <w:rPr>
            <w:noProof/>
            <w:webHidden/>
          </w:rPr>
          <w:fldChar w:fldCharType="begin"/>
        </w:r>
        <w:r>
          <w:rPr>
            <w:noProof/>
            <w:webHidden/>
          </w:rPr>
          <w:instrText xml:space="preserve"> PAGEREF _Toc530579253 \h </w:instrText>
        </w:r>
        <w:r>
          <w:rPr>
            <w:noProof/>
            <w:webHidden/>
          </w:rPr>
          <w:fldChar w:fldCharType="separate"/>
        </w:r>
        <w:r>
          <w:rPr>
            <w:noProof/>
            <w:webHidden/>
          </w:rPr>
          <w:t>31</w:t>
        </w:r>
        <w:r>
          <w:rPr>
            <w:noProof/>
            <w:webHidden/>
          </w:rPr>
          <w:fldChar w:fldCharType="end"/>
        </w:r>
      </w:hyperlink>
    </w:p>
    <w:p w:rsidR="00E526BD">
      <w:pPr>
        <w:pStyle w:val="TOC2"/>
        <w:tabs>
          <w:tab w:val="right" w:leader="dot" w:pos="9220"/>
        </w:tabs>
        <w:rPr>
          <w:rFonts w:asciiTheme="minorHAnsi" w:eastAsiaTheme="minorEastAsia" w:hAnsiTheme="minorHAnsi" w:cstheme="minorBidi"/>
          <w:noProof/>
          <w:lang w:val="en-US" w:eastAsia="en-US" w:bidi="ar-SA"/>
        </w:rPr>
      </w:pPr>
      <w:hyperlink w:anchor="_Toc530579254" w:history="1">
        <w:r w:rsidRPr="00D4289A">
          <w:rPr>
            <w:rStyle w:val="Hyperlink"/>
            <w:noProof/>
          </w:rPr>
          <w:t>Table 2: Changes to the national legal framework during 2017</w:t>
        </w:r>
        <w:r>
          <w:rPr>
            <w:noProof/>
            <w:webHidden/>
          </w:rPr>
          <w:tab/>
        </w:r>
        <w:r>
          <w:rPr>
            <w:noProof/>
            <w:webHidden/>
          </w:rPr>
          <w:fldChar w:fldCharType="begin"/>
        </w:r>
        <w:r>
          <w:rPr>
            <w:noProof/>
            <w:webHidden/>
          </w:rPr>
          <w:instrText xml:space="preserve"> PAGEREF _Toc530579254 \h </w:instrText>
        </w:r>
        <w:r>
          <w:rPr>
            <w:noProof/>
            <w:webHidden/>
          </w:rPr>
          <w:fldChar w:fldCharType="separate"/>
        </w:r>
        <w:r>
          <w:rPr>
            <w:noProof/>
            <w:webHidden/>
          </w:rPr>
          <w:t>32</w:t>
        </w:r>
        <w:r>
          <w:rPr>
            <w:noProof/>
            <w:webHidden/>
          </w:rPr>
          <w:fldChar w:fldCharType="end"/>
        </w:r>
      </w:hyperlink>
    </w:p>
    <w:p w:rsidR="00E526BD">
      <w:pPr>
        <w:pStyle w:val="TOC1"/>
        <w:rPr>
          <w:rFonts w:asciiTheme="minorHAnsi" w:eastAsiaTheme="minorEastAsia" w:hAnsiTheme="minorHAnsi" w:cstheme="minorBidi"/>
          <w:noProof/>
          <w:lang w:val="en-US" w:eastAsia="en-US" w:bidi="ar-SA"/>
        </w:rPr>
      </w:pPr>
      <w:hyperlink w:anchor="_Toc530579255" w:history="1">
        <w:r w:rsidRPr="00D4289A">
          <w:rPr>
            <w:rStyle w:val="Hyperlink"/>
            <w:noProof/>
          </w:rPr>
          <w:t>ANNEX C – Abbreviations</w:t>
        </w:r>
        <w:r>
          <w:rPr>
            <w:noProof/>
            <w:webHidden/>
          </w:rPr>
          <w:tab/>
        </w:r>
        <w:r>
          <w:rPr>
            <w:noProof/>
            <w:webHidden/>
          </w:rPr>
          <w:fldChar w:fldCharType="begin"/>
        </w:r>
        <w:r>
          <w:rPr>
            <w:noProof/>
            <w:webHidden/>
          </w:rPr>
          <w:instrText xml:space="preserve"> PAGEREF _Toc530579255 \h </w:instrText>
        </w:r>
        <w:r>
          <w:rPr>
            <w:noProof/>
            <w:webHidden/>
          </w:rPr>
          <w:fldChar w:fldCharType="separate"/>
        </w:r>
        <w:r>
          <w:rPr>
            <w:noProof/>
            <w:webHidden/>
          </w:rPr>
          <w:t>33</w:t>
        </w:r>
        <w:r>
          <w:rPr>
            <w:noProof/>
            <w:webHidden/>
          </w:rPr>
          <w:fldChar w:fldCharType="end"/>
        </w:r>
      </w:hyperlink>
    </w:p>
    <w:p w:rsidR="00412D32" w:rsidRPr="00E526BD" w:rsidP="00FB1221">
      <w:pPr>
        <w:pStyle w:val="TOC1"/>
        <w:rPr>
          <w:rFonts w:asciiTheme="minorHAnsi" w:eastAsiaTheme="minorEastAsia" w:hAnsiTheme="minorHAnsi" w:cstheme="minorBidi"/>
        </w:rPr>
      </w:pPr>
      <w:r w:rsidRPr="00E526BD">
        <w:fldChar w:fldCharType="end"/>
      </w:r>
    </w:p>
    <w:p w:rsidR="00F55B99" w:rsidRPr="00E526BD" w:rsidP="00D0629E">
      <w:pPr>
        <w:pStyle w:val="Heading1"/>
        <w:spacing w:before="0" w:after="0"/>
      </w:pPr>
      <w:r w:rsidRPr="00E526BD">
        <w:br w:type="page"/>
      </w:r>
      <w:bookmarkStart w:id="1" w:name="_Toc530579220"/>
      <w:r w:rsidRPr="00E526BD">
        <w:t xml:space="preserve">A. </w:t>
      </w:r>
      <w:r w:rsidRPr="00E526BD">
        <w:t>Introduction</w:t>
      </w:r>
      <w:bookmarkEnd w:id="1"/>
    </w:p>
    <w:p w:rsidR="00D0629E" w:rsidRPr="00E526BD" w:rsidP="00D0629E">
      <w:pPr>
        <w:pStyle w:val="StandardText"/>
        <w:spacing w:after="0" w:line="240" w:lineRule="auto"/>
        <w:rPr>
          <w:rFonts w:ascii="Arial" w:hAnsi="Arial" w:cs="Arial"/>
        </w:rPr>
      </w:pPr>
    </w:p>
    <w:p w:rsidR="00F55B99" w:rsidRPr="00E526BD" w:rsidP="00D0629E">
      <w:pPr>
        <w:pStyle w:val="StandardText"/>
        <w:spacing w:after="0" w:line="240" w:lineRule="auto"/>
        <w:rPr>
          <w:rFonts w:ascii="Arial" w:hAnsi="Arial" w:cs="Arial"/>
        </w:rPr>
      </w:pPr>
      <w:r w:rsidRPr="00E526BD">
        <w:rPr>
          <w:rFonts w:ascii="Arial" w:hAnsi="Arial"/>
        </w:rPr>
        <w:t xml:space="preserve">The German Federal Railway Authority (in German: </w:t>
      </w:r>
      <w:r w:rsidRPr="00E526BD">
        <w:rPr>
          <w:rFonts w:ascii="Arial" w:hAnsi="Arial"/>
        </w:rPr>
        <w:t>Eisenbahn-Bundesamt</w:t>
      </w:r>
      <w:r w:rsidRPr="00E526BD">
        <w:rPr>
          <w:rFonts w:ascii="Arial" w:hAnsi="Arial"/>
        </w:rPr>
        <w:t>; abbreviated: EBA) is the safety authority for the railway in Germany. As such, the EBA is responsible for tasks laid down in Article 16 of Directive 2004/49/EC (“Railway Safety Directive</w:t>
      </w:r>
      <w:r w:rsidRPr="00E526BD">
        <w:rPr>
          <w:rFonts w:ascii="Arial" w:hAnsi="Arial"/>
        </w:rPr>
        <w:t>”):</w:t>
      </w:r>
    </w:p>
    <w:p w:rsidR="00F55B99" w:rsidRPr="00E526BD" w:rsidP="00D0629E">
      <w:pPr>
        <w:pStyle w:val="Text1"/>
        <w:numPr>
          <w:ilvl w:val="0"/>
          <w:numId w:val="2"/>
        </w:numPr>
        <w:spacing w:after="0"/>
        <w:rPr>
          <w:rFonts w:ascii="Arial" w:hAnsi="Arial" w:cs="Arial"/>
        </w:rPr>
      </w:pPr>
      <w:r w:rsidRPr="00E526BD">
        <w:rPr>
          <w:rFonts w:ascii="Arial" w:hAnsi="Arial"/>
        </w:rPr>
        <w:t>granting authorisations for the placing in service of structural subsystems in accordance with the Directive on the interoperability of the rail system within the Community (Directive 2008/57/EC),</w:t>
      </w:r>
    </w:p>
    <w:p w:rsidR="00F55B99" w:rsidRPr="00E526BD" w:rsidP="00D0629E">
      <w:pPr>
        <w:pStyle w:val="Text1"/>
        <w:numPr>
          <w:ilvl w:val="0"/>
          <w:numId w:val="2"/>
        </w:numPr>
        <w:spacing w:after="0"/>
        <w:rPr>
          <w:rFonts w:ascii="Arial" w:hAnsi="Arial" w:cs="Arial"/>
        </w:rPr>
      </w:pPr>
      <w:r w:rsidRPr="00E526BD">
        <w:rPr>
          <w:rFonts w:ascii="Arial" w:hAnsi="Arial"/>
        </w:rPr>
        <w:t xml:space="preserve">supervising compliance with the essential requirements </w:t>
      </w:r>
      <w:r w:rsidRPr="00E526BD">
        <w:rPr>
          <w:rFonts w:ascii="Arial" w:hAnsi="Arial"/>
        </w:rPr>
        <w:t>for operation and maintenance of the subsystems of the railway system and for interoperability constituents,</w:t>
      </w:r>
    </w:p>
    <w:p w:rsidR="00F55B99" w:rsidRPr="00E526BD" w:rsidP="00D0629E">
      <w:pPr>
        <w:pStyle w:val="Text1"/>
        <w:numPr>
          <w:ilvl w:val="0"/>
          <w:numId w:val="2"/>
        </w:numPr>
        <w:spacing w:after="0"/>
        <w:rPr>
          <w:rFonts w:ascii="Arial" w:hAnsi="Arial" w:cs="Arial"/>
        </w:rPr>
      </w:pPr>
      <w:r w:rsidRPr="00E526BD">
        <w:rPr>
          <w:rFonts w:ascii="Arial" w:hAnsi="Arial"/>
        </w:rPr>
        <w:t>granting authorisations for the placing in service of vehicles that are not yet covered by a TSI,</w:t>
      </w:r>
    </w:p>
    <w:p w:rsidR="00F55B99" w:rsidRPr="00E526BD" w:rsidP="00D0629E">
      <w:pPr>
        <w:pStyle w:val="Text1"/>
        <w:numPr>
          <w:ilvl w:val="0"/>
          <w:numId w:val="2"/>
        </w:numPr>
        <w:spacing w:after="0"/>
        <w:rPr>
          <w:rFonts w:ascii="Arial" w:hAnsi="Arial" w:cs="Arial"/>
        </w:rPr>
      </w:pPr>
      <w:r w:rsidRPr="00E526BD">
        <w:rPr>
          <w:rFonts w:ascii="Arial" w:hAnsi="Arial"/>
        </w:rPr>
        <w:t>issuing safety certificates for railway undertaki</w:t>
      </w:r>
      <w:r w:rsidRPr="00E526BD">
        <w:rPr>
          <w:rFonts w:ascii="Arial" w:hAnsi="Arial"/>
        </w:rPr>
        <w:t>ngs and safety authorisations for infrastructure managers,</w:t>
      </w:r>
    </w:p>
    <w:p w:rsidR="00F55B99" w:rsidRPr="00E526BD" w:rsidP="00D0629E">
      <w:pPr>
        <w:pStyle w:val="Text1"/>
        <w:numPr>
          <w:ilvl w:val="0"/>
          <w:numId w:val="2"/>
        </w:numPr>
        <w:spacing w:after="0"/>
        <w:rPr>
          <w:rFonts w:ascii="Arial" w:hAnsi="Arial" w:cs="Arial"/>
        </w:rPr>
      </w:pPr>
      <w:r w:rsidRPr="00E526BD">
        <w:rPr>
          <w:rFonts w:ascii="Arial" w:hAnsi="Arial"/>
        </w:rPr>
        <w:t>monitoring and developing the railway safety regulatory framework, including the system of national safety rules,</w:t>
      </w:r>
    </w:p>
    <w:p w:rsidR="00F55B99" w:rsidRPr="00E526BD" w:rsidP="00D0629E">
      <w:pPr>
        <w:pStyle w:val="Text1"/>
        <w:numPr>
          <w:ilvl w:val="0"/>
          <w:numId w:val="2"/>
        </w:numPr>
        <w:spacing w:after="0"/>
        <w:rPr>
          <w:rFonts w:ascii="Arial" w:hAnsi="Arial" w:cs="Arial"/>
        </w:rPr>
      </w:pPr>
      <w:r w:rsidRPr="00E526BD">
        <w:rPr>
          <w:rFonts w:ascii="Arial" w:hAnsi="Arial"/>
        </w:rPr>
        <w:t>registration</w:t>
      </w:r>
      <w:r w:rsidRPr="00E526BD">
        <w:rPr>
          <w:rFonts w:ascii="Arial" w:hAnsi="Arial"/>
        </w:rPr>
        <w:t xml:space="preserve"> of vehicles in the national vehicle register.</w:t>
      </w:r>
    </w:p>
    <w:p w:rsidR="00313D31" w:rsidRPr="00E526BD" w:rsidP="00D0629E">
      <w:pPr>
        <w:pStyle w:val="StandardText"/>
        <w:spacing w:after="0" w:line="240" w:lineRule="auto"/>
        <w:rPr>
          <w:rFonts w:ascii="Arial" w:hAnsi="Arial" w:cs="Arial"/>
        </w:rPr>
      </w:pPr>
    </w:p>
    <w:p w:rsidR="00AD0A2E" w:rsidRPr="00E526BD" w:rsidP="005A299A">
      <w:pPr>
        <w:pStyle w:val="StandardText"/>
        <w:spacing w:line="240" w:lineRule="auto"/>
        <w:rPr>
          <w:rFonts w:ascii="Arial" w:hAnsi="Arial" w:cs="Arial"/>
        </w:rPr>
      </w:pPr>
      <w:r w:rsidRPr="00E526BD">
        <w:rPr>
          <w:rFonts w:ascii="Arial" w:hAnsi="Arial"/>
        </w:rPr>
        <w:t>In addition, the EBA pe</w:t>
      </w:r>
      <w:r w:rsidRPr="00E526BD">
        <w:rPr>
          <w:rFonts w:ascii="Arial" w:hAnsi="Arial"/>
        </w:rPr>
        <w:t>rforms other tasks such as planning the federal railways’ operating facilities, awarding federal grants for investments in rail infrastructure, activities relating to dangerous goods, coordinating research, and acting as the enforcement body for European p</w:t>
      </w:r>
      <w:r w:rsidRPr="00E526BD">
        <w:rPr>
          <w:rFonts w:ascii="Arial" w:hAnsi="Arial"/>
        </w:rPr>
        <w:t>assenger rights in bus and rail transport and shipping. The Federal Ministry for Transport and Digital Infrastructure (BMVI) is in charge of supervising technical and legal matters.</w:t>
      </w:r>
    </w:p>
    <w:p w:rsidR="00744082" w:rsidRPr="00E526BD" w:rsidP="00D0629E">
      <w:pPr>
        <w:pStyle w:val="StandardText"/>
        <w:spacing w:after="0" w:line="240" w:lineRule="auto"/>
        <w:rPr>
          <w:rFonts w:ascii="Arial" w:hAnsi="Arial" w:cs="Arial"/>
        </w:rPr>
      </w:pPr>
      <w:r w:rsidRPr="00E526BD">
        <w:rPr>
          <w:rFonts w:ascii="Arial" w:hAnsi="Arial"/>
        </w:rPr>
        <w:t>In accordance with Article 18 of the Railway Safety Directive, this report</w:t>
      </w:r>
      <w:r w:rsidRPr="00E526BD">
        <w:rPr>
          <w:rFonts w:ascii="Arial" w:hAnsi="Arial"/>
        </w:rPr>
        <w:t xml:space="preserve"> is limited to the EBA’s activities as a safety authority, in particular the development of:</w:t>
      </w:r>
    </w:p>
    <w:p w:rsidR="00744082" w:rsidRPr="00E526BD" w:rsidP="00D0629E">
      <w:pPr>
        <w:pStyle w:val="StandardText"/>
        <w:numPr>
          <w:ilvl w:val="0"/>
          <w:numId w:val="3"/>
        </w:numPr>
        <w:tabs>
          <w:tab w:val="clear" w:pos="2484"/>
        </w:tabs>
        <w:spacing w:after="0" w:line="240" w:lineRule="auto"/>
        <w:ind w:left="360"/>
        <w:rPr>
          <w:rFonts w:ascii="Arial" w:hAnsi="Arial" w:cs="Arial"/>
        </w:rPr>
      </w:pPr>
      <w:r w:rsidRPr="00E526BD">
        <w:rPr>
          <w:rFonts w:ascii="Arial" w:hAnsi="Arial"/>
        </w:rPr>
        <w:t>railway safety, including the common safety indicators (CSIs),</w:t>
      </w:r>
    </w:p>
    <w:p w:rsidR="00744082" w:rsidRPr="00E526BD" w:rsidP="00D0629E">
      <w:pPr>
        <w:pStyle w:val="StandardText"/>
        <w:numPr>
          <w:ilvl w:val="0"/>
          <w:numId w:val="3"/>
        </w:numPr>
        <w:tabs>
          <w:tab w:val="clear" w:pos="2484"/>
        </w:tabs>
        <w:spacing w:after="0" w:line="240" w:lineRule="auto"/>
        <w:ind w:left="360"/>
        <w:rPr>
          <w:rFonts w:ascii="Arial" w:hAnsi="Arial" w:cs="Arial"/>
        </w:rPr>
      </w:pPr>
      <w:r w:rsidRPr="00E526BD">
        <w:rPr>
          <w:rFonts w:ascii="Arial" w:hAnsi="Arial"/>
        </w:rPr>
        <w:t>the legal framework in the field of railway safety,</w:t>
      </w:r>
    </w:p>
    <w:p w:rsidR="00744082" w:rsidRPr="00E526BD" w:rsidP="00D0629E">
      <w:pPr>
        <w:pStyle w:val="StandardText"/>
        <w:numPr>
          <w:ilvl w:val="0"/>
          <w:numId w:val="3"/>
        </w:numPr>
        <w:tabs>
          <w:tab w:val="clear" w:pos="2484"/>
        </w:tabs>
        <w:spacing w:after="0" w:line="240" w:lineRule="auto"/>
        <w:ind w:left="360"/>
        <w:rPr>
          <w:rFonts w:ascii="Arial" w:hAnsi="Arial" w:cs="Arial"/>
        </w:rPr>
      </w:pPr>
      <w:r w:rsidRPr="00E526BD">
        <w:rPr>
          <w:rFonts w:ascii="Arial" w:hAnsi="Arial"/>
        </w:rPr>
        <w:t>safety certifications and safety authorisations,</w:t>
      </w:r>
      <w:r w:rsidRPr="00E526BD">
        <w:rPr>
          <w:rFonts w:ascii="Arial" w:hAnsi="Arial"/>
        </w:rPr>
        <w:t xml:space="preserve"> as well as</w:t>
      </w:r>
    </w:p>
    <w:p w:rsidR="00744082" w:rsidRPr="00E526BD" w:rsidP="00D0629E">
      <w:pPr>
        <w:pStyle w:val="StandardText"/>
        <w:numPr>
          <w:ilvl w:val="0"/>
          <w:numId w:val="3"/>
        </w:numPr>
        <w:tabs>
          <w:tab w:val="clear" w:pos="2484"/>
        </w:tabs>
        <w:spacing w:after="0" w:line="240" w:lineRule="auto"/>
        <w:ind w:left="360"/>
        <w:rPr>
          <w:rFonts w:ascii="Arial" w:hAnsi="Arial" w:cs="Arial"/>
        </w:rPr>
      </w:pPr>
      <w:r w:rsidRPr="00E526BD">
        <w:rPr>
          <w:rFonts w:ascii="Arial" w:hAnsi="Arial"/>
        </w:rPr>
        <w:t>the</w:t>
      </w:r>
      <w:r w:rsidRPr="00E526BD">
        <w:rPr>
          <w:rFonts w:ascii="Arial" w:hAnsi="Arial"/>
        </w:rPr>
        <w:t xml:space="preserve"> knowledge obtained from the supervision of railway undertakings.</w:t>
      </w:r>
    </w:p>
    <w:p w:rsidR="00AD3B9B" w:rsidRPr="00E526BD" w:rsidP="00D0629E">
      <w:pPr>
        <w:pStyle w:val="StandardText"/>
        <w:spacing w:after="0" w:line="240" w:lineRule="auto"/>
        <w:rPr>
          <w:rFonts w:ascii="Arial" w:hAnsi="Arial" w:cs="Arial"/>
        </w:rPr>
      </w:pPr>
    </w:p>
    <w:p w:rsidR="00744082" w:rsidRPr="00E526BD" w:rsidP="00D0629E">
      <w:pPr>
        <w:pStyle w:val="StandardText"/>
        <w:spacing w:after="0" w:line="240" w:lineRule="auto"/>
        <w:rPr>
          <w:rFonts w:ascii="Arial" w:hAnsi="Arial" w:cs="Arial"/>
        </w:rPr>
      </w:pPr>
      <w:r w:rsidRPr="00E526BD">
        <w:rPr>
          <w:rFonts w:ascii="Arial" w:hAnsi="Arial"/>
        </w:rPr>
        <w:t>With regard to structure and content, this report is based upon the relevant recommendations from the European Union Agency for Railways (ERA). Its target audience is primari</w:t>
      </w:r>
      <w:r w:rsidRPr="00E526BD">
        <w:rPr>
          <w:rFonts w:ascii="Arial" w:hAnsi="Arial"/>
        </w:rPr>
        <w:t>ly the rail sector in Germany and Europe, though it is also aimed at politicians, representatives of business and the press from other sectors, as well as interested members of the general public.</w:t>
      </w:r>
    </w:p>
    <w:p w:rsidR="00F55B99" w:rsidRPr="00E526BD" w:rsidP="00D0629E">
      <w:pPr>
        <w:pStyle w:val="Heading1"/>
        <w:spacing w:before="0" w:after="0"/>
      </w:pPr>
      <w:r w:rsidRPr="00E526BD">
        <w:br w:type="page"/>
      </w:r>
      <w:bookmarkStart w:id="2" w:name="_Toc530579221"/>
      <w:r w:rsidRPr="00E526BD">
        <w:t xml:space="preserve">B. </w:t>
      </w:r>
      <w:r w:rsidRPr="00E526BD">
        <w:t>Safety Balance Sheet and Strategy</w:t>
      </w:r>
      <w:bookmarkEnd w:id="2"/>
    </w:p>
    <w:p w:rsidR="004C1B08" w:rsidRPr="00E526BD" w:rsidP="001C3569"/>
    <w:p w:rsidR="004C1B08" w:rsidRPr="00E526BD" w:rsidP="001C3569"/>
    <w:p w:rsidR="00F55B99" w:rsidRPr="00E526BD" w:rsidP="00D0629E">
      <w:pPr>
        <w:pStyle w:val="Heading2"/>
        <w:spacing w:before="0" w:after="0"/>
        <w:jc w:val="both"/>
      </w:pPr>
      <w:bookmarkStart w:id="3" w:name="_Toc530579222"/>
      <w:r w:rsidRPr="00E526BD">
        <w:t xml:space="preserve">B.1 </w:t>
      </w:r>
      <w:r w:rsidRPr="00E526BD">
        <w:t>Main conclusion</w:t>
      </w:r>
      <w:r w:rsidRPr="00E526BD">
        <w:t>s for the reporting year</w:t>
      </w:r>
      <w:bookmarkEnd w:id="3"/>
    </w:p>
    <w:p w:rsidR="00E54449" w:rsidRPr="00E526BD" w:rsidP="00D0629E">
      <w:pPr>
        <w:jc w:val="both"/>
        <w:rPr>
          <w:rFonts w:cs="Arial"/>
          <w:sz w:val="24"/>
          <w:szCs w:val="24"/>
        </w:rPr>
      </w:pPr>
    </w:p>
    <w:p w:rsidR="001E63DB" w:rsidRPr="00E526BD" w:rsidP="00D0629E">
      <w:pPr>
        <w:jc w:val="both"/>
        <w:rPr>
          <w:rFonts w:cs="Arial"/>
          <w:sz w:val="24"/>
          <w:szCs w:val="24"/>
        </w:rPr>
      </w:pPr>
      <w:r w:rsidRPr="00E526BD">
        <w:rPr>
          <w:sz w:val="24"/>
        </w:rPr>
        <w:t>A high level of safety has been established on the German railway system, a fact which was confirmed once more in 2017. This is clear on the one hand from the findings from rail supervisory tasks and on the other, from long-term t</w:t>
      </w:r>
      <w:r w:rsidRPr="00E526BD">
        <w:rPr>
          <w:sz w:val="24"/>
        </w:rPr>
        <w:t>rends in the accident figures. Even if there are increasing numbers of some types of accident in absolute terms, this is against the backdrop of an increase in transport. The EBA did not identify any fundamental structural deficits in the course of its sup</w:t>
      </w:r>
      <w:r w:rsidRPr="00E526BD">
        <w:rPr>
          <w:sz w:val="24"/>
        </w:rPr>
        <w:t>ervisory work. However, one important topic is safety issues arising from operational staff’s actions. A number of anomalies were recorded in 2017, including a continued increase in cases of signals passed at danger, and infrastructure managers' handling o</w:t>
      </w:r>
      <w:r w:rsidRPr="00E526BD">
        <w:rPr>
          <w:sz w:val="24"/>
        </w:rPr>
        <w:t xml:space="preserve">f operations. For the EBA, this means that it will maintain the current railway supervision strategy and no major changes will be made in terms of the form and intensity of this strategy. In doing so, however, the EBA will pay appropriate attention to the </w:t>
      </w:r>
      <w:r w:rsidRPr="00E526BD">
        <w:rPr>
          <w:sz w:val="24"/>
        </w:rPr>
        <w:t>aforementioned operational issues.</w:t>
      </w:r>
    </w:p>
    <w:p w:rsidR="001E63DB" w:rsidRPr="00E526BD" w:rsidP="00D0629E">
      <w:pPr>
        <w:jc w:val="both"/>
        <w:rPr>
          <w:rFonts w:cs="Arial"/>
          <w:sz w:val="24"/>
          <w:szCs w:val="24"/>
        </w:rPr>
      </w:pPr>
    </w:p>
    <w:p w:rsidR="00F55B99" w:rsidRPr="00E526BD" w:rsidP="00D0629E">
      <w:pPr>
        <w:pStyle w:val="Heading2"/>
        <w:spacing w:before="0" w:after="0"/>
        <w:jc w:val="both"/>
      </w:pPr>
      <w:bookmarkStart w:id="4" w:name="_Toc530579223"/>
      <w:r w:rsidRPr="00E526BD">
        <w:t xml:space="preserve">B.2 </w:t>
      </w:r>
      <w:r w:rsidRPr="00E526BD">
        <w:t>National safety strategies, programmes and initiatives</w:t>
      </w:r>
      <w:bookmarkEnd w:id="4"/>
    </w:p>
    <w:p w:rsidR="00E54449" w:rsidRPr="00E526BD" w:rsidP="00D0629E">
      <w:pPr>
        <w:pStyle w:val="StandardText"/>
        <w:spacing w:after="0" w:line="240" w:lineRule="auto"/>
        <w:rPr>
          <w:rFonts w:ascii="Arial" w:hAnsi="Arial" w:cs="BVGNormal"/>
        </w:rPr>
      </w:pPr>
    </w:p>
    <w:p w:rsidR="00883E2F" w:rsidRPr="00E526BD" w:rsidP="00D0629E">
      <w:pPr>
        <w:pStyle w:val="StandardText"/>
        <w:spacing w:after="0" w:line="240" w:lineRule="auto"/>
        <w:rPr>
          <w:rFonts w:ascii="Arial" w:hAnsi="Arial" w:cs="BVGNormal"/>
        </w:rPr>
      </w:pPr>
      <w:r w:rsidRPr="00E526BD">
        <w:rPr>
          <w:rFonts w:ascii="Arial" w:hAnsi="Arial"/>
        </w:rPr>
        <w:t>The following programmes were carried out in 2017, some extending over several years:</w:t>
      </w:r>
    </w:p>
    <w:p w:rsidR="00EA0942" w:rsidRPr="00E526BD" w:rsidP="006E4E8F">
      <w:pPr>
        <w:pStyle w:val="ListParagraph"/>
        <w:numPr>
          <w:ilvl w:val="0"/>
          <w:numId w:val="4"/>
        </w:numPr>
        <w:ind w:left="426"/>
        <w:rPr>
          <w:rFonts w:cs="Arial"/>
          <w:sz w:val="24"/>
          <w:szCs w:val="24"/>
        </w:rPr>
      </w:pPr>
      <w:r w:rsidRPr="00E526BD">
        <w:rPr>
          <w:sz w:val="24"/>
        </w:rPr>
        <w:t xml:space="preserve">programme for replacing older signalling technology on level crossings, </w:t>
      </w:r>
      <w:r w:rsidRPr="00E526BD">
        <w:rPr>
          <w:sz w:val="24"/>
        </w:rPr>
        <w:t>for harmonising with the regulations in force, while taking into consideration any changes to the rail traffic situation; programme of replacement of old safety technology at level crossings for the purposes of harmonisation with the current regulatory fra</w:t>
      </w:r>
      <w:r w:rsidRPr="00E526BD">
        <w:rPr>
          <w:sz w:val="24"/>
        </w:rPr>
        <w:t>mework;</w:t>
      </w:r>
    </w:p>
    <w:p w:rsidR="00FB7A54" w:rsidRPr="00E526BD" w:rsidP="00D0629E">
      <w:pPr>
        <w:pStyle w:val="StandardText"/>
        <w:numPr>
          <w:ilvl w:val="0"/>
          <w:numId w:val="4"/>
        </w:numPr>
        <w:spacing w:after="0" w:line="240" w:lineRule="auto"/>
        <w:ind w:left="426"/>
        <w:rPr>
          <w:rFonts w:ascii="Arial" w:hAnsi="Arial" w:cs="Arial"/>
        </w:rPr>
      </w:pPr>
      <w:r w:rsidRPr="00E526BD">
        <w:rPr>
          <w:rFonts w:ascii="Arial" w:hAnsi="Arial"/>
        </w:rPr>
        <w:t>programme for technical upgrades to staffed level crossing barriers, which are not dependent on signals;</w:t>
      </w:r>
    </w:p>
    <w:p w:rsidR="00FB7A54" w:rsidRPr="00E526BD" w:rsidP="00BB217A">
      <w:pPr>
        <w:pStyle w:val="StandardText"/>
        <w:numPr>
          <w:ilvl w:val="0"/>
          <w:numId w:val="4"/>
        </w:numPr>
        <w:spacing w:after="0" w:line="240" w:lineRule="auto"/>
        <w:ind w:left="426"/>
        <w:rPr>
          <w:rFonts w:ascii="Arial" w:hAnsi="Arial" w:cs="Arial"/>
        </w:rPr>
      </w:pPr>
      <w:r w:rsidRPr="00E526BD">
        <w:rPr>
          <w:rFonts w:ascii="Arial" w:hAnsi="Arial"/>
        </w:rPr>
        <w:t xml:space="preserve">Special programme to equip sections of track with intermittent automatic train control based on the amended requirements of the Ordinance on </w:t>
      </w:r>
      <w:r w:rsidRPr="00E526BD">
        <w:rPr>
          <w:rFonts w:ascii="Arial" w:hAnsi="Arial"/>
        </w:rPr>
        <w:t>Construction and Operation of Railways (</w:t>
      </w:r>
      <w:r w:rsidRPr="00E526BD">
        <w:rPr>
          <w:rFonts w:ascii="Arial" w:hAnsi="Arial"/>
          <w:i/>
        </w:rPr>
        <w:t>Eisenbahn-Bau</w:t>
      </w:r>
      <w:r w:rsidRPr="00E526BD">
        <w:rPr>
          <w:rFonts w:ascii="Arial" w:hAnsi="Arial"/>
          <w:i/>
        </w:rPr>
        <w:t xml:space="preserve">- und </w:t>
      </w:r>
      <w:r w:rsidRPr="00E526BD">
        <w:rPr>
          <w:rFonts w:ascii="Arial" w:hAnsi="Arial"/>
          <w:i/>
        </w:rPr>
        <w:t>Betriebsordnung</w:t>
      </w:r>
      <w:r w:rsidRPr="00E526BD">
        <w:rPr>
          <w:rFonts w:ascii="Arial" w:hAnsi="Arial"/>
        </w:rPr>
        <w:t>, EBO);</w:t>
      </w:r>
    </w:p>
    <w:p w:rsidR="00FB7A54" w:rsidRPr="00E526BD" w:rsidP="00D0629E">
      <w:pPr>
        <w:pStyle w:val="StandardText"/>
        <w:numPr>
          <w:ilvl w:val="0"/>
          <w:numId w:val="4"/>
        </w:numPr>
        <w:spacing w:after="0" w:line="240" w:lineRule="auto"/>
        <w:ind w:left="426"/>
        <w:rPr>
          <w:rFonts w:ascii="Arial" w:hAnsi="Arial" w:cs="Arial"/>
        </w:rPr>
      </w:pPr>
      <w:r w:rsidRPr="00E526BD">
        <w:rPr>
          <w:rFonts w:ascii="Arial" w:hAnsi="Arial"/>
        </w:rPr>
        <w:t>programme for completing records of drainage facilities and to draw up an inspection and maintenance plan for those facilities;</w:t>
      </w:r>
    </w:p>
    <w:p w:rsidR="00EA0942" w:rsidRPr="00E526BD" w:rsidP="00D0629E">
      <w:pPr>
        <w:pStyle w:val="StandardText"/>
        <w:numPr>
          <w:ilvl w:val="0"/>
          <w:numId w:val="4"/>
        </w:numPr>
        <w:spacing w:after="0" w:line="240" w:lineRule="auto"/>
        <w:ind w:left="426"/>
        <w:rPr>
          <w:rFonts w:ascii="Arial" w:hAnsi="Arial" w:cs="Arial"/>
        </w:rPr>
      </w:pPr>
      <w:r w:rsidRPr="00E526BD">
        <w:rPr>
          <w:rFonts w:ascii="Arial" w:hAnsi="Arial"/>
        </w:rPr>
        <w:t>programme for installing wildlife-proof fences</w:t>
      </w:r>
      <w:r w:rsidRPr="00E526BD">
        <w:rPr>
          <w:rFonts w:ascii="Arial" w:hAnsi="Arial"/>
        </w:rPr>
        <w:t xml:space="preserve"> in certain areas around tunnels on high speed lines;</w:t>
      </w:r>
    </w:p>
    <w:p w:rsidR="006E4E8F" w:rsidRPr="00E526BD" w:rsidP="00D0629E">
      <w:pPr>
        <w:pStyle w:val="StandardText"/>
        <w:numPr>
          <w:ilvl w:val="0"/>
          <w:numId w:val="4"/>
        </w:numPr>
        <w:spacing w:after="0" w:line="240" w:lineRule="auto"/>
        <w:ind w:left="426"/>
        <w:rPr>
          <w:rFonts w:ascii="Arial" w:hAnsi="Arial" w:cs="Arial"/>
        </w:rPr>
      </w:pPr>
      <w:r w:rsidRPr="00E526BD">
        <w:rPr>
          <w:rFonts w:ascii="Arial" w:hAnsi="Arial"/>
        </w:rPr>
        <w:t>programme for preventative vegetation management;</w:t>
      </w:r>
    </w:p>
    <w:p w:rsidR="003E7507" w:rsidRPr="00E526BD" w:rsidP="00D0629E">
      <w:pPr>
        <w:pStyle w:val="StandardText"/>
        <w:numPr>
          <w:ilvl w:val="0"/>
          <w:numId w:val="4"/>
        </w:numPr>
        <w:spacing w:after="0" w:line="240" w:lineRule="auto"/>
        <w:ind w:left="426"/>
        <w:rPr>
          <w:rFonts w:ascii="Arial" w:hAnsi="Arial" w:cs="Arial"/>
        </w:rPr>
      </w:pPr>
      <w:r w:rsidRPr="00E526BD">
        <w:rPr>
          <w:rFonts w:ascii="Arial" w:hAnsi="Arial"/>
        </w:rPr>
        <w:t>programme of measures for increasing the safety of actions performed by staff in the area of infrastructure (for more details see also B.3);</w:t>
      </w:r>
    </w:p>
    <w:p w:rsidR="00C408C5" w:rsidRPr="00E526BD" w:rsidP="00D0629E">
      <w:pPr>
        <w:pStyle w:val="StandardText"/>
        <w:numPr>
          <w:ilvl w:val="0"/>
          <w:numId w:val="4"/>
        </w:numPr>
        <w:spacing w:after="0" w:line="240" w:lineRule="auto"/>
        <w:ind w:left="426"/>
        <w:rPr>
          <w:rFonts w:ascii="Arial" w:hAnsi="Arial" w:cs="Arial"/>
        </w:rPr>
      </w:pPr>
      <w:r w:rsidRPr="00E526BD">
        <w:rPr>
          <w:rFonts w:ascii="Arial" w:hAnsi="Arial"/>
        </w:rPr>
        <w:t>programme f</w:t>
      </w:r>
      <w:r w:rsidRPr="00E526BD">
        <w:rPr>
          <w:rFonts w:ascii="Arial" w:hAnsi="Arial"/>
        </w:rPr>
        <w:t>or the inspection and completion of the minimum required documentation for certain constructions;</w:t>
      </w:r>
    </w:p>
    <w:p w:rsidR="006E4E8F" w:rsidRPr="00E526BD" w:rsidP="00D0629E">
      <w:pPr>
        <w:pStyle w:val="StandardText"/>
        <w:numPr>
          <w:ilvl w:val="0"/>
          <w:numId w:val="4"/>
        </w:numPr>
        <w:spacing w:after="0" w:line="240" w:lineRule="auto"/>
        <w:ind w:left="426"/>
        <w:rPr>
          <w:rFonts w:ascii="Arial" w:hAnsi="Arial" w:cs="Arial"/>
        </w:rPr>
      </w:pPr>
      <w:r w:rsidRPr="00E526BD">
        <w:rPr>
          <w:rFonts w:ascii="Arial" w:hAnsi="Arial"/>
        </w:rPr>
        <w:t>programme for completing records of earthworks and retaining structures at traffic stations;</w:t>
      </w:r>
    </w:p>
    <w:p w:rsidR="001C3569" w:rsidRPr="00E526BD" w:rsidP="00D0629E">
      <w:pPr>
        <w:pStyle w:val="StandardText"/>
        <w:spacing w:after="0" w:line="240" w:lineRule="auto"/>
        <w:rPr>
          <w:rFonts w:ascii="Arial" w:hAnsi="Arial" w:cs="BVGNormal"/>
        </w:rPr>
      </w:pPr>
      <w:r w:rsidRPr="00E526BD">
        <w:rPr>
          <w:rFonts w:ascii="Arial" w:hAnsi="Arial"/>
        </w:rPr>
        <w:t>These programmes are largely implemented by the railways, with th</w:t>
      </w:r>
      <w:r w:rsidRPr="00E526BD">
        <w:rPr>
          <w:rFonts w:ascii="Arial" w:hAnsi="Arial"/>
        </w:rPr>
        <w:t>e EBA providing guidance in various procedures, and monitoring implementation.</w:t>
      </w:r>
    </w:p>
    <w:p w:rsidR="00566FE9" w:rsidRPr="00E526BD" w:rsidP="00D0629E">
      <w:pPr>
        <w:pStyle w:val="StandardText"/>
        <w:spacing w:after="0" w:line="240" w:lineRule="auto"/>
        <w:rPr>
          <w:rFonts w:ascii="Arial" w:hAnsi="Arial" w:cs="BVGNormal"/>
        </w:rPr>
      </w:pPr>
    </w:p>
    <w:p w:rsidR="007A0E7B" w:rsidRPr="00E526BD" w:rsidP="00D0629E">
      <w:pPr>
        <w:pStyle w:val="Heading2"/>
        <w:spacing w:before="0" w:after="0"/>
        <w:jc w:val="both"/>
      </w:pPr>
      <w:bookmarkStart w:id="5" w:name="_Toc530579224"/>
      <w:r w:rsidRPr="00E526BD">
        <w:t xml:space="preserve">B.3 </w:t>
      </w:r>
      <w:r w:rsidRPr="00E526BD">
        <w:t>Assessment of the reporting year</w:t>
      </w:r>
      <w:bookmarkEnd w:id="5"/>
    </w:p>
    <w:p w:rsidR="00753124" w:rsidRPr="00E526BD" w:rsidP="00D0629E">
      <w:pPr>
        <w:jc w:val="both"/>
        <w:rPr>
          <w:sz w:val="24"/>
          <w:szCs w:val="24"/>
        </w:rPr>
      </w:pPr>
    </w:p>
    <w:p w:rsidR="003E7507" w:rsidRPr="00E526BD" w:rsidP="00935700">
      <w:pPr>
        <w:jc w:val="both"/>
        <w:rPr>
          <w:sz w:val="24"/>
          <w:szCs w:val="24"/>
        </w:rPr>
      </w:pPr>
      <w:r w:rsidRPr="00E526BD">
        <w:rPr>
          <w:sz w:val="24"/>
        </w:rPr>
        <w:t>After the accidents and high-risk incidents that occurred in 2016 relating to error on the part of operational staff, the focus in 2017 will remain on monitoring measures. There was a series of such incidents in the reporting year, e.g. an ICE express trav</w:t>
      </w:r>
      <w:r w:rsidRPr="00E526BD">
        <w:rPr>
          <w:sz w:val="24"/>
        </w:rPr>
        <w:t xml:space="preserve">elling onto </w:t>
      </w:r>
      <w:r w:rsidRPr="00E526BD">
        <w:rPr>
          <w:sz w:val="24"/>
        </w:rPr>
        <w:t xml:space="preserve">an occupied line in </w:t>
      </w:r>
      <w:r w:rsidRPr="00E526BD">
        <w:rPr>
          <w:sz w:val="24"/>
        </w:rPr>
        <w:t>Gruiten</w:t>
      </w:r>
      <w:r w:rsidRPr="00E526BD">
        <w:rPr>
          <w:sz w:val="24"/>
        </w:rPr>
        <w:t xml:space="preserve">, as well as a works accident in </w:t>
      </w:r>
      <w:r w:rsidRPr="00E526BD">
        <w:rPr>
          <w:sz w:val="24"/>
        </w:rPr>
        <w:t>Meppen</w:t>
      </w:r>
      <w:r w:rsidRPr="00E526BD">
        <w:rPr>
          <w:sz w:val="24"/>
        </w:rPr>
        <w:t xml:space="preserve">. In addition to monitoring the measures already agreed with the largest infrastructure operator, DB </w:t>
      </w:r>
      <w:r w:rsidRPr="00E526BD">
        <w:rPr>
          <w:sz w:val="24"/>
        </w:rPr>
        <w:t>Netz</w:t>
      </w:r>
      <w:r w:rsidRPr="00E526BD">
        <w:rPr>
          <w:sz w:val="24"/>
        </w:rPr>
        <w:t xml:space="preserve"> AG, the EBA has launched additional individual actions, on the basis of </w:t>
      </w:r>
      <w:r w:rsidRPr="00E526BD">
        <w:rPr>
          <w:sz w:val="24"/>
        </w:rPr>
        <w:t xml:space="preserve">further findings. As a result of the train collision in </w:t>
      </w:r>
      <w:r w:rsidRPr="00E526BD">
        <w:rPr>
          <w:sz w:val="24"/>
        </w:rPr>
        <w:t>Meerbusch-Osterath</w:t>
      </w:r>
      <w:r w:rsidRPr="00E526BD">
        <w:rPr>
          <w:sz w:val="24"/>
        </w:rPr>
        <w:t xml:space="preserve"> at the end of 2017, supplementary measures will come into effect for the reporting year 2018.</w:t>
      </w:r>
    </w:p>
    <w:p w:rsidR="001C18CA" w:rsidRPr="00E526BD" w:rsidP="00935700">
      <w:pPr>
        <w:jc w:val="both"/>
        <w:rPr>
          <w:sz w:val="24"/>
          <w:szCs w:val="24"/>
        </w:rPr>
      </w:pPr>
    </w:p>
    <w:p w:rsidR="004B3A7F" w:rsidRPr="00E526BD" w:rsidP="001C18CA">
      <w:pPr>
        <w:jc w:val="both"/>
        <w:rPr>
          <w:sz w:val="24"/>
          <w:szCs w:val="24"/>
        </w:rPr>
      </w:pPr>
      <w:r w:rsidRPr="00E526BD">
        <w:rPr>
          <w:sz w:val="24"/>
        </w:rPr>
        <w:t>In terms of the increasing number of signals passed at danger over recent years, it wa</w:t>
      </w:r>
      <w:r w:rsidRPr="00E526BD">
        <w:rPr>
          <w:sz w:val="24"/>
        </w:rPr>
        <w:t xml:space="preserve">s not possible to achieve a reversal of this trend in 2017. Additionally, it should be noted that more precise incident reporting on the part of DB </w:t>
      </w:r>
      <w:r w:rsidRPr="00E526BD">
        <w:rPr>
          <w:sz w:val="24"/>
        </w:rPr>
        <w:t>Netz</w:t>
      </w:r>
      <w:r w:rsidRPr="00E526BD">
        <w:rPr>
          <w:sz w:val="24"/>
        </w:rPr>
        <w:t xml:space="preserve"> AG is surely the reason for the number of signals passed at danger has increased relatively steeply. Th</w:t>
      </w:r>
      <w:r w:rsidRPr="00E526BD">
        <w:rPr>
          <w:sz w:val="24"/>
        </w:rPr>
        <w:t>e escalation of such incidents to the management level in the reporting year has yet to take effect. However, in this respect, the EBA has become aware that large and medium-sized rail transport companies are having to deal with a number of incidents, whic</w:t>
      </w:r>
      <w:r w:rsidRPr="00E526BD">
        <w:rPr>
          <w:sz w:val="24"/>
        </w:rPr>
        <w:t>h is high in some cases. A series of projects have been set up that are dedicated not only to driver alertness, but also the way in which such incidences are handled generally speaking. The EBA will remain active in this area during and beyond 2017, in ord</w:t>
      </w:r>
      <w:r w:rsidRPr="00E526BD">
        <w:rPr>
          <w:sz w:val="24"/>
        </w:rPr>
        <w:t>er to reverse the trend in the number of incidents in all companies.</w:t>
      </w:r>
    </w:p>
    <w:p w:rsidR="004404C9" w:rsidRPr="00E526BD" w:rsidP="001C18CA">
      <w:pPr>
        <w:jc w:val="both"/>
        <w:rPr>
          <w:sz w:val="24"/>
          <w:szCs w:val="24"/>
        </w:rPr>
      </w:pPr>
    </w:p>
    <w:p w:rsidR="004404C9" w:rsidRPr="00E526BD" w:rsidP="004404C9">
      <w:pPr>
        <w:jc w:val="both"/>
        <w:rPr>
          <w:sz w:val="24"/>
          <w:szCs w:val="24"/>
        </w:rPr>
      </w:pPr>
      <w:r w:rsidRPr="00E526BD">
        <w:rPr>
          <w:sz w:val="24"/>
        </w:rPr>
        <w:t xml:space="preserve">In 2017, the EBA withdrew a safety certificate for the first time. Intensive monitoring of the company in question, which was triggered by a serious accident, showed that the management </w:t>
      </w:r>
      <w:r w:rsidRPr="00E526BD">
        <w:rPr>
          <w:sz w:val="24"/>
        </w:rPr>
        <w:t>performance on important safety processes was wholly unsatisfactory, with lack of awareness at top management level and a lack of resources. A further fundamental issue has arisen from these findings, which it will take some time to address: contractors pr</w:t>
      </w:r>
      <w:r w:rsidRPr="00E526BD">
        <w:rPr>
          <w:sz w:val="24"/>
        </w:rPr>
        <w:t>oviding transport services virtually autonomously, while subject to the responsibility for safety issues of a railway company with a safety certificate. Consultations with the safety authorities of other states as well as the European Railway Authority hav</w:t>
      </w:r>
      <w:r w:rsidRPr="00E526BD">
        <w:rPr>
          <w:sz w:val="24"/>
        </w:rPr>
        <w:t>e already taken place on the issues arising from this practice.</w:t>
      </w:r>
    </w:p>
    <w:p w:rsidR="001C18CA" w:rsidRPr="00E526BD" w:rsidP="001C18CA">
      <w:pPr>
        <w:jc w:val="both"/>
        <w:rPr>
          <w:sz w:val="24"/>
          <w:szCs w:val="24"/>
        </w:rPr>
      </w:pPr>
    </w:p>
    <w:p w:rsidR="004B3A7F" w:rsidRPr="00E526BD" w:rsidP="004B3A7F">
      <w:pPr>
        <w:jc w:val="both"/>
        <w:rPr>
          <w:sz w:val="24"/>
          <w:szCs w:val="24"/>
        </w:rPr>
      </w:pPr>
      <w:r w:rsidRPr="00E526BD">
        <w:rPr>
          <w:sz w:val="24"/>
        </w:rPr>
        <w:t xml:space="preserve">The focus of supervision always includes implementation of what is referred to as the B.2 programme, as well as action plan implementation in the company. Additionally, the EBA monitored the </w:t>
      </w:r>
      <w:r w:rsidRPr="00E526BD">
        <w:rPr>
          <w:sz w:val="24"/>
        </w:rPr>
        <w:t>following issues more intensively during 2017:</w:t>
      </w:r>
    </w:p>
    <w:p w:rsidR="00A1308D" w:rsidRPr="00E526BD" w:rsidP="00D0629E">
      <w:pPr>
        <w:pStyle w:val="ListParagraph"/>
        <w:numPr>
          <w:ilvl w:val="0"/>
          <w:numId w:val="5"/>
        </w:numPr>
        <w:ind w:left="426"/>
        <w:jc w:val="both"/>
        <w:rPr>
          <w:sz w:val="24"/>
          <w:szCs w:val="24"/>
        </w:rPr>
      </w:pPr>
      <w:r w:rsidRPr="00E526BD">
        <w:rPr>
          <w:sz w:val="24"/>
        </w:rPr>
        <w:t>Monitoring consignments of dangerous goods arriving from abroad via joint controls with staff from operational monitoring and from dangerous goods monitoring, since trains arriving from abroad continue to have</w:t>
      </w:r>
      <w:r w:rsidRPr="00E526BD">
        <w:rPr>
          <w:sz w:val="24"/>
        </w:rPr>
        <w:t xml:space="preserve"> higher rates of deficiencies in comparison with national trains, although these rates are dropping in some cases;</w:t>
      </w:r>
    </w:p>
    <w:p w:rsidR="002D0F49" w:rsidRPr="00E526BD" w:rsidP="002D0F49">
      <w:pPr>
        <w:pStyle w:val="ListParagraph"/>
        <w:numPr>
          <w:ilvl w:val="0"/>
          <w:numId w:val="5"/>
        </w:numPr>
        <w:ind w:left="426"/>
        <w:jc w:val="both"/>
        <w:rPr>
          <w:sz w:val="24"/>
          <w:szCs w:val="24"/>
        </w:rPr>
      </w:pPr>
      <w:r w:rsidRPr="00E526BD">
        <w:rPr>
          <w:sz w:val="24"/>
        </w:rPr>
        <w:t>Technical health and safety at work: Construction site safety plans based on varying regional deficiency rates;</w:t>
      </w:r>
    </w:p>
    <w:p w:rsidR="00DB1AAE" w:rsidRPr="00E526BD" w:rsidP="006D4598">
      <w:pPr>
        <w:pStyle w:val="ListParagraph"/>
        <w:numPr>
          <w:ilvl w:val="0"/>
          <w:numId w:val="5"/>
        </w:numPr>
        <w:ind w:left="426"/>
        <w:jc w:val="both"/>
        <w:rPr>
          <w:sz w:val="24"/>
          <w:szCs w:val="24"/>
        </w:rPr>
      </w:pPr>
      <w:r w:rsidRPr="00E526BD">
        <w:rPr>
          <w:sz w:val="24"/>
        </w:rPr>
        <w:t xml:space="preserve">Signals passed at danger due </w:t>
      </w:r>
      <w:r w:rsidRPr="00E526BD">
        <w:rPr>
          <w:sz w:val="24"/>
        </w:rPr>
        <w:t>to the increasing number of incidents, management of rail transport companies with regard to their own analysis of signals passed at danger, additionally, management processes linked indirectly with those, regarding the selection of service providers for i</w:t>
      </w:r>
      <w:r w:rsidRPr="00E526BD">
        <w:rPr>
          <w:sz w:val="24"/>
        </w:rPr>
        <w:t>nitial and further training, which have arisen from amendments to § 47 (6) EBO on working time for operational staff, as well as newly recognised technical rules, regarding train drivers’ knowledge of the route;</w:t>
      </w:r>
    </w:p>
    <w:p w:rsidR="0099793D" w:rsidRPr="00E526BD" w:rsidP="00285D71">
      <w:pPr>
        <w:pStyle w:val="ListParagraph"/>
        <w:numPr>
          <w:ilvl w:val="0"/>
          <w:numId w:val="5"/>
        </w:numPr>
        <w:ind w:left="426"/>
        <w:jc w:val="both"/>
        <w:rPr>
          <w:sz w:val="24"/>
          <w:szCs w:val="24"/>
        </w:rPr>
      </w:pPr>
      <w:r w:rsidRPr="00E526BD">
        <w:rPr>
          <w:sz w:val="24"/>
        </w:rPr>
        <w:t>Documentation of facility data relating to t</w:t>
      </w:r>
      <w:r w:rsidRPr="00E526BD">
        <w:rPr>
          <w:sz w:val="24"/>
        </w:rPr>
        <w:t>he maintenance processes for the infrastructure;</w:t>
      </w:r>
    </w:p>
    <w:p w:rsidR="00A71D30" w:rsidRPr="00E526BD" w:rsidP="00285D71">
      <w:pPr>
        <w:pStyle w:val="ListParagraph"/>
        <w:numPr>
          <w:ilvl w:val="0"/>
          <w:numId w:val="5"/>
        </w:numPr>
        <w:ind w:left="426"/>
        <w:jc w:val="both"/>
        <w:rPr>
          <w:sz w:val="24"/>
          <w:szCs w:val="24"/>
        </w:rPr>
      </w:pPr>
      <w:r w:rsidRPr="00E526BD">
        <w:rPr>
          <w:sz w:val="24"/>
        </w:rPr>
        <w:t>Handling of error messages and malfunction of railway crossing safety equipment;</w:t>
      </w:r>
    </w:p>
    <w:p w:rsidR="00A71D30" w:rsidRPr="00E526BD" w:rsidP="00285D71">
      <w:pPr>
        <w:pStyle w:val="ListParagraph"/>
        <w:numPr>
          <w:ilvl w:val="0"/>
          <w:numId w:val="5"/>
        </w:numPr>
        <w:ind w:left="426"/>
        <w:jc w:val="both"/>
        <w:rPr>
          <w:sz w:val="24"/>
          <w:szCs w:val="24"/>
        </w:rPr>
      </w:pPr>
      <w:r w:rsidRPr="00E526BD">
        <w:rPr>
          <w:sz w:val="24"/>
        </w:rPr>
        <w:t>Points inspections by PRINS-</w:t>
      </w:r>
      <w:r w:rsidRPr="00E526BD">
        <w:rPr>
          <w:sz w:val="24"/>
        </w:rPr>
        <w:t>Trupps</w:t>
      </w:r>
      <w:r w:rsidRPr="00E526BD">
        <w:rPr>
          <w:sz w:val="24"/>
        </w:rPr>
        <w:t xml:space="preserve"> (</w:t>
      </w:r>
      <w:r w:rsidRPr="00E526BD">
        <w:rPr>
          <w:sz w:val="24"/>
        </w:rPr>
        <w:t>PRojekt</w:t>
      </w:r>
      <w:r w:rsidRPr="00E526BD">
        <w:rPr>
          <w:sz w:val="24"/>
        </w:rPr>
        <w:t xml:space="preserve"> </w:t>
      </w:r>
      <w:r w:rsidRPr="00E526BD">
        <w:rPr>
          <w:sz w:val="24"/>
        </w:rPr>
        <w:t>INStandhaltung</w:t>
      </w:r>
      <w:r w:rsidRPr="00E526BD">
        <w:rPr>
          <w:sz w:val="24"/>
        </w:rPr>
        <w:t>)</w:t>
      </w:r>
    </w:p>
    <w:p w:rsidR="00A71D30" w:rsidRPr="00E526BD" w:rsidP="00285D71">
      <w:pPr>
        <w:pStyle w:val="ListParagraph"/>
        <w:numPr>
          <w:ilvl w:val="0"/>
          <w:numId w:val="5"/>
        </w:numPr>
        <w:ind w:left="426"/>
        <w:jc w:val="both"/>
        <w:rPr>
          <w:sz w:val="24"/>
          <w:szCs w:val="24"/>
        </w:rPr>
      </w:pPr>
      <w:r w:rsidRPr="00E526BD">
        <w:rPr>
          <w:sz w:val="24"/>
        </w:rPr>
        <w:t>Approach and closing times at level crossings</w:t>
      </w:r>
    </w:p>
    <w:p w:rsidR="00A71D30" w:rsidRPr="00E526BD" w:rsidP="00285D71">
      <w:pPr>
        <w:pStyle w:val="ListParagraph"/>
        <w:numPr>
          <w:ilvl w:val="0"/>
          <w:numId w:val="5"/>
        </w:numPr>
        <w:ind w:left="426"/>
        <w:jc w:val="both"/>
        <w:rPr>
          <w:sz w:val="24"/>
          <w:szCs w:val="24"/>
        </w:rPr>
      </w:pPr>
      <w:r w:rsidRPr="00E526BD">
        <w:rPr>
          <w:sz w:val="24"/>
        </w:rPr>
        <w:t>Electricity supply l</w:t>
      </w:r>
      <w:r w:rsidRPr="00E526BD">
        <w:rPr>
          <w:sz w:val="24"/>
        </w:rPr>
        <w:t>ogs;</w:t>
      </w:r>
    </w:p>
    <w:p w:rsidR="00A71D30" w:rsidRPr="00E526BD" w:rsidP="00285D71">
      <w:pPr>
        <w:pStyle w:val="ListParagraph"/>
        <w:numPr>
          <w:ilvl w:val="0"/>
          <w:numId w:val="5"/>
        </w:numPr>
        <w:ind w:left="426"/>
        <w:jc w:val="both"/>
        <w:rPr>
          <w:sz w:val="24"/>
          <w:szCs w:val="24"/>
        </w:rPr>
      </w:pPr>
      <w:r w:rsidRPr="00E526BD">
        <w:rPr>
          <w:sz w:val="24"/>
        </w:rPr>
        <w:t>Unambiguity of cable cabinets;</w:t>
      </w:r>
    </w:p>
    <w:p w:rsidR="00A71D30" w:rsidRPr="00E526BD" w:rsidP="00285D71">
      <w:pPr>
        <w:pStyle w:val="ListParagraph"/>
        <w:numPr>
          <w:ilvl w:val="0"/>
          <w:numId w:val="5"/>
        </w:numPr>
        <w:ind w:left="426"/>
        <w:jc w:val="both"/>
        <w:rPr>
          <w:sz w:val="24"/>
          <w:szCs w:val="24"/>
        </w:rPr>
      </w:pPr>
      <w:r w:rsidRPr="00E526BD">
        <w:rPr>
          <w:sz w:val="24"/>
        </w:rPr>
        <w:t>Calculations of the impact from changes in the current-voltage curve</w:t>
      </w:r>
    </w:p>
    <w:p w:rsidR="00A71D30" w:rsidRPr="00E526BD" w:rsidP="00285D71">
      <w:pPr>
        <w:pStyle w:val="ListParagraph"/>
        <w:numPr>
          <w:ilvl w:val="0"/>
          <w:numId w:val="5"/>
        </w:numPr>
        <w:ind w:left="426"/>
        <w:jc w:val="both"/>
        <w:rPr>
          <w:sz w:val="24"/>
          <w:szCs w:val="24"/>
        </w:rPr>
      </w:pPr>
      <w:r w:rsidRPr="00E526BD">
        <w:rPr>
          <w:sz w:val="24"/>
        </w:rPr>
        <w:t xml:space="preserve">Return circuit, meshing and </w:t>
      </w:r>
      <w:r w:rsidRPr="00E526BD">
        <w:rPr>
          <w:sz w:val="24"/>
        </w:rPr>
        <w:t>earthing</w:t>
      </w:r>
      <w:r w:rsidRPr="00E526BD">
        <w:rPr>
          <w:sz w:val="24"/>
        </w:rPr>
        <w:t>;</w:t>
      </w:r>
    </w:p>
    <w:p w:rsidR="00A71D30" w:rsidRPr="00E526BD" w:rsidP="00285D71">
      <w:pPr>
        <w:pStyle w:val="ListParagraph"/>
        <w:numPr>
          <w:ilvl w:val="0"/>
          <w:numId w:val="5"/>
        </w:numPr>
        <w:ind w:left="426"/>
        <w:jc w:val="both"/>
        <w:rPr>
          <w:sz w:val="24"/>
          <w:szCs w:val="24"/>
        </w:rPr>
      </w:pPr>
      <w:r w:rsidRPr="00E526BD">
        <w:rPr>
          <w:sz w:val="24"/>
        </w:rPr>
        <w:t>Compliance with deadlines for inspections of electrical facilities.</w:t>
      </w:r>
    </w:p>
    <w:p w:rsidR="006A011B" w:rsidRPr="00E526BD" w:rsidP="006A011B">
      <w:pPr>
        <w:jc w:val="both"/>
        <w:rPr>
          <w:sz w:val="24"/>
          <w:szCs w:val="24"/>
        </w:rPr>
      </w:pPr>
    </w:p>
    <w:p w:rsidR="004C7527" w:rsidRPr="00E526BD" w:rsidP="00D0629E">
      <w:pPr>
        <w:jc w:val="both"/>
        <w:rPr>
          <w:sz w:val="24"/>
          <w:szCs w:val="24"/>
        </w:rPr>
      </w:pPr>
      <w:r w:rsidRPr="00E526BD">
        <w:rPr>
          <w:sz w:val="24"/>
        </w:rPr>
        <w:t>When safety-related defects were identified,</w:t>
      </w:r>
      <w:r w:rsidRPr="00E526BD">
        <w:rPr>
          <w:sz w:val="24"/>
        </w:rPr>
        <w:t xml:space="preserve"> the EBA issued directives as necessary for the proper maintenance of track equipment and rolling stock, and for the safe running of operations. In addition, bilateral meetings are held at management level to discuss and agree on measures for resolving sho</w:t>
      </w:r>
      <w:r w:rsidRPr="00E526BD">
        <w:rPr>
          <w:sz w:val="24"/>
        </w:rPr>
        <w:t>rtcomings. The EBA regularly monitors the implementation of its directives and the elimination of shortcomings. Action is still needed with regard to documentation of equipment data, track-related concepts for the elimination of shortcomings are being impl</w:t>
      </w:r>
      <w:r w:rsidRPr="00E526BD">
        <w:rPr>
          <w:sz w:val="24"/>
        </w:rPr>
        <w:t>emented.</w:t>
      </w:r>
    </w:p>
    <w:p w:rsidR="00AE7D55" w:rsidRPr="00E526BD" w:rsidP="00D0629E">
      <w:pPr>
        <w:jc w:val="both"/>
        <w:rPr>
          <w:sz w:val="24"/>
          <w:szCs w:val="24"/>
        </w:rPr>
      </w:pPr>
    </w:p>
    <w:p w:rsidR="00AE7D55" w:rsidRPr="00E526BD" w:rsidP="00D0629E">
      <w:pPr>
        <w:jc w:val="both"/>
        <w:rPr>
          <w:sz w:val="24"/>
          <w:szCs w:val="24"/>
        </w:rPr>
      </w:pPr>
      <w:r w:rsidRPr="00E526BD">
        <w:rPr>
          <w:sz w:val="24"/>
        </w:rPr>
        <w:t xml:space="preserve">In total, the EBA conducted around 20 200 checks at railway undertakings and infrastructure managers in 2017. These include on-site inspections and process audits. </w:t>
      </w:r>
      <w:r w:rsidRPr="00E526BD">
        <w:rPr>
          <w:sz w:val="24"/>
        </w:rPr>
        <w:t>The steep increase in the number of cases in comparison with the previous year is mainly explained by changes in the way vehicle monitoring is recorded. Furthermore, approximately 12 850 checks were carried out in the dangerous goods sector, focusing not o</w:t>
      </w:r>
      <w:r w:rsidRPr="00E526BD">
        <w:rPr>
          <w:sz w:val="24"/>
        </w:rPr>
        <w:t>nly on the railways, but also on other providers such as forwarding agents, loaders or fillers. Targeted controls of transport where there is cause for concern have led to improved safety culture in the companies concerned. Increased risk-oriented controls</w:t>
      </w:r>
      <w:r w:rsidRPr="00E526BD">
        <w:rPr>
          <w:sz w:val="24"/>
        </w:rPr>
        <w:t xml:space="preserve"> led to a slight increase in the reporting year in the rate of deficiencies in the area of dangerous goods controls to 7.5% (previous year: 7.4%), for rail traffic from abroad the rate of deficiencies was 14.0%.</w:t>
      </w:r>
      <w:r w:rsidRPr="00E526BD">
        <w:t xml:space="preserve"> </w:t>
      </w:r>
      <w:r w:rsidRPr="00E526BD">
        <w:rPr>
          <w:sz w:val="24"/>
        </w:rPr>
        <w:t>In the other vehicle areas, the EBA found de</w:t>
      </w:r>
      <w:r w:rsidRPr="00E526BD">
        <w:rPr>
          <w:sz w:val="24"/>
        </w:rPr>
        <w:t>ficiencies in 571 of 12,204 rail transport vehicles inspected, which gives a rate of 4.6%-</w:t>
      </w:r>
    </w:p>
    <w:p w:rsidR="00F53A4C" w:rsidRPr="00E526BD" w:rsidP="00D0629E">
      <w:pPr>
        <w:jc w:val="both"/>
        <w:rPr>
          <w:sz w:val="24"/>
          <w:szCs w:val="24"/>
        </w:rPr>
      </w:pPr>
    </w:p>
    <w:p w:rsidR="00F53A4C" w:rsidRPr="00E526BD" w:rsidP="00B72B1F">
      <w:pPr>
        <w:jc w:val="both"/>
        <w:rPr>
          <w:sz w:val="24"/>
          <w:szCs w:val="24"/>
        </w:rPr>
      </w:pPr>
      <w:r w:rsidRPr="00E526BD">
        <w:rPr>
          <w:sz w:val="24"/>
        </w:rPr>
        <w:t xml:space="preserve">Guidelines for supervision of railway undertakings and infrastructure managers, with which the EBA implements the supervision criteria under the EU Regulation on a </w:t>
      </w:r>
      <w:r w:rsidRPr="00E526BD">
        <w:rPr>
          <w:sz w:val="24"/>
        </w:rPr>
        <w:t>common safety method for supervision (Regulation (EU) No 1077/2012).</w:t>
      </w:r>
    </w:p>
    <w:p w:rsidR="00D3199C" w:rsidRPr="00E526BD" w:rsidP="00D0629E">
      <w:pPr>
        <w:jc w:val="both"/>
        <w:rPr>
          <w:sz w:val="24"/>
          <w:szCs w:val="24"/>
        </w:rPr>
      </w:pPr>
    </w:p>
    <w:p w:rsidR="004A34A1" w:rsidRPr="00E526BD" w:rsidP="00566FE9">
      <w:pPr>
        <w:pStyle w:val="Heading2"/>
        <w:spacing w:before="0" w:after="0"/>
        <w:jc w:val="both"/>
      </w:pPr>
      <w:bookmarkStart w:id="6" w:name="_Toc530579225"/>
      <w:r w:rsidRPr="00E526BD">
        <w:t xml:space="preserve">B.4 </w:t>
      </w:r>
      <w:r w:rsidRPr="00E526BD">
        <w:t>Priority areas for 2018</w:t>
      </w:r>
      <w:bookmarkEnd w:id="6"/>
    </w:p>
    <w:p w:rsidR="00E54449" w:rsidRPr="00E526BD" w:rsidP="00566FE9">
      <w:pPr>
        <w:pStyle w:val="StandardText"/>
        <w:keepNext/>
        <w:spacing w:after="0" w:line="240" w:lineRule="auto"/>
        <w:rPr>
          <w:rFonts w:ascii="Arial" w:hAnsi="Arial" w:cs="Arial"/>
        </w:rPr>
      </w:pPr>
    </w:p>
    <w:p w:rsidR="00977FCA" w:rsidRPr="00E526BD" w:rsidP="00D0629E">
      <w:pPr>
        <w:pStyle w:val="StandardText"/>
        <w:spacing w:after="0" w:line="240" w:lineRule="auto"/>
        <w:rPr>
          <w:rFonts w:ascii="Arial" w:hAnsi="Arial" w:cs="Arial"/>
        </w:rPr>
      </w:pPr>
      <w:r w:rsidRPr="00E526BD">
        <w:rPr>
          <w:rFonts w:ascii="Arial" w:hAnsi="Arial"/>
        </w:rPr>
        <w:t xml:space="preserve">In addition to the previous priority areas, the majority of which will continue to be core elements of monitoring, the following issues will be relevant in </w:t>
      </w:r>
      <w:r w:rsidRPr="00E526BD">
        <w:rPr>
          <w:rFonts w:ascii="Arial" w:hAnsi="Arial"/>
        </w:rPr>
        <w:t>2018:</w:t>
      </w:r>
    </w:p>
    <w:p w:rsidR="0035446A" w:rsidRPr="00E526BD" w:rsidP="0035446A">
      <w:pPr>
        <w:pStyle w:val="StandardText"/>
        <w:numPr>
          <w:ilvl w:val="0"/>
          <w:numId w:val="6"/>
        </w:numPr>
        <w:spacing w:after="0" w:line="240" w:lineRule="auto"/>
        <w:ind w:left="426"/>
        <w:rPr>
          <w:rFonts w:ascii="Arial" w:hAnsi="Arial" w:cs="Arial"/>
        </w:rPr>
      </w:pPr>
      <w:r w:rsidRPr="00E526BD">
        <w:rPr>
          <w:rFonts w:ascii="Arial" w:hAnsi="Arial"/>
        </w:rPr>
        <w:t xml:space="preserve">Developing equivalent </w:t>
      </w:r>
      <w:r w:rsidRPr="00E526BD">
        <w:rPr>
          <w:rFonts w:ascii="Arial" w:hAnsi="Arial"/>
        </w:rPr>
        <w:t>conicity</w:t>
      </w:r>
      <w:r w:rsidRPr="00E526BD">
        <w:rPr>
          <w:rFonts w:ascii="Arial" w:hAnsi="Arial"/>
        </w:rPr>
        <w:t xml:space="preserve"> on vehicles by regularly measuring running surface parameters in order to take into account the prevention of wear and tear adjusted to the condition of the infrastructure;</w:t>
      </w:r>
    </w:p>
    <w:p w:rsidR="0035446A" w:rsidRPr="00E526BD" w:rsidP="0035446A">
      <w:pPr>
        <w:pStyle w:val="StandardText"/>
        <w:numPr>
          <w:ilvl w:val="0"/>
          <w:numId w:val="6"/>
        </w:numPr>
        <w:spacing w:after="0" w:line="240" w:lineRule="auto"/>
        <w:ind w:left="426"/>
        <w:rPr>
          <w:rFonts w:ascii="Arial" w:hAnsi="Arial" w:cs="Arial"/>
        </w:rPr>
      </w:pPr>
      <w:r w:rsidRPr="00E526BD">
        <w:rPr>
          <w:rFonts w:ascii="Arial" w:hAnsi="Arial"/>
        </w:rPr>
        <w:t>Interface between railway undertakings general</w:t>
      </w:r>
      <w:r w:rsidRPr="00E526BD">
        <w:rPr>
          <w:rFonts w:ascii="Arial" w:hAnsi="Arial"/>
        </w:rPr>
        <w:t>ly and the entity in charge of maintenance (ECM), in general as well as with particular regard to specifications or the ECM on the quantity of sand used;</w:t>
      </w:r>
    </w:p>
    <w:p w:rsidR="0035446A" w:rsidRPr="00E526BD" w:rsidP="0035446A">
      <w:pPr>
        <w:pStyle w:val="StandardText"/>
        <w:numPr>
          <w:ilvl w:val="0"/>
          <w:numId w:val="6"/>
        </w:numPr>
        <w:spacing w:after="0" w:line="240" w:lineRule="auto"/>
        <w:ind w:left="426"/>
        <w:rPr>
          <w:rFonts w:ascii="Arial" w:hAnsi="Arial" w:cs="Arial"/>
        </w:rPr>
      </w:pPr>
      <w:r w:rsidRPr="00E526BD">
        <w:rPr>
          <w:rFonts w:ascii="Arial" w:hAnsi="Arial"/>
        </w:rPr>
        <w:t>The role of contractors within the overall responsibility of a railway undertaking, as well as appropr</w:t>
      </w:r>
      <w:r w:rsidRPr="00E526BD">
        <w:rPr>
          <w:rFonts w:ascii="Arial" w:hAnsi="Arial"/>
        </w:rPr>
        <w:t>iate presentation of service provider controls within their safety management;</w:t>
      </w:r>
    </w:p>
    <w:p w:rsidR="00475AAF" w:rsidRPr="00E526BD" w:rsidP="00DB1AAE">
      <w:pPr>
        <w:pStyle w:val="StandardText"/>
        <w:numPr>
          <w:ilvl w:val="0"/>
          <w:numId w:val="6"/>
        </w:numPr>
        <w:spacing w:after="0" w:line="240" w:lineRule="auto"/>
        <w:ind w:left="426"/>
        <w:rPr>
          <w:rFonts w:ascii="Arial" w:hAnsi="Arial" w:cs="Arial"/>
        </w:rPr>
      </w:pPr>
      <w:r w:rsidRPr="00E526BD">
        <w:rPr>
          <w:rFonts w:ascii="Arial" w:hAnsi="Arial"/>
        </w:rPr>
        <w:t>Maintenance of deep drainage;</w:t>
      </w:r>
    </w:p>
    <w:p w:rsidR="00897F0E" w:rsidRPr="00E526BD" w:rsidP="00897F0E">
      <w:pPr>
        <w:pStyle w:val="StandardText"/>
        <w:numPr>
          <w:ilvl w:val="0"/>
          <w:numId w:val="6"/>
        </w:numPr>
        <w:spacing w:after="0" w:line="240" w:lineRule="auto"/>
        <w:ind w:left="426"/>
        <w:rPr>
          <w:rFonts w:ascii="Arial" w:hAnsi="Arial" w:cs="Arial"/>
        </w:rPr>
      </w:pPr>
      <w:r w:rsidRPr="00E526BD">
        <w:rPr>
          <w:rFonts w:ascii="Arial" w:hAnsi="Arial"/>
        </w:rPr>
        <w:t>Analysis of main kinds of deficiencies;</w:t>
      </w:r>
    </w:p>
    <w:p w:rsidR="00897F0E" w:rsidRPr="00E526BD" w:rsidP="00897F0E">
      <w:pPr>
        <w:pStyle w:val="StandardText"/>
        <w:numPr>
          <w:ilvl w:val="0"/>
          <w:numId w:val="6"/>
        </w:numPr>
        <w:spacing w:after="0" w:line="240" w:lineRule="auto"/>
        <w:ind w:left="426"/>
        <w:rPr>
          <w:rFonts w:ascii="Arial" w:hAnsi="Arial" w:cs="Arial"/>
        </w:rPr>
      </w:pPr>
      <w:r w:rsidRPr="00E526BD">
        <w:rPr>
          <w:rFonts w:ascii="Arial" w:hAnsi="Arial"/>
        </w:rPr>
        <w:t xml:space="preserve">Updating and completeness of as-built plans and as-built documentation, such as level crossings, retaining </w:t>
      </w:r>
      <w:r w:rsidRPr="00E526BD">
        <w:rPr>
          <w:rFonts w:ascii="Arial" w:hAnsi="Arial"/>
        </w:rPr>
        <w:t>structures, missing as-built layout plans for bridges and retaining structures, fire prevention files;</w:t>
      </w:r>
    </w:p>
    <w:p w:rsidR="004B3A7F" w:rsidRPr="00E526BD" w:rsidP="00897F0E">
      <w:pPr>
        <w:pStyle w:val="StandardText"/>
        <w:numPr>
          <w:ilvl w:val="0"/>
          <w:numId w:val="6"/>
        </w:numPr>
        <w:spacing w:after="0" w:line="240" w:lineRule="auto"/>
        <w:ind w:left="426"/>
        <w:rPr>
          <w:rFonts w:ascii="Arial" w:hAnsi="Arial" w:cs="Arial"/>
        </w:rPr>
      </w:pPr>
      <w:r w:rsidRPr="00E526BD">
        <w:rPr>
          <w:rFonts w:ascii="Arial" w:hAnsi="Arial"/>
        </w:rPr>
        <w:t>Vegetation management, including minimum distance from electrical facilities, clearance of standard structure gauge, establishing pruning zones, clearanc</w:t>
      </w:r>
      <w:r w:rsidRPr="00E526BD">
        <w:rPr>
          <w:rFonts w:ascii="Arial" w:hAnsi="Arial"/>
        </w:rPr>
        <w:t>e of safety zones based on health and safety at work regulations;</w:t>
      </w:r>
    </w:p>
    <w:p w:rsidR="00897F0E" w:rsidRPr="00E526BD" w:rsidP="00897F0E">
      <w:pPr>
        <w:pStyle w:val="StandardText"/>
        <w:numPr>
          <w:ilvl w:val="0"/>
          <w:numId w:val="6"/>
        </w:numPr>
        <w:spacing w:after="0" w:line="240" w:lineRule="auto"/>
        <w:ind w:left="426"/>
        <w:rPr>
          <w:rFonts w:ascii="Arial" w:hAnsi="Arial" w:cs="Arial"/>
        </w:rPr>
      </w:pPr>
      <w:r w:rsidRPr="00E526BD">
        <w:rPr>
          <w:rFonts w:ascii="Arial" w:hAnsi="Arial"/>
        </w:rPr>
        <w:t>Structural integrity of platform roofs and fixtures;</w:t>
      </w:r>
    </w:p>
    <w:p w:rsidR="00A71D30" w:rsidRPr="00E526BD" w:rsidP="00D3199C">
      <w:pPr>
        <w:pStyle w:val="StandardText"/>
        <w:numPr>
          <w:ilvl w:val="0"/>
          <w:numId w:val="6"/>
        </w:numPr>
        <w:spacing w:after="0" w:line="240" w:lineRule="auto"/>
        <w:ind w:left="426"/>
        <w:rPr>
          <w:rFonts w:ascii="Arial" w:hAnsi="Arial" w:cs="Arial"/>
        </w:rPr>
      </w:pPr>
      <w:r w:rsidRPr="00E526BD">
        <w:rPr>
          <w:rFonts w:ascii="Arial" w:hAnsi="Arial"/>
        </w:rPr>
        <w:t>Inspection of train identification systems;</w:t>
      </w:r>
    </w:p>
    <w:p w:rsidR="00D3199C" w:rsidRPr="00E526BD" w:rsidP="00D3199C">
      <w:pPr>
        <w:pStyle w:val="StandardText"/>
        <w:numPr>
          <w:ilvl w:val="0"/>
          <w:numId w:val="6"/>
        </w:numPr>
        <w:spacing w:after="0" w:line="240" w:lineRule="auto"/>
        <w:ind w:left="426"/>
        <w:rPr>
          <w:rFonts w:ascii="Arial" w:hAnsi="Arial" w:cs="Arial"/>
        </w:rPr>
      </w:pPr>
      <w:r w:rsidRPr="00E526BD">
        <w:rPr>
          <w:rFonts w:ascii="Arial" w:hAnsi="Arial"/>
        </w:rPr>
        <w:t xml:space="preserve">Technical prevention of signal operation in error of </w:t>
      </w:r>
      <w:r w:rsidRPr="00E526BD">
        <w:rPr>
          <w:rFonts w:ascii="Arial" w:hAnsi="Arial"/>
        </w:rPr>
        <w:t>Zs</w:t>
      </w:r>
      <w:r w:rsidRPr="00E526BD">
        <w:rPr>
          <w:rFonts w:ascii="Arial" w:hAnsi="Arial"/>
        </w:rPr>
        <w:t xml:space="preserve"> 1 signal (subsidiary signal), </w:t>
      </w:r>
      <w:r w:rsidRPr="00E526BD">
        <w:rPr>
          <w:rFonts w:ascii="Arial" w:hAnsi="Arial"/>
        </w:rPr>
        <w:t>Zs</w:t>
      </w:r>
      <w:r w:rsidRPr="00E526BD">
        <w:rPr>
          <w:rFonts w:ascii="Arial" w:hAnsi="Arial"/>
        </w:rPr>
        <w:t xml:space="preserve"> 7 (c</w:t>
      </w:r>
      <w:r w:rsidRPr="00E526BD">
        <w:rPr>
          <w:rFonts w:ascii="Arial" w:hAnsi="Arial"/>
        </w:rPr>
        <w:t>aution signal), as well as Zs8 (track crossing signal replacement) for certain interlocking types (by removing of fuses within the group of signals; alternatively: covering the signal optics);</w:t>
      </w:r>
    </w:p>
    <w:p w:rsidR="00A71D30" w:rsidRPr="00E526BD" w:rsidP="00D3199C">
      <w:pPr>
        <w:pStyle w:val="StandardText"/>
        <w:numPr>
          <w:ilvl w:val="0"/>
          <w:numId w:val="6"/>
        </w:numPr>
        <w:spacing w:after="0" w:line="240" w:lineRule="auto"/>
        <w:ind w:left="426"/>
        <w:rPr>
          <w:rFonts w:ascii="Arial" w:hAnsi="Arial" w:cs="Arial"/>
        </w:rPr>
      </w:pPr>
      <w:r w:rsidRPr="00E526BD">
        <w:rPr>
          <w:rFonts w:ascii="Arial" w:hAnsi="Arial"/>
        </w:rPr>
        <w:t>Ventilation and air extraction for battery equipment;</w:t>
      </w:r>
    </w:p>
    <w:p w:rsidR="00A71D30" w:rsidRPr="00E526BD" w:rsidP="00D3199C">
      <w:pPr>
        <w:pStyle w:val="StandardText"/>
        <w:numPr>
          <w:ilvl w:val="0"/>
          <w:numId w:val="6"/>
        </w:numPr>
        <w:spacing w:after="0" w:line="240" w:lineRule="auto"/>
        <w:ind w:left="426"/>
        <w:rPr>
          <w:rFonts w:ascii="Arial" w:hAnsi="Arial" w:cs="Arial"/>
        </w:rPr>
      </w:pPr>
      <w:r w:rsidRPr="00E526BD">
        <w:rPr>
          <w:rFonts w:ascii="Arial" w:hAnsi="Arial"/>
        </w:rPr>
        <w:t>Structura</w:t>
      </w:r>
      <w:r w:rsidRPr="00E526BD">
        <w:rPr>
          <w:rFonts w:ascii="Arial" w:hAnsi="Arial"/>
        </w:rPr>
        <w:t>l integrity of road signals on old level crossing safety installations;</w:t>
      </w:r>
    </w:p>
    <w:p w:rsidR="00A71D30" w:rsidRPr="00E526BD" w:rsidP="00D3199C">
      <w:pPr>
        <w:pStyle w:val="StandardText"/>
        <w:numPr>
          <w:ilvl w:val="0"/>
          <w:numId w:val="6"/>
        </w:numPr>
        <w:spacing w:after="0" w:line="240" w:lineRule="auto"/>
        <w:ind w:left="426"/>
        <w:rPr>
          <w:rFonts w:ascii="Arial" w:hAnsi="Arial" w:cs="Arial"/>
        </w:rPr>
      </w:pPr>
      <w:r w:rsidRPr="00E526BD">
        <w:rPr>
          <w:rFonts w:ascii="Arial" w:hAnsi="Arial"/>
        </w:rPr>
        <w:t>Old pressurised gas tank wagons.</w:t>
      </w:r>
    </w:p>
    <w:p w:rsidR="00F55B99" w:rsidRPr="00E526BD" w:rsidP="005C78AA">
      <w:pPr>
        <w:pStyle w:val="Heading1"/>
        <w:spacing w:before="0" w:after="0"/>
      </w:pPr>
      <w:r w:rsidRPr="00E526BD">
        <w:br w:type="page"/>
      </w:r>
      <w:bookmarkStart w:id="7" w:name="_Toc530579226"/>
      <w:r w:rsidRPr="00E526BD">
        <w:t xml:space="preserve">C. </w:t>
      </w:r>
      <w:r w:rsidRPr="00E526BD">
        <w:t>Development in the safety sector</w:t>
      </w:r>
      <w:bookmarkEnd w:id="7"/>
    </w:p>
    <w:p w:rsidR="00753124" w:rsidRPr="00E526BD" w:rsidP="00753124"/>
    <w:p w:rsidR="00753124" w:rsidRPr="00E526BD" w:rsidP="00753124"/>
    <w:p w:rsidR="00C379BA" w:rsidRPr="00E526BD" w:rsidP="005C78AA">
      <w:pPr>
        <w:pStyle w:val="Heading2"/>
        <w:spacing w:before="0" w:after="0"/>
      </w:pPr>
      <w:bookmarkStart w:id="8" w:name="_Toc530579227"/>
      <w:r w:rsidRPr="00E526BD">
        <w:t xml:space="preserve">C.1 </w:t>
      </w:r>
      <w:r w:rsidRPr="00E526BD">
        <w:t>In-depth analysis of the trends noted in the recent past</w:t>
      </w:r>
      <w:bookmarkEnd w:id="8"/>
    </w:p>
    <w:p w:rsidR="00B30FA2" w:rsidRPr="00E526BD" w:rsidP="005C78AA">
      <w:pPr>
        <w:pStyle w:val="StandardText"/>
        <w:spacing w:after="0" w:line="240" w:lineRule="auto"/>
        <w:rPr>
          <w:rFonts w:ascii="Arial" w:hAnsi="Arial" w:cs="Arial"/>
        </w:rPr>
      </w:pPr>
    </w:p>
    <w:p w:rsidR="00A84EFB" w:rsidRPr="00E526BD" w:rsidP="005C78AA">
      <w:pPr>
        <w:pStyle w:val="StandardText"/>
        <w:spacing w:after="0" w:line="240" w:lineRule="auto"/>
        <w:rPr>
          <w:rFonts w:ascii="Arial" w:hAnsi="Arial" w:cs="Arial"/>
        </w:rPr>
      </w:pPr>
      <w:r w:rsidRPr="00E526BD">
        <w:rPr>
          <w:rFonts w:ascii="Arial" w:hAnsi="Arial"/>
        </w:rPr>
        <w:t xml:space="preserve">The trend analysis relates to the categories of </w:t>
      </w:r>
      <w:r w:rsidRPr="00E526BD">
        <w:rPr>
          <w:rFonts w:ascii="Arial" w:hAnsi="Arial"/>
        </w:rPr>
        <w:t>Common Safety Indicators (CSIs) listed in the Directive on safety on the Community’s railways (Directive 2004/49/EC).</w:t>
      </w:r>
    </w:p>
    <w:p w:rsidR="005C78AA" w:rsidRPr="00E526BD" w:rsidP="005C78AA">
      <w:pPr>
        <w:pStyle w:val="StandardText"/>
        <w:spacing w:after="0" w:line="240" w:lineRule="auto"/>
        <w:rPr>
          <w:rFonts w:ascii="Arial" w:hAnsi="Arial" w:cs="Arial"/>
        </w:rPr>
      </w:pPr>
    </w:p>
    <w:p w:rsidR="0062088C" w:rsidRPr="00E526BD" w:rsidP="005C78AA">
      <w:pPr>
        <w:pStyle w:val="StandardText"/>
        <w:spacing w:after="0" w:line="240" w:lineRule="auto"/>
        <w:rPr>
          <w:rFonts w:ascii="Arial" w:hAnsi="Arial" w:cs="Arial"/>
          <w:i/>
        </w:rPr>
      </w:pPr>
      <w:r w:rsidRPr="00E526BD">
        <w:rPr>
          <w:rFonts w:ascii="Arial" w:hAnsi="Arial"/>
          <w:i/>
        </w:rPr>
        <w:t>Accident victims</w:t>
      </w:r>
    </w:p>
    <w:p w:rsidR="005C78AA" w:rsidRPr="00E526BD" w:rsidP="005C78AA">
      <w:pPr>
        <w:pStyle w:val="StandardText"/>
        <w:spacing w:after="0" w:line="240" w:lineRule="auto"/>
        <w:rPr>
          <w:rFonts w:ascii="Arial" w:hAnsi="Arial" w:cs="Arial"/>
          <w:i/>
        </w:rPr>
      </w:pPr>
    </w:p>
    <w:p w:rsidR="00FE7DD5" w:rsidRPr="00E526BD" w:rsidP="005C78AA">
      <w:pPr>
        <w:pStyle w:val="StandardText"/>
        <w:spacing w:after="0" w:line="240" w:lineRule="auto"/>
        <w:rPr>
          <w:rFonts w:ascii="Arial" w:hAnsi="Arial" w:cs="Arial"/>
        </w:rPr>
      </w:pPr>
      <w:r w:rsidRPr="00E526BD">
        <w:rPr>
          <w:rFonts w:ascii="Arial" w:hAnsi="Arial"/>
        </w:rPr>
        <w:t xml:space="preserve">In 2017, the number of persons seriously injured in rail accidents was 165 the highest figure since this indicator was </w:t>
      </w:r>
      <w:r w:rsidRPr="00E526BD">
        <w:rPr>
          <w:rFonts w:ascii="Arial" w:hAnsi="Arial"/>
        </w:rPr>
        <w:t>first recorded in 2007. The number of train kilometres travelled rose slightly, however less significantly than the number of accidents. Accordingly, the number of seriously injured persons for train kilometres travelled is – at 0.154 seriously injured per</w:t>
      </w:r>
      <w:r w:rsidRPr="00E526BD">
        <w:rPr>
          <w:rFonts w:ascii="Arial" w:hAnsi="Arial"/>
        </w:rPr>
        <w:t xml:space="preserve">sons per one million train kilometres – above the previous year (0.136). The number of passengers seriously injured was up on the previous year, from 33 to 41. The main reason for this increase is however a single event: the collision between </w:t>
      </w:r>
      <w:r w:rsidRPr="00E526BD">
        <w:rPr>
          <w:rFonts w:ascii="Arial" w:hAnsi="Arial"/>
        </w:rPr>
        <w:t>Weißenburg</w:t>
      </w:r>
      <w:r w:rsidRPr="00E526BD">
        <w:rPr>
          <w:rFonts w:ascii="Arial" w:hAnsi="Arial"/>
        </w:rPr>
        <w:t xml:space="preserve"> an</w:t>
      </w:r>
      <w:r w:rsidRPr="00E526BD">
        <w:rPr>
          <w:rFonts w:ascii="Arial" w:hAnsi="Arial"/>
        </w:rPr>
        <w:t xml:space="preserve">d </w:t>
      </w:r>
      <w:r w:rsidRPr="00E526BD">
        <w:rPr>
          <w:rFonts w:ascii="Arial" w:hAnsi="Arial"/>
        </w:rPr>
        <w:t>Meerbusch-Osterath</w:t>
      </w:r>
      <w:r w:rsidRPr="00E526BD">
        <w:rPr>
          <w:rFonts w:ascii="Arial" w:hAnsi="Arial"/>
        </w:rPr>
        <w:t xml:space="preserve"> on 05.12.2017, in which 35 passengers suffered serious injury. The percentage of level crossing users or trespassers or others in the total amount of all people seriously injured has continued to drop and is now just over 60 %. The num</w:t>
      </w:r>
      <w:r w:rsidRPr="00E526BD">
        <w:rPr>
          <w:rFonts w:ascii="Arial" w:hAnsi="Arial"/>
        </w:rPr>
        <w:t>ber of seriously injured level crossing users decreased slightly in absolute terms once more. The number of persons seriously injured in railway accidents classified as service staff and unauthorised person increased for both categories, while the number o</w:t>
      </w:r>
      <w:r w:rsidRPr="00E526BD">
        <w:rPr>
          <w:rFonts w:ascii="Arial" w:hAnsi="Arial"/>
        </w:rPr>
        <w:t>f other persons decreased markedly.</w:t>
      </w:r>
    </w:p>
    <w:p w:rsidR="00DA41F1" w:rsidRPr="00E526BD" w:rsidP="005C78AA">
      <w:pPr>
        <w:pStyle w:val="StandardText"/>
        <w:spacing w:after="0" w:line="240" w:lineRule="auto"/>
        <w:rPr>
          <w:rFonts w:ascii="Arial" w:hAnsi="Arial" w:cs="Arial"/>
        </w:rPr>
      </w:pPr>
    </w:p>
    <w:p w:rsidR="00AA6E4A" w:rsidRPr="00E526BD" w:rsidP="005C78AA">
      <w:pPr>
        <w:pStyle w:val="StandardText"/>
        <w:spacing w:after="0" w:line="240" w:lineRule="auto"/>
        <w:rPr>
          <w:rFonts w:ascii="Arial" w:hAnsi="Arial" w:cs="Arial"/>
        </w:rPr>
      </w:pPr>
      <w:r w:rsidRPr="00E526BD">
        <w:rPr>
          <w:rFonts w:ascii="Arial" w:hAnsi="Arial"/>
        </w:rPr>
        <w:t xml:space="preserve">A decrease in the number of people killed in railway accidents, a further slight increase from 150 in 2016 to 157 in the reporting year 2017, was recorded. Relative to train-kilometres travelled, this also represents a </w:t>
      </w:r>
      <w:r w:rsidRPr="00E526BD">
        <w:rPr>
          <w:rFonts w:ascii="Arial" w:hAnsi="Arial"/>
        </w:rPr>
        <w:t>slight increase, from 0.141 to 0.146 fatalities per million train-kilometres. Similarly to the case in previous years, around 90 % of all deaths are attributable to the categories ‘level crossing users’ and ‘trespassers on railway premises’. 60% of total d</w:t>
      </w:r>
      <w:r w:rsidRPr="00E526BD">
        <w:rPr>
          <w:rFonts w:ascii="Arial" w:hAnsi="Arial"/>
        </w:rPr>
        <w:t>eaths were persons who were unauthorised to be on rail premises. In the category “Level crossing users”, the number of deaths increased from 28 to 44, all other deaths (113) occurred category “accidents involving injury”. In 2017, two passengers were kille</w:t>
      </w:r>
      <w:r w:rsidRPr="00E526BD">
        <w:rPr>
          <w:rFonts w:ascii="Arial" w:hAnsi="Arial"/>
        </w:rPr>
        <w:t>d in rail accidents.</w:t>
      </w:r>
    </w:p>
    <w:p w:rsidR="005C78AA" w:rsidRPr="00E526BD" w:rsidP="005C78AA">
      <w:pPr>
        <w:pStyle w:val="StandardText"/>
        <w:spacing w:after="0" w:line="240" w:lineRule="auto"/>
        <w:rPr>
          <w:rFonts w:ascii="Arial" w:hAnsi="Arial" w:cs="Arial"/>
        </w:rPr>
      </w:pPr>
    </w:p>
    <w:p w:rsidR="007F3038" w:rsidRPr="00E526BD" w:rsidP="005C78AA">
      <w:pPr>
        <w:pStyle w:val="StandardText"/>
        <w:spacing w:after="0" w:line="240" w:lineRule="auto"/>
        <w:rPr>
          <w:rFonts w:ascii="Arial" w:hAnsi="Arial" w:cs="Arial"/>
          <w:i/>
        </w:rPr>
      </w:pPr>
      <w:r w:rsidRPr="00E526BD">
        <w:rPr>
          <w:rFonts w:ascii="Arial" w:hAnsi="Arial"/>
          <w:i/>
        </w:rPr>
        <w:t>Significant accidents</w:t>
      </w:r>
      <w:r>
        <w:rPr>
          <w:rStyle w:val="FootnoteReference"/>
          <w:rFonts w:ascii="Arial" w:hAnsi="Arial"/>
          <w:i/>
        </w:rPr>
        <w:footnoteReference w:id="2"/>
      </w:r>
    </w:p>
    <w:p w:rsidR="005C78AA" w:rsidRPr="00E526BD" w:rsidP="005C78AA">
      <w:pPr>
        <w:pStyle w:val="StandardText"/>
        <w:spacing w:after="0" w:line="240" w:lineRule="auto"/>
        <w:rPr>
          <w:rFonts w:ascii="Arial" w:hAnsi="Arial" w:cs="Arial"/>
          <w:i/>
        </w:rPr>
      </w:pPr>
    </w:p>
    <w:p w:rsidR="00A85C6C" w:rsidRPr="00E526BD" w:rsidP="005C78AA">
      <w:pPr>
        <w:pStyle w:val="StandardText"/>
        <w:spacing w:after="0" w:line="240" w:lineRule="auto"/>
        <w:rPr>
          <w:rFonts w:ascii="Arial" w:hAnsi="Arial" w:cs="Arial"/>
        </w:rPr>
      </w:pPr>
      <w:r w:rsidRPr="00E526BD">
        <w:rPr>
          <w:rFonts w:ascii="Arial" w:hAnsi="Arial"/>
        </w:rPr>
        <w:t>In 2017 on the rail network in Germany subject to the Railway Safety Directive, there were a total of 346 significant railway accidents, which was a marked increase in comparison to the previous year (310 accid</w:t>
      </w:r>
      <w:r w:rsidRPr="00E526BD">
        <w:rPr>
          <w:rFonts w:ascii="Arial" w:hAnsi="Arial"/>
        </w:rPr>
        <w:t>ents) and the highest number of accidents since records began in 2007. Relative to train kilometres, based on the increase in transport service provided, there was a moderate increase from 0.291 to 0.323 accidents per million train kilometres. Detailed ana</w:t>
      </w:r>
      <w:r w:rsidRPr="00E526BD">
        <w:rPr>
          <w:rFonts w:ascii="Arial" w:hAnsi="Arial"/>
        </w:rPr>
        <w:t xml:space="preserve">lysis shows that the increase observed affected the number of accidents under the classification collision (+11 incidents), derailing (+5), accidents on level crossings (+23), as well as accidents involving personal injury (+15). By </w:t>
      </w:r>
      <w:r w:rsidRPr="00E526BD">
        <w:rPr>
          <w:rFonts w:ascii="Arial" w:hAnsi="Arial"/>
        </w:rPr>
        <w:t>contrast, other acciden</w:t>
      </w:r>
      <w:r w:rsidRPr="00E526BD">
        <w:rPr>
          <w:rFonts w:ascii="Arial" w:hAnsi="Arial"/>
        </w:rPr>
        <w:t>ts decreased and no fires on rail vehicles occurred. The collisions, of which there were 38 in total, can be subdivided into 3 collisions of trains with a railway vehicle and 35 collisions of trains with an obstruction within the clearance gauge.</w:t>
      </w:r>
    </w:p>
    <w:p w:rsidR="005C78AA" w:rsidRPr="00E526BD" w:rsidP="005C78AA">
      <w:pPr>
        <w:pStyle w:val="StandardText"/>
        <w:spacing w:after="0" w:line="240" w:lineRule="auto"/>
        <w:rPr>
          <w:rFonts w:ascii="Arial" w:hAnsi="Arial" w:cs="Arial"/>
        </w:rPr>
      </w:pPr>
    </w:p>
    <w:p w:rsidR="00A85C6C" w:rsidRPr="00E526BD" w:rsidP="005C78AA">
      <w:pPr>
        <w:pStyle w:val="StandardText"/>
        <w:spacing w:after="0" w:line="240" w:lineRule="auto"/>
        <w:rPr>
          <w:rFonts w:ascii="Arial" w:hAnsi="Arial" w:cs="Arial"/>
          <w:i/>
        </w:rPr>
      </w:pPr>
      <w:r w:rsidRPr="00E526BD">
        <w:rPr>
          <w:rFonts w:ascii="Arial" w:hAnsi="Arial"/>
          <w:i/>
        </w:rPr>
        <w:t>Accident</w:t>
      </w:r>
      <w:r w:rsidRPr="00E526BD">
        <w:rPr>
          <w:rFonts w:ascii="Arial" w:hAnsi="Arial"/>
          <w:i/>
        </w:rPr>
        <w:t xml:space="preserve"> precursors</w:t>
      </w:r>
    </w:p>
    <w:p w:rsidR="005C78AA" w:rsidRPr="00E526BD" w:rsidP="005C78AA">
      <w:pPr>
        <w:pStyle w:val="StandardText"/>
        <w:spacing w:after="0" w:line="240" w:lineRule="auto"/>
        <w:rPr>
          <w:rFonts w:ascii="Arial" w:hAnsi="Arial" w:cs="Arial"/>
          <w:i/>
        </w:rPr>
      </w:pPr>
    </w:p>
    <w:p w:rsidR="00A85C6C" w:rsidRPr="00E526BD" w:rsidP="005C78AA">
      <w:pPr>
        <w:pStyle w:val="StandardText"/>
        <w:spacing w:after="0" w:line="240" w:lineRule="auto"/>
        <w:rPr>
          <w:rFonts w:ascii="Arial" w:hAnsi="Arial" w:cs="Arial"/>
        </w:rPr>
      </w:pPr>
      <w:r w:rsidRPr="00E526BD">
        <w:rPr>
          <w:rFonts w:ascii="Arial" w:hAnsi="Arial"/>
        </w:rPr>
        <w:t>The following precursors of accidents could be recorded in relation to safety indicators: broken rails, buckled tracks, signalling errors and signals passed at danger. At 284, the number of broken rails remained well below the long-term averag</w:t>
      </w:r>
      <w:r w:rsidRPr="00E526BD">
        <w:rPr>
          <w:rFonts w:ascii="Arial" w:hAnsi="Arial"/>
        </w:rPr>
        <w:t>e. At 17, the incidence of buckled tracks was also low. As for the number of signals passed at danger, following the significant increase in 2014 (+25%), the number of occurrences rose for the third year running. The Federal Railway Authority will continue</w:t>
      </w:r>
      <w:r w:rsidRPr="00E526BD">
        <w:rPr>
          <w:rFonts w:ascii="Arial" w:hAnsi="Arial"/>
        </w:rPr>
        <w:t xml:space="preserve"> to focus closely on this issue; for measures please see sections B.3 and B.4.</w:t>
      </w:r>
    </w:p>
    <w:p w:rsidR="005C78AA" w:rsidRPr="00E526BD" w:rsidP="005C78AA">
      <w:pPr>
        <w:pStyle w:val="StandardText"/>
        <w:spacing w:after="0" w:line="240" w:lineRule="auto"/>
        <w:rPr>
          <w:rFonts w:ascii="Arial" w:hAnsi="Arial" w:cs="Arial"/>
        </w:rPr>
      </w:pPr>
    </w:p>
    <w:p w:rsidR="00CD3E5B" w:rsidRPr="00E526BD" w:rsidP="005C78AA">
      <w:pPr>
        <w:pStyle w:val="StandardText"/>
        <w:spacing w:after="0" w:line="240" w:lineRule="auto"/>
        <w:rPr>
          <w:rFonts w:ascii="Arial" w:hAnsi="Arial" w:cs="Arial"/>
          <w:i/>
        </w:rPr>
      </w:pPr>
      <w:r w:rsidRPr="00E526BD">
        <w:rPr>
          <w:rFonts w:ascii="Arial" w:hAnsi="Arial"/>
          <w:i/>
        </w:rPr>
        <w:t>Accident costs</w:t>
      </w:r>
    </w:p>
    <w:p w:rsidR="005C78AA" w:rsidRPr="00E526BD" w:rsidP="005C78AA">
      <w:pPr>
        <w:pStyle w:val="StandardText"/>
        <w:spacing w:after="0" w:line="240" w:lineRule="auto"/>
        <w:rPr>
          <w:rFonts w:ascii="Arial" w:hAnsi="Arial" w:cs="Arial"/>
          <w:i/>
        </w:rPr>
      </w:pPr>
    </w:p>
    <w:p w:rsidR="00BF5FE8" w:rsidRPr="00E526BD" w:rsidP="005C78AA">
      <w:pPr>
        <w:pStyle w:val="StandardText"/>
        <w:spacing w:after="0" w:line="240" w:lineRule="auto"/>
        <w:rPr>
          <w:rFonts w:ascii="Arial" w:hAnsi="Arial" w:cs="Arial"/>
        </w:rPr>
      </w:pPr>
      <w:r w:rsidRPr="00E526BD">
        <w:rPr>
          <w:rFonts w:ascii="Arial" w:hAnsi="Arial"/>
        </w:rPr>
        <w:t>Details of the economic impact of accidents have also been included since 2010. Thus, in accordance with the requirements introduced under Directive 2009/149/EC</w:t>
      </w:r>
      <w:r w:rsidRPr="00E526BD">
        <w:rPr>
          <w:rFonts w:ascii="Arial" w:hAnsi="Arial"/>
        </w:rPr>
        <w:t>, details are provided of the material and environmental damage and a calculation of the costs resulting from delays and the costs and societal losses resulting from victims of accidents. The base values used in the calculations were derived from the resul</w:t>
      </w:r>
      <w:r w:rsidRPr="00E526BD">
        <w:rPr>
          <w:rFonts w:ascii="Arial" w:hAnsi="Arial"/>
        </w:rPr>
        <w:t xml:space="preserve">ts of the ‘HEATCO’ Project that were recommended by the European Union Agency for Railways (an EU-sponsored project to work out principles for the economic evaluation of infrastructure projects; for further details, see </w:t>
      </w:r>
      <w:r w:rsidRPr="00E526BD">
        <w:rPr>
          <w:rStyle w:val="Hyperlink"/>
          <w:rFonts w:ascii="Arial" w:hAnsi="Arial"/>
        </w:rPr>
        <w:t>http://heatco.ier.uni-stuttgart.de</w:t>
      </w:r>
      <w:r w:rsidRPr="00E526BD">
        <w:rPr>
          <w:rFonts w:ascii="Arial" w:hAnsi="Arial"/>
        </w:rPr>
        <w:t xml:space="preserve">. </w:t>
      </w:r>
      <w:r w:rsidRPr="00E526BD">
        <w:rPr>
          <w:rFonts w:ascii="Arial" w:hAnsi="Arial"/>
        </w:rPr>
        <w:t xml:space="preserve">When using this method of calculation, an increase in severe injuries and deaths in railway accidents also leads to a rise in accident costs. For 2017, accident costs amounting to EUR 537 million were established. This total can be broken down as follows: </w:t>
      </w:r>
      <w:r w:rsidRPr="00E526BD">
        <w:rPr>
          <w:rFonts w:ascii="Arial" w:hAnsi="Arial"/>
        </w:rPr>
        <w:t>EUR 467 million of ‘societal losses’ due to accident victims; EUR 58 million of material and environmental damage; and EUR 12 million of costs due to accident-related delays. Since 2015, costs due to accident-related delays have been significantly lower th</w:t>
      </w:r>
      <w:r w:rsidRPr="00E526BD">
        <w:rPr>
          <w:rFonts w:ascii="Arial" w:hAnsi="Arial"/>
        </w:rPr>
        <w:t>an for previous years, because since then, the figures have been adjusted to preclude delays caused by suicides for the purposes of calculating the accident costs.</w:t>
      </w:r>
    </w:p>
    <w:p w:rsidR="005C78AA" w:rsidRPr="00E526BD" w:rsidP="005C78AA">
      <w:pPr>
        <w:pStyle w:val="StandardText"/>
        <w:spacing w:after="0" w:line="240" w:lineRule="auto"/>
        <w:rPr>
          <w:rFonts w:ascii="Arial" w:hAnsi="Arial" w:cs="Arial"/>
        </w:rPr>
      </w:pPr>
    </w:p>
    <w:p w:rsidR="00BF5FE8" w:rsidRPr="00E526BD" w:rsidP="00B30FA2">
      <w:pPr>
        <w:pStyle w:val="StandardText"/>
        <w:spacing w:after="0" w:line="240" w:lineRule="auto"/>
        <w:rPr>
          <w:rFonts w:ascii="Arial" w:hAnsi="Arial" w:cs="Arial"/>
        </w:rPr>
      </w:pPr>
      <w:hyperlink w:anchor="_A.2._Listen_der" w:history="1">
        <w:r w:rsidRPr="00E526BD">
          <w:rPr>
            <w:rStyle w:val="Hyperlink"/>
            <w:rFonts w:ascii="Arial" w:hAnsi="Arial" w:cs="Arial"/>
            <w:b/>
          </w:rPr>
          <w:t>Annex A</w:t>
        </w:r>
      </w:hyperlink>
      <w:r w:rsidRPr="00E526BD">
        <w:rPr>
          <w:rFonts w:ascii="Arial" w:hAnsi="Arial" w:cs="Arial"/>
        </w:rPr>
        <w:t xml:space="preserve"> of this report contains the safety indicators.</w:t>
      </w:r>
    </w:p>
    <w:p w:rsidR="008B425E" w:rsidRPr="00E526BD">
      <w:pPr>
        <w:rPr>
          <w:rFonts w:cs="Arial"/>
          <w:b/>
          <w:bCs/>
          <w:iCs/>
          <w:sz w:val="24"/>
          <w:szCs w:val="24"/>
        </w:rPr>
      </w:pPr>
    </w:p>
    <w:p w:rsidR="005C7A8C" w:rsidRPr="00E526BD">
      <w:pPr>
        <w:rPr>
          <w:rFonts w:cs="Arial"/>
          <w:b/>
          <w:bCs/>
          <w:iCs/>
          <w:sz w:val="24"/>
          <w:szCs w:val="24"/>
        </w:rPr>
      </w:pPr>
    </w:p>
    <w:p w:rsidR="00823BC0" w:rsidRPr="00E526BD">
      <w:pPr>
        <w:rPr>
          <w:rFonts w:cs="Arial"/>
          <w:b/>
          <w:bCs/>
          <w:iCs/>
          <w:sz w:val="24"/>
          <w:szCs w:val="24"/>
        </w:rPr>
      </w:pPr>
      <w:r w:rsidRPr="00E526BD">
        <w:br w:type="page"/>
      </w:r>
    </w:p>
    <w:p w:rsidR="00C379BA" w:rsidRPr="00E526BD" w:rsidP="005C78AA">
      <w:pPr>
        <w:pStyle w:val="Heading2"/>
        <w:spacing w:before="0" w:after="0"/>
      </w:pPr>
      <w:bookmarkStart w:id="9" w:name="_Toc530579228"/>
      <w:r w:rsidRPr="00E526BD">
        <w:t xml:space="preserve">C.2 </w:t>
      </w:r>
      <w:r w:rsidRPr="00E526BD">
        <w:t>Results of the safety recommendation from the BEU (German Federal Agency for Railway Accident Investigation).</w:t>
      </w:r>
      <w:bookmarkEnd w:id="9"/>
    </w:p>
    <w:p w:rsidR="005C78AA" w:rsidRPr="00E526BD" w:rsidP="005C78AA"/>
    <w:p w:rsidR="00B11856" w:rsidRPr="00E526BD" w:rsidP="005C78AA">
      <w:pPr>
        <w:pStyle w:val="Heading3"/>
        <w:spacing w:before="0" w:after="0"/>
        <w:rPr>
          <w:b w:val="0"/>
          <w:i/>
          <w:sz w:val="24"/>
          <w:szCs w:val="24"/>
        </w:rPr>
      </w:pPr>
      <w:r w:rsidRPr="00E526BD">
        <w:rPr>
          <w:b w:val="0"/>
          <w:i/>
          <w:sz w:val="24"/>
        </w:rPr>
        <w:t>Table 1: 2017 safety recommendations</w:t>
      </w:r>
    </w:p>
    <w:tbl>
      <w:tblPr>
        <w:tblStyle w:val="TableGrid"/>
        <w:tblW w:w="0" w:type="auto"/>
        <w:tblLook w:val="04A0"/>
      </w:tblPr>
      <w:tblGrid>
        <w:gridCol w:w="3264"/>
        <w:gridCol w:w="3609"/>
        <w:gridCol w:w="2347"/>
      </w:tblGrid>
      <w:tr w:rsidTr="00E271DF">
        <w:tblPrEx>
          <w:tblW w:w="0" w:type="auto"/>
          <w:tblLook w:val="04A0"/>
        </w:tblPrEx>
        <w:tc>
          <w:tcPr>
            <w:tcW w:w="3276" w:type="dxa"/>
            <w:vAlign w:val="center"/>
          </w:tcPr>
          <w:p w:rsidR="00C379BA" w:rsidRPr="00E526BD" w:rsidP="00196D87">
            <w:pPr>
              <w:pStyle w:val="StandardText"/>
              <w:spacing w:before="240" w:line="240" w:lineRule="auto"/>
              <w:jc w:val="center"/>
              <w:rPr>
                <w:rFonts w:ascii="BVGNormal" w:hAnsi="BVGNormal" w:cs="BVGNormal"/>
                <w:b/>
              </w:rPr>
            </w:pPr>
            <w:r w:rsidRPr="00E526BD">
              <w:rPr>
                <w:rFonts w:ascii="BVGNormal" w:hAnsi="BVGNormal"/>
                <w:b/>
              </w:rPr>
              <w:t>Safety recommendation</w:t>
            </w:r>
          </w:p>
        </w:tc>
        <w:tc>
          <w:tcPr>
            <w:tcW w:w="3636" w:type="dxa"/>
            <w:vAlign w:val="center"/>
          </w:tcPr>
          <w:p w:rsidR="00C379BA" w:rsidRPr="00E526BD" w:rsidP="00196D87">
            <w:pPr>
              <w:pStyle w:val="StandardText"/>
              <w:spacing w:before="240" w:line="240" w:lineRule="auto"/>
              <w:jc w:val="center"/>
              <w:rPr>
                <w:rFonts w:ascii="BVGNormal" w:hAnsi="BVGNormal" w:cs="BVGNormal"/>
                <w:b/>
              </w:rPr>
            </w:pPr>
            <w:r w:rsidRPr="00E526BD">
              <w:rPr>
                <w:rFonts w:ascii="BVGNormal" w:hAnsi="BVGNormal"/>
                <w:b/>
              </w:rPr>
              <w:t>Safety measure</w:t>
            </w:r>
          </w:p>
        </w:tc>
        <w:tc>
          <w:tcPr>
            <w:tcW w:w="2353" w:type="dxa"/>
            <w:vAlign w:val="center"/>
          </w:tcPr>
          <w:p w:rsidR="00C379BA" w:rsidRPr="00E526BD" w:rsidP="00196D87">
            <w:pPr>
              <w:pStyle w:val="StandardText"/>
              <w:spacing w:before="240" w:line="240" w:lineRule="auto"/>
              <w:jc w:val="center"/>
              <w:rPr>
                <w:rFonts w:ascii="BVGNormal" w:hAnsi="BVGNormal" w:cs="BVGNormal"/>
                <w:b/>
              </w:rPr>
            </w:pPr>
            <w:r w:rsidRPr="00E526BD">
              <w:rPr>
                <w:rFonts w:ascii="BVGNormal" w:hAnsi="BVGNormal"/>
                <w:b/>
              </w:rPr>
              <w:t>Implementation status</w:t>
            </w:r>
          </w:p>
        </w:tc>
      </w:tr>
      <w:tr w:rsidTr="00B11856">
        <w:tblPrEx>
          <w:tblW w:w="0" w:type="auto"/>
          <w:tblLook w:val="04A0"/>
        </w:tblPrEx>
        <w:tc>
          <w:tcPr>
            <w:tcW w:w="9265" w:type="dxa"/>
            <w:gridSpan w:val="3"/>
            <w:vAlign w:val="center"/>
          </w:tcPr>
          <w:p w:rsidR="00B11856" w:rsidRPr="00E526BD" w:rsidP="00455C40">
            <w:pPr>
              <w:pStyle w:val="StandardText"/>
              <w:spacing w:before="240" w:line="240" w:lineRule="auto"/>
              <w:jc w:val="center"/>
              <w:rPr>
                <w:rFonts w:ascii="BVGNormal" w:hAnsi="BVGNormal" w:cs="BVGNormal"/>
                <w:b/>
                <w:sz w:val="20"/>
                <w:szCs w:val="20"/>
              </w:rPr>
            </w:pPr>
            <w:r w:rsidRPr="00E526BD">
              <w:rPr>
                <w:rFonts w:ascii="BVGNormal" w:hAnsi="BVGNormal"/>
                <w:b/>
                <w:sz w:val="20"/>
              </w:rPr>
              <w:t xml:space="preserve">Event: Derailment 09.06.2013 </w:t>
            </w:r>
            <w:r w:rsidRPr="00E526BD">
              <w:rPr>
                <w:rFonts w:ascii="BVGNormal" w:hAnsi="BVGNormal"/>
                <w:b/>
                <w:sz w:val="20"/>
              </w:rPr>
              <w:t>Korb</w:t>
            </w:r>
            <w:r w:rsidRPr="00E526BD">
              <w:rPr>
                <w:rFonts w:ascii="BVGNormal" w:hAnsi="BVGNormal"/>
                <w:b/>
                <w:sz w:val="20"/>
              </w:rPr>
              <w:t xml:space="preserve"> – </w:t>
            </w:r>
            <w:r w:rsidRPr="00E526BD">
              <w:rPr>
                <w:rFonts w:ascii="BVGNormal" w:hAnsi="BVGNormal"/>
                <w:b/>
                <w:sz w:val="20"/>
              </w:rPr>
              <w:t>Lorch</w:t>
            </w:r>
            <w:r w:rsidRPr="00E526BD">
              <w:rPr>
                <w:rFonts w:ascii="BVGNormal" w:hAnsi="BVGNormal"/>
                <w:b/>
                <w:sz w:val="20"/>
              </w:rPr>
              <w:t xml:space="preserve"> </w:t>
            </w:r>
            <w:r w:rsidRPr="00E526BD">
              <w:rPr>
                <w:rFonts w:ascii="BVGNormal" w:hAnsi="BVGNormal"/>
                <w:b/>
                <w:sz w:val="20"/>
              </w:rPr>
              <w:t>(</w:t>
            </w:r>
            <w:r w:rsidRPr="00E526BD">
              <w:rPr>
                <w:rFonts w:ascii="BVGNormal" w:hAnsi="BVGNormal"/>
                <w:b/>
                <w:sz w:val="20"/>
              </w:rPr>
              <w:t>Rhein</w:t>
            </w:r>
            <w:r w:rsidRPr="00E526BD">
              <w:rPr>
                <w:rFonts w:ascii="BVGNormal" w:hAnsi="BVGNormal"/>
                <w:b/>
                <w:sz w:val="20"/>
              </w:rPr>
              <w:t>)</w:t>
            </w:r>
          </w:p>
        </w:tc>
      </w:tr>
      <w:tr w:rsidTr="00E271DF">
        <w:tblPrEx>
          <w:tblW w:w="0" w:type="auto"/>
          <w:tblLook w:val="04A0"/>
        </w:tblPrEx>
        <w:tc>
          <w:tcPr>
            <w:tcW w:w="3276" w:type="dxa"/>
          </w:tcPr>
          <w:p w:rsidR="00B11856" w:rsidRPr="00E526BD" w:rsidP="00265B16">
            <w:pPr>
              <w:pStyle w:val="StandardText"/>
              <w:numPr>
                <w:ilvl w:val="0"/>
                <w:numId w:val="7"/>
              </w:numPr>
              <w:ind w:left="426"/>
              <w:rPr>
                <w:rFonts w:ascii="BVGNormal" w:hAnsi="BVGNormal" w:cs="BVGNormal"/>
                <w:sz w:val="20"/>
                <w:szCs w:val="20"/>
              </w:rPr>
            </w:pPr>
            <w:r w:rsidRPr="00E526BD">
              <w:rPr>
                <w:rFonts w:ascii="BVGNormal" w:hAnsi="BVGNormal"/>
                <w:sz w:val="20"/>
              </w:rPr>
              <w:t xml:space="preserve">In case of malfunctions, drainage systems in the track and near the track may result in the track substructure being penetrated by moisture which may lead to track geometry defects which pose a risk to operations. </w:t>
            </w:r>
            <w:r w:rsidRPr="00E526BD">
              <w:rPr>
                <w:rFonts w:ascii="BVGNormal" w:hAnsi="BVGNormal"/>
                <w:sz w:val="20"/>
              </w:rPr>
              <w:t>The staff used for the inspection of drainage systems lack the comprehensive register on the existing drainage systems required to be able to plan and carry out regular inspections.  It is recommended that all drainage systems be recorded separately in ord</w:t>
            </w:r>
            <w:r w:rsidRPr="00E526BD">
              <w:rPr>
                <w:rFonts w:ascii="BVGNormal" w:hAnsi="BVGNormal"/>
                <w:sz w:val="20"/>
              </w:rPr>
              <w:t>er to be able to plan and promptly carry out regular inspections of their proper functioning.</w:t>
            </w:r>
            <w:r w:rsidRPr="00E526BD">
              <w:rPr>
                <w:rFonts w:ascii="BVGNormal" w:hAnsi="BVGNormal" w:cs="BVGNormal"/>
                <w:sz w:val="20"/>
                <w:szCs w:val="20"/>
              </w:rPr>
              <w:br/>
            </w:r>
            <w:r w:rsidRPr="00E526BD">
              <w:rPr>
                <w:rFonts w:ascii="BVGNormal" w:hAnsi="BVGNormal" w:cs="BVGNormal"/>
                <w:sz w:val="20"/>
                <w:szCs w:val="20"/>
              </w:rPr>
              <w:br/>
            </w:r>
            <w:r w:rsidRPr="00E526BD">
              <w:rPr>
                <w:rFonts w:ascii="BVGNormal" w:hAnsi="BVGNormal"/>
                <w:sz w:val="20"/>
              </w:rPr>
              <w:t>The aim of this measure is the full and regular check of the drainage systems in the track and near the track to prevent the development of track geometry defect</w:t>
            </w:r>
            <w:r w:rsidRPr="00E526BD">
              <w:rPr>
                <w:rFonts w:ascii="BVGNormal" w:hAnsi="BVGNormal"/>
                <w:sz w:val="20"/>
              </w:rPr>
              <w:t>s which pose a risk to operations, which may result from the track substructure being penetrated by moisture.</w:t>
            </w:r>
          </w:p>
        </w:tc>
        <w:tc>
          <w:tcPr>
            <w:tcW w:w="3636" w:type="dxa"/>
          </w:tcPr>
          <w:p w:rsidR="00B11856" w:rsidRPr="00E526BD" w:rsidP="001367C2">
            <w:pPr>
              <w:pStyle w:val="StandardText"/>
              <w:spacing w:line="240" w:lineRule="auto"/>
              <w:rPr>
                <w:rFonts w:ascii="BVGNormal" w:hAnsi="BVGNormal" w:cs="BVGNormal"/>
                <w:sz w:val="20"/>
                <w:szCs w:val="20"/>
              </w:rPr>
            </w:pPr>
            <w:r w:rsidRPr="00E526BD">
              <w:rPr>
                <w:rFonts w:ascii="BVGNormal" w:hAnsi="BVGNormal"/>
                <w:sz w:val="20"/>
              </w:rPr>
              <w:t>Due to the fact that track drainage facilities have not yet been recorded comprehensively enough, the responsible IM has arranged for comprehensiv</w:t>
            </w:r>
            <w:r w:rsidRPr="00E526BD">
              <w:rPr>
                <w:rFonts w:ascii="BVGNormal" w:hAnsi="BVGNormal"/>
                <w:sz w:val="20"/>
              </w:rPr>
              <w:t xml:space="preserve">e records to be made of the facilities in questions. Furthermore, the IM has laid down standardised specifications for inspections. </w:t>
            </w:r>
          </w:p>
        </w:tc>
        <w:tc>
          <w:tcPr>
            <w:tcW w:w="2353" w:type="dxa"/>
          </w:tcPr>
          <w:p w:rsidR="00B11856" w:rsidRPr="00E526BD" w:rsidP="00715F0E">
            <w:pPr>
              <w:pStyle w:val="StandardText"/>
              <w:spacing w:line="240" w:lineRule="auto"/>
              <w:rPr>
                <w:rFonts w:ascii="BVGNormal" w:hAnsi="BVGNormal" w:cs="BVGNormal"/>
                <w:sz w:val="20"/>
                <w:szCs w:val="20"/>
              </w:rPr>
            </w:pPr>
            <w:r w:rsidRPr="00E526BD">
              <w:rPr>
                <w:rFonts w:ascii="BVGNormal" w:hAnsi="BVGNormal"/>
                <w:sz w:val="20"/>
              </w:rPr>
              <w:t>The procedure has thus been closed. The German Federal Railway Authority will conduct and monitor implementation.</w:t>
            </w:r>
          </w:p>
        </w:tc>
      </w:tr>
      <w:tr w:rsidTr="00E271DF">
        <w:tblPrEx>
          <w:tblW w:w="0" w:type="auto"/>
          <w:tblLook w:val="04A0"/>
        </w:tblPrEx>
        <w:tc>
          <w:tcPr>
            <w:tcW w:w="3276" w:type="dxa"/>
          </w:tcPr>
          <w:p w:rsidR="006905A2" w:rsidRPr="00E526BD" w:rsidP="00E526BD">
            <w:pPr>
              <w:pStyle w:val="StandardText"/>
              <w:numPr>
                <w:ilvl w:val="0"/>
                <w:numId w:val="7"/>
              </w:numPr>
              <w:ind w:left="426"/>
              <w:rPr>
                <w:rFonts w:ascii="BVGNormal" w:hAnsi="BVGNormal" w:cs="BVGNormal"/>
                <w:sz w:val="20"/>
                <w:szCs w:val="20"/>
              </w:rPr>
            </w:pPr>
            <w:r w:rsidRPr="00E526BD">
              <w:rPr>
                <w:rFonts w:ascii="BVGNormal" w:hAnsi="BVGNormal"/>
                <w:sz w:val="20"/>
              </w:rPr>
              <w:t>Track ge</w:t>
            </w:r>
            <w:r w:rsidRPr="00E526BD">
              <w:rPr>
                <w:rFonts w:ascii="BVGNormal" w:hAnsi="BVGNormal"/>
                <w:sz w:val="20"/>
              </w:rPr>
              <w:t>ometry faults are evaluated in accordance with Dir. 821.2001 Section 5 based on individual defects</w:t>
            </w:r>
            <w:r w:rsidRPr="00E526BD">
              <w:rPr>
                <w:rFonts w:ascii="BVGNormal" w:hAnsi="BVGNormal"/>
                <w:sz w:val="20"/>
              </w:rPr>
              <w:t>, whereby individual defects occurring in combination are to be given particular attention. These individual defects occurring in combination also include lo</w:t>
            </w:r>
            <w:r w:rsidRPr="00E526BD">
              <w:rPr>
                <w:rFonts w:ascii="BVGNormal" w:hAnsi="BVGNormal"/>
                <w:sz w:val="20"/>
              </w:rPr>
              <w:t>ngitudinal level defects occurring shortly after each other, i.e. cyclic longitudinal level defects. Dir. 821.1000 Section 2 and Dir. 821.2001 Table 2 include evaluation standards for individual defects defined according to the disturbance/reaction (D/R) l</w:t>
            </w:r>
            <w:r w:rsidRPr="00E526BD">
              <w:rPr>
                <w:rFonts w:ascii="BVGNormal" w:hAnsi="BVGNormal"/>
                <w:sz w:val="20"/>
              </w:rPr>
              <w:t xml:space="preserve">ogic and in the following sections contain instructions to be applied by the person in control of an installation (PCI). There are no specific instructions for individual defects occurring in combination. The PCI is required in accordance with Dir. 821 to </w:t>
            </w:r>
            <w:r w:rsidRPr="00E526BD">
              <w:rPr>
                <w:rFonts w:ascii="BVGNormal" w:hAnsi="BVGNormal"/>
                <w:sz w:val="20"/>
              </w:rPr>
              <w:t>consider track geometry defects occurring in combination in particular and act at their own discretion. It is recommended to state the set of rules more precisely regarding the individual defects occurring in combination.</w:t>
            </w:r>
          </w:p>
        </w:tc>
        <w:tc>
          <w:tcPr>
            <w:tcW w:w="3636" w:type="dxa"/>
          </w:tcPr>
          <w:p w:rsidR="006905A2" w:rsidRPr="00E526BD" w:rsidP="0022213C">
            <w:pPr>
              <w:pStyle w:val="StandardText"/>
              <w:rPr>
                <w:rFonts w:ascii="BVGNormal" w:hAnsi="BVGNormal" w:cs="BVGNormal"/>
                <w:sz w:val="20"/>
                <w:szCs w:val="20"/>
              </w:rPr>
            </w:pPr>
            <w:r w:rsidRPr="00E526BD">
              <w:rPr>
                <w:rFonts w:ascii="BVGNormal" w:hAnsi="BVGNormal"/>
                <w:sz w:val="20"/>
              </w:rPr>
              <w:t>W</w:t>
            </w:r>
            <w:r w:rsidRPr="00E526BD">
              <w:rPr>
                <w:rFonts w:ascii="BVGNormal" w:hAnsi="BVGNormal"/>
                <w:sz w:val="20"/>
              </w:rPr>
              <w:t>ith technical notice TM 1-2017-10</w:t>
            </w:r>
            <w:r w:rsidRPr="00E526BD">
              <w:rPr>
                <w:rFonts w:ascii="BVGNormal" w:hAnsi="BVGNormal"/>
                <w:sz w:val="20"/>
              </w:rPr>
              <w:t>135 supplementing Dir 821.2001, the IM has stipulated that where there are three individual category SR100 errors in the longitudinal level within a 50m section of track, then the IAL maintenance intervention limit has been exceeded and speed must be reduc</w:t>
            </w:r>
            <w:r w:rsidRPr="00E526BD">
              <w:rPr>
                <w:rFonts w:ascii="BVGNormal" w:hAnsi="BVGNormal"/>
                <w:sz w:val="20"/>
              </w:rPr>
              <w:t>ed to 70 km/h.</w:t>
            </w:r>
          </w:p>
        </w:tc>
        <w:tc>
          <w:tcPr>
            <w:tcW w:w="2353" w:type="dxa"/>
          </w:tcPr>
          <w:p w:rsidR="006905A2" w:rsidRPr="00E526BD" w:rsidP="00196D87">
            <w:pPr>
              <w:pStyle w:val="StandardText"/>
              <w:spacing w:line="240" w:lineRule="auto"/>
              <w:rPr>
                <w:rFonts w:ascii="BVGNormal" w:hAnsi="BVGNormal" w:cs="BVGNormal"/>
                <w:sz w:val="20"/>
                <w:szCs w:val="20"/>
              </w:rPr>
            </w:pPr>
            <w:r w:rsidRPr="00E526BD">
              <w:rPr>
                <w:rFonts w:ascii="BVGNormal" w:hAnsi="BVGNormal"/>
                <w:sz w:val="20"/>
              </w:rPr>
              <w:t>The procedure has been closed.</w:t>
            </w:r>
          </w:p>
        </w:tc>
      </w:tr>
      <w:tr w:rsidTr="00715F0E">
        <w:tblPrEx>
          <w:tblW w:w="0" w:type="auto"/>
          <w:tblLook w:val="04A0"/>
        </w:tblPrEx>
        <w:tc>
          <w:tcPr>
            <w:tcW w:w="9265" w:type="dxa"/>
            <w:gridSpan w:val="3"/>
            <w:vAlign w:val="center"/>
          </w:tcPr>
          <w:p w:rsidR="00715F0E" w:rsidRPr="00E526BD" w:rsidP="00715F0E">
            <w:pPr>
              <w:pStyle w:val="StandardText"/>
              <w:spacing w:before="240" w:line="240" w:lineRule="auto"/>
              <w:jc w:val="center"/>
              <w:rPr>
                <w:rFonts w:ascii="BVGNormal" w:hAnsi="BVGNormal" w:cs="BVGNormal"/>
                <w:b/>
                <w:sz w:val="20"/>
                <w:szCs w:val="20"/>
              </w:rPr>
            </w:pPr>
            <w:r w:rsidRPr="00E526BD">
              <w:rPr>
                <w:rFonts w:ascii="BVGNormal" w:hAnsi="BVGNormal"/>
                <w:b/>
                <w:sz w:val="20"/>
              </w:rPr>
              <w:t xml:space="preserve">Event: Collision 09.02.2016 Bad </w:t>
            </w:r>
            <w:r w:rsidRPr="00E526BD">
              <w:rPr>
                <w:rFonts w:ascii="BVGNormal" w:hAnsi="BVGNormal"/>
                <w:b/>
                <w:sz w:val="20"/>
              </w:rPr>
              <w:t>Aibling</w:t>
            </w:r>
          </w:p>
        </w:tc>
      </w:tr>
      <w:tr w:rsidTr="00E271DF">
        <w:tblPrEx>
          <w:tblW w:w="0" w:type="auto"/>
          <w:tblLook w:val="04A0"/>
        </w:tblPrEx>
        <w:tc>
          <w:tcPr>
            <w:tcW w:w="3276" w:type="dxa"/>
          </w:tcPr>
          <w:p w:rsidR="00715F0E" w:rsidRPr="00E526BD" w:rsidP="00715F0E">
            <w:pPr>
              <w:pStyle w:val="StandardText"/>
              <w:rPr>
                <w:rFonts w:ascii="BVGNormal" w:hAnsi="BVGNormal" w:cs="BVGNormal"/>
                <w:sz w:val="20"/>
                <w:szCs w:val="20"/>
              </w:rPr>
            </w:pPr>
            <w:r w:rsidRPr="00E526BD">
              <w:rPr>
                <w:rFonts w:ascii="BVGNormal" w:hAnsi="BVGNormal"/>
                <w:sz w:val="20"/>
              </w:rPr>
              <w:t>It is recommended that the “</w:t>
            </w:r>
            <w:r w:rsidRPr="00E526BD">
              <w:rPr>
                <w:rFonts w:ascii="BVGNormal" w:hAnsi="BVGNormal"/>
                <w:sz w:val="20"/>
              </w:rPr>
              <w:t>Zugfunknotruf</w:t>
            </w:r>
            <w:r w:rsidRPr="00E526BD">
              <w:rPr>
                <w:rFonts w:ascii="BVGNormal" w:hAnsi="BVGNormal"/>
                <w:sz w:val="20"/>
              </w:rPr>
              <w:t>” (train emergency signal) and the “</w:t>
            </w:r>
            <w:r w:rsidRPr="00E526BD">
              <w:rPr>
                <w:rFonts w:ascii="BVGNormal" w:hAnsi="BVGNormal"/>
                <w:sz w:val="20"/>
              </w:rPr>
              <w:t>Notruf-Strecke</w:t>
            </w:r>
            <w:r w:rsidRPr="00E526BD">
              <w:rPr>
                <w:rFonts w:ascii="BVGNormal" w:hAnsi="BVGNormal"/>
                <w:sz w:val="20"/>
              </w:rPr>
              <w:t xml:space="preserve">” (trackside emergency signal) in the menu of the GSM-R radio control panel </w:t>
            </w:r>
            <w:r w:rsidRPr="00E526BD">
              <w:rPr>
                <w:rFonts w:ascii="BVGNormal" w:hAnsi="BVGNormal"/>
                <w:sz w:val="20"/>
              </w:rPr>
              <w:t>be combined in one function key, after the emergency signal has been activated by the signalman/woman.</w:t>
            </w:r>
          </w:p>
        </w:tc>
        <w:tc>
          <w:tcPr>
            <w:tcW w:w="3636" w:type="dxa"/>
          </w:tcPr>
          <w:p w:rsidR="00715F0E" w:rsidRPr="00E526BD" w:rsidP="00823BC0">
            <w:pPr>
              <w:pStyle w:val="StandardText"/>
              <w:rPr>
                <w:rFonts w:ascii="BVGNormal" w:hAnsi="BVGNormal" w:cs="BVGNormal"/>
                <w:sz w:val="20"/>
                <w:szCs w:val="20"/>
              </w:rPr>
            </w:pPr>
            <w:r w:rsidRPr="00E526BD">
              <w:rPr>
                <w:rFonts w:ascii="BVGNormal" w:hAnsi="BVGNormal"/>
                <w:sz w:val="20"/>
              </w:rPr>
              <w:t xml:space="preserve">The control panel layout is currently being adapted. Measures must be completed by the end of 2018. </w:t>
            </w:r>
          </w:p>
        </w:tc>
        <w:tc>
          <w:tcPr>
            <w:tcW w:w="2353" w:type="dxa"/>
          </w:tcPr>
          <w:p w:rsidR="00715F0E" w:rsidRPr="00E526BD" w:rsidP="00196D87">
            <w:pPr>
              <w:pStyle w:val="StandardText"/>
              <w:spacing w:line="240" w:lineRule="auto"/>
              <w:rPr>
                <w:rFonts w:ascii="BVGNormal" w:hAnsi="BVGNormal" w:cs="BVGNormal"/>
                <w:sz w:val="20"/>
                <w:szCs w:val="20"/>
              </w:rPr>
            </w:pPr>
            <w:r w:rsidRPr="00E526BD">
              <w:rPr>
                <w:rFonts w:ascii="BVGNormal" w:hAnsi="BVGNormal"/>
                <w:sz w:val="20"/>
              </w:rPr>
              <w:t>The procedure has thus been closed. The German Feder</w:t>
            </w:r>
            <w:r w:rsidRPr="00E526BD">
              <w:rPr>
                <w:rFonts w:ascii="BVGNormal" w:hAnsi="BVGNormal"/>
                <w:sz w:val="20"/>
              </w:rPr>
              <w:t>al Railways Authority will monitor implementation.</w:t>
            </w:r>
          </w:p>
        </w:tc>
      </w:tr>
      <w:tr w:rsidTr="001373C6">
        <w:tblPrEx>
          <w:tblW w:w="0" w:type="auto"/>
          <w:tblLook w:val="04A0"/>
        </w:tblPrEx>
        <w:tc>
          <w:tcPr>
            <w:tcW w:w="9265" w:type="dxa"/>
            <w:gridSpan w:val="3"/>
            <w:vAlign w:val="center"/>
          </w:tcPr>
          <w:p w:rsidR="005E4DB8" w:rsidRPr="00E526BD" w:rsidP="001373C6">
            <w:pPr>
              <w:pStyle w:val="StandardText"/>
              <w:spacing w:before="240" w:line="240" w:lineRule="auto"/>
              <w:jc w:val="center"/>
              <w:rPr>
                <w:rFonts w:ascii="BVGNormal" w:hAnsi="BVGNormal" w:cs="BVGNormal"/>
                <w:b/>
                <w:sz w:val="20"/>
                <w:szCs w:val="20"/>
              </w:rPr>
            </w:pPr>
            <w:r w:rsidRPr="00E526BD">
              <w:rPr>
                <w:rFonts w:ascii="BVGNormal" w:hAnsi="BVGNormal"/>
                <w:b/>
                <w:sz w:val="20"/>
              </w:rPr>
              <w:t xml:space="preserve">Event: Impermissible entry to an occupied section of track 01.02.2017 </w:t>
            </w:r>
            <w:r w:rsidRPr="00E526BD">
              <w:rPr>
                <w:rFonts w:ascii="BVGNormal" w:hAnsi="BVGNormal"/>
                <w:b/>
                <w:sz w:val="20"/>
              </w:rPr>
              <w:t>Gruiten</w:t>
            </w:r>
            <w:r w:rsidRPr="00E526BD">
              <w:rPr>
                <w:rFonts w:ascii="BVGNormal" w:hAnsi="BVGNormal"/>
                <w:b/>
                <w:sz w:val="20"/>
              </w:rPr>
              <w:t>.</w:t>
            </w:r>
          </w:p>
        </w:tc>
      </w:tr>
      <w:tr w:rsidTr="001373C6">
        <w:tblPrEx>
          <w:tblW w:w="0" w:type="auto"/>
          <w:tblLook w:val="04A0"/>
        </w:tblPrEx>
        <w:tc>
          <w:tcPr>
            <w:tcW w:w="3276" w:type="dxa"/>
          </w:tcPr>
          <w:p w:rsidR="005E4DB8" w:rsidRPr="00E526BD" w:rsidP="001373C6">
            <w:pPr>
              <w:pStyle w:val="StandardText"/>
              <w:rPr>
                <w:rFonts w:ascii="BVGNormal" w:hAnsi="BVGNormal" w:cs="BVGNormal"/>
                <w:sz w:val="20"/>
                <w:szCs w:val="20"/>
              </w:rPr>
            </w:pPr>
            <w:r w:rsidRPr="00E526BD">
              <w:rPr>
                <w:rFonts w:ascii="BVGNormal" w:hAnsi="BVGNormal"/>
                <w:sz w:val="20"/>
              </w:rPr>
              <w:t xml:space="preserve">The safety authorities must check the DB </w:t>
            </w:r>
            <w:r w:rsidRPr="00E526BD">
              <w:rPr>
                <w:rFonts w:ascii="BVGNormal" w:hAnsi="BVGNormal"/>
                <w:sz w:val="20"/>
              </w:rPr>
              <w:t>Netz</w:t>
            </w:r>
            <w:r w:rsidRPr="00E526BD">
              <w:rPr>
                <w:rFonts w:ascii="BVGNormal" w:hAnsi="BVGNormal"/>
                <w:sz w:val="20"/>
              </w:rPr>
              <w:t xml:space="preserve"> AG rules for “</w:t>
            </w:r>
            <w:r w:rsidRPr="00E526BD">
              <w:rPr>
                <w:rFonts w:ascii="BVGNormal" w:hAnsi="BVGNormal"/>
                <w:sz w:val="20"/>
              </w:rPr>
              <w:t>Abschnittsprüfung</w:t>
            </w:r>
            <w:r w:rsidRPr="00E526BD">
              <w:rPr>
                <w:rFonts w:ascii="BVGNormal" w:hAnsi="BVGNormal"/>
                <w:sz w:val="20"/>
              </w:rPr>
              <w:t xml:space="preserve">” (section inspection) for safety in use and, </w:t>
            </w:r>
            <w:r w:rsidRPr="00E526BD">
              <w:rPr>
                <w:rFonts w:ascii="BVGNormal" w:hAnsi="BVGNormal"/>
                <w:sz w:val="20"/>
              </w:rPr>
              <w:t>if necessary work toward changes which exclude any erroneous interpretation by the user as far as possible.</w:t>
            </w:r>
          </w:p>
        </w:tc>
        <w:tc>
          <w:tcPr>
            <w:tcW w:w="3636" w:type="dxa"/>
          </w:tcPr>
          <w:p w:rsidR="007A15BC" w:rsidRPr="00E526BD" w:rsidP="007A15BC">
            <w:pPr>
              <w:pStyle w:val="StandardText"/>
              <w:rPr>
                <w:rFonts w:ascii="BVGNormal" w:hAnsi="BVGNormal" w:cs="BVGNormal"/>
                <w:sz w:val="20"/>
                <w:szCs w:val="20"/>
              </w:rPr>
            </w:pPr>
            <w:r w:rsidRPr="00E526BD">
              <w:rPr>
                <w:rFonts w:ascii="BVGNormal" w:hAnsi="BVGNormal"/>
                <w:sz w:val="20"/>
              </w:rPr>
              <w:t>Even before the accident report had been announced, the German Federal Railway Authority had addressed the need for action to improve internal proce</w:t>
            </w:r>
            <w:r w:rsidRPr="00E526BD">
              <w:rPr>
                <w:rFonts w:ascii="BVGNormal" w:hAnsi="BVGNormal"/>
                <w:sz w:val="20"/>
              </w:rPr>
              <w:t>sses and make working instructions clearer. This measure is to be addressed over the long term.</w:t>
            </w:r>
          </w:p>
          <w:p w:rsidR="005E4DB8" w:rsidRPr="00E526BD" w:rsidP="00117076">
            <w:pPr>
              <w:pStyle w:val="StandardText"/>
              <w:rPr>
                <w:rFonts w:ascii="BVGNormal" w:hAnsi="BVGNormal" w:cs="BVGNormal"/>
                <w:sz w:val="20"/>
                <w:szCs w:val="20"/>
              </w:rPr>
            </w:pPr>
            <w:r w:rsidRPr="00E526BD">
              <w:rPr>
                <w:rFonts w:ascii="BVGNormal" w:hAnsi="BVGNormal"/>
                <w:sz w:val="20"/>
              </w:rPr>
              <w:t>At the end of 2017, the company had already arranged its own amendments to the operational procedures concerned for signalmen/women. The EBA will supervise impl</w:t>
            </w:r>
            <w:r w:rsidRPr="00E526BD">
              <w:rPr>
                <w:rFonts w:ascii="BVGNormal" w:hAnsi="BVGNormal"/>
                <w:sz w:val="20"/>
              </w:rPr>
              <w:t>ementation.</w:t>
            </w:r>
          </w:p>
        </w:tc>
        <w:tc>
          <w:tcPr>
            <w:tcW w:w="2353" w:type="dxa"/>
          </w:tcPr>
          <w:p w:rsidR="005E4DB8" w:rsidRPr="00E526BD" w:rsidP="001373C6">
            <w:pPr>
              <w:pStyle w:val="StandardText"/>
              <w:spacing w:line="240" w:lineRule="auto"/>
              <w:rPr>
                <w:rFonts w:ascii="BVGNormal" w:hAnsi="BVGNormal" w:cs="BVGNormal"/>
                <w:sz w:val="20"/>
                <w:szCs w:val="20"/>
              </w:rPr>
            </w:pPr>
            <w:r w:rsidRPr="00E526BD">
              <w:rPr>
                <w:rFonts w:ascii="BVGNormal" w:hAnsi="BVGNormal"/>
                <w:sz w:val="20"/>
              </w:rPr>
              <w:t>The procedure has not yet been concluded.</w:t>
            </w:r>
          </w:p>
        </w:tc>
      </w:tr>
      <w:tr w:rsidTr="001373C6">
        <w:tblPrEx>
          <w:tblW w:w="0" w:type="auto"/>
          <w:tblLook w:val="04A0"/>
        </w:tblPrEx>
        <w:tc>
          <w:tcPr>
            <w:tcW w:w="9265" w:type="dxa"/>
            <w:gridSpan w:val="3"/>
            <w:vAlign w:val="center"/>
          </w:tcPr>
          <w:p w:rsidR="005E4DB8" w:rsidRPr="00E526BD" w:rsidP="001373C6">
            <w:pPr>
              <w:pStyle w:val="StandardText"/>
              <w:spacing w:before="240" w:line="240" w:lineRule="auto"/>
              <w:jc w:val="center"/>
              <w:rPr>
                <w:rFonts w:ascii="BVGNormal" w:hAnsi="BVGNormal" w:cs="BVGNormal"/>
                <w:b/>
                <w:sz w:val="20"/>
                <w:szCs w:val="20"/>
              </w:rPr>
            </w:pPr>
            <w:r w:rsidRPr="00E526BD">
              <w:rPr>
                <w:rFonts w:ascii="BVGNormal" w:hAnsi="BVGNormal"/>
                <w:b/>
                <w:sz w:val="20"/>
              </w:rPr>
              <w:t>Event: Derailment 11-09.2015 Duisburg-</w:t>
            </w:r>
            <w:r w:rsidRPr="00E526BD">
              <w:rPr>
                <w:rFonts w:ascii="BVGNormal" w:hAnsi="BVGNormal"/>
                <w:b/>
                <w:sz w:val="20"/>
              </w:rPr>
              <w:t>Wedau</w:t>
            </w:r>
            <w:r w:rsidRPr="00E526BD">
              <w:rPr>
                <w:rFonts w:ascii="BVGNormal" w:hAnsi="BVGNormal"/>
                <w:b/>
                <w:sz w:val="20"/>
              </w:rPr>
              <w:t>-</w:t>
            </w:r>
            <w:r w:rsidRPr="00E526BD">
              <w:rPr>
                <w:rFonts w:ascii="BVGNormal" w:hAnsi="BVGNormal"/>
                <w:b/>
                <w:sz w:val="20"/>
              </w:rPr>
              <w:t>Lintorf</w:t>
            </w:r>
          </w:p>
        </w:tc>
      </w:tr>
      <w:tr w:rsidTr="001373C6">
        <w:tblPrEx>
          <w:tblW w:w="0" w:type="auto"/>
          <w:tblLook w:val="04A0"/>
        </w:tblPrEx>
        <w:tc>
          <w:tcPr>
            <w:tcW w:w="3276" w:type="dxa"/>
          </w:tcPr>
          <w:p w:rsidR="005E4DB8" w:rsidRPr="00E526BD" w:rsidP="004B621D">
            <w:pPr>
              <w:pStyle w:val="StandardText"/>
              <w:numPr>
                <w:ilvl w:val="0"/>
                <w:numId w:val="41"/>
              </w:numPr>
              <w:ind w:left="426"/>
              <w:rPr>
                <w:rFonts w:ascii="BVGNormal" w:hAnsi="BVGNormal" w:cs="BVGNormal"/>
                <w:sz w:val="20"/>
                <w:szCs w:val="20"/>
              </w:rPr>
            </w:pPr>
            <w:r w:rsidRPr="00E526BD">
              <w:rPr>
                <w:rFonts w:ascii="BVGNormal" w:hAnsi="BVGNormal"/>
                <w:sz w:val="20"/>
              </w:rPr>
              <w:t>In the context of regular further training and supervision, or by other suitable means the train driver must be made to comply closely with the rules relating to irregularities with vehicles and cargo and imminent danger. With regard to the train driver re</w:t>
            </w:r>
            <w:r w:rsidRPr="00E526BD">
              <w:rPr>
                <w:rFonts w:ascii="BVGNormal" w:hAnsi="BVGNormal"/>
                <w:sz w:val="20"/>
              </w:rPr>
              <w:t>cognising and repairing defective rail wagons, efforts must be made to considerably improve workmanship. The train driver must be made particularly aware of the importance of these activities, because unrecognised defects on vehicles almost inevitably lead</w:t>
            </w:r>
            <w:r w:rsidRPr="00E526BD">
              <w:rPr>
                <w:rFonts w:ascii="BVGNormal" w:hAnsi="BVGNormal"/>
                <w:sz w:val="20"/>
              </w:rPr>
              <w:t xml:space="preserve"> to serious accidents, since failsafe devices are often lacking.</w:t>
            </w:r>
          </w:p>
        </w:tc>
        <w:tc>
          <w:tcPr>
            <w:tcW w:w="3636" w:type="dxa"/>
          </w:tcPr>
          <w:p w:rsidR="005E4DB8" w:rsidRPr="00E526BD" w:rsidP="00823BC0">
            <w:pPr>
              <w:pStyle w:val="StandardText"/>
              <w:rPr>
                <w:rFonts w:ascii="BVGNormal" w:hAnsi="BVGNormal" w:cs="BVGNormal"/>
                <w:sz w:val="20"/>
                <w:szCs w:val="20"/>
              </w:rPr>
            </w:pPr>
            <w:r w:rsidRPr="00E526BD">
              <w:rPr>
                <w:rFonts w:ascii="BVGNormal" w:hAnsi="BVGNormal"/>
                <w:sz w:val="20"/>
              </w:rPr>
              <w:t>The German Federal Railway Authority will monitor whether implementation has taken place in the context of regular further training.</w:t>
            </w:r>
          </w:p>
        </w:tc>
        <w:tc>
          <w:tcPr>
            <w:tcW w:w="2353" w:type="dxa"/>
          </w:tcPr>
          <w:p w:rsidR="005E4DB8" w:rsidRPr="00E526BD" w:rsidP="001373C6">
            <w:pPr>
              <w:pStyle w:val="StandardText"/>
              <w:spacing w:line="240" w:lineRule="auto"/>
              <w:rPr>
                <w:rFonts w:ascii="BVGNormal" w:hAnsi="BVGNormal" w:cs="BVGNormal"/>
                <w:sz w:val="20"/>
                <w:szCs w:val="20"/>
              </w:rPr>
            </w:pPr>
            <w:r w:rsidRPr="00E526BD">
              <w:rPr>
                <w:rFonts w:ascii="BVGNormal" w:hAnsi="BVGNormal"/>
                <w:sz w:val="20"/>
              </w:rPr>
              <w:t>The procedure has not yet been concluded.</w:t>
            </w:r>
          </w:p>
        </w:tc>
      </w:tr>
      <w:tr w:rsidTr="001373C6">
        <w:tblPrEx>
          <w:tblW w:w="0" w:type="auto"/>
          <w:tblLook w:val="04A0"/>
        </w:tblPrEx>
        <w:tc>
          <w:tcPr>
            <w:tcW w:w="3276" w:type="dxa"/>
          </w:tcPr>
          <w:p w:rsidR="005E4DB8" w:rsidRPr="00E526BD" w:rsidP="005E4DB8">
            <w:pPr>
              <w:pStyle w:val="StandardText"/>
              <w:numPr>
                <w:ilvl w:val="0"/>
                <w:numId w:val="41"/>
              </w:numPr>
              <w:ind w:left="426"/>
              <w:rPr>
                <w:rFonts w:ascii="BVGNormal" w:hAnsi="BVGNormal" w:cs="BVGNormal"/>
                <w:sz w:val="20"/>
                <w:szCs w:val="20"/>
              </w:rPr>
            </w:pPr>
            <w:r w:rsidRPr="00E526BD">
              <w:rPr>
                <w:rFonts w:ascii="BVGNormal" w:hAnsi="BVGNormal"/>
                <w:sz w:val="20"/>
              </w:rPr>
              <w:t>Quality control</w:t>
            </w:r>
            <w:r w:rsidRPr="00E526BD">
              <w:rPr>
                <w:rFonts w:ascii="BVGNormal" w:hAnsi="BVGNormal"/>
                <w:sz w:val="20"/>
              </w:rPr>
              <w:t xml:space="preserve"> for maintenance is to be optimised if necessary, in accordance with support process U7.2.4.2. It is to be ensured that only staff with the necessary qualifications will be deployed for diagnostic inspections of wheelset axles and instructions from DB </w:t>
            </w:r>
            <w:r w:rsidRPr="00E526BD">
              <w:rPr>
                <w:rFonts w:ascii="BVGNormal" w:hAnsi="BVGNormal"/>
                <w:sz w:val="20"/>
              </w:rPr>
              <w:t>Sche</w:t>
            </w:r>
            <w:r w:rsidRPr="00E526BD">
              <w:rPr>
                <w:rFonts w:ascii="BVGNormal" w:hAnsi="BVGNormal"/>
                <w:sz w:val="20"/>
              </w:rPr>
              <w:t>nker</w:t>
            </w:r>
            <w:r w:rsidRPr="00E526BD">
              <w:rPr>
                <w:rFonts w:ascii="BVGNormal" w:hAnsi="BVGNormal"/>
                <w:sz w:val="20"/>
              </w:rPr>
              <w:t xml:space="preserve"> Rail AG IW-</w:t>
            </w:r>
            <w:r w:rsidRPr="00E526BD">
              <w:rPr>
                <w:rFonts w:ascii="BVGNormal" w:hAnsi="BVGNormal"/>
                <w:sz w:val="20"/>
              </w:rPr>
              <w:t>C(</w:t>
            </w:r>
            <w:r w:rsidRPr="00E526BD">
              <w:rPr>
                <w:rFonts w:ascii="BVGNormal" w:hAnsi="BVGNormal"/>
                <w:sz w:val="20"/>
              </w:rPr>
              <w:t>W)2014/10 are to be strictly adhered to.</w:t>
            </w:r>
          </w:p>
        </w:tc>
        <w:tc>
          <w:tcPr>
            <w:tcW w:w="3636" w:type="dxa"/>
          </w:tcPr>
          <w:p w:rsidR="005E4DB8" w:rsidRPr="00E526BD" w:rsidP="005E4DB8">
            <w:pPr>
              <w:pStyle w:val="StandardText"/>
              <w:rPr>
                <w:rFonts w:ascii="BVGNormal" w:hAnsi="BVGNormal" w:cs="BVGNormal"/>
                <w:sz w:val="20"/>
                <w:szCs w:val="20"/>
              </w:rPr>
            </w:pPr>
            <w:r w:rsidRPr="00E526BD">
              <w:rPr>
                <w:rFonts w:ascii="BVGNormal" w:hAnsi="BVGNormal"/>
                <w:sz w:val="20"/>
              </w:rPr>
              <w:t>After the safety recommendations in December 2017, the German Federal Railway Authority discussed the circumstances with the railway undertaking. The main issue for the safety recommendations was a</w:t>
            </w:r>
            <w:r w:rsidRPr="00E526BD">
              <w:rPr>
                <w:rFonts w:ascii="BVGNormal" w:hAnsi="BVGNormal"/>
                <w:sz w:val="20"/>
              </w:rPr>
              <w:t xml:space="preserve"> report from RWTH Aachen of which the Federal Railway Authority was not aware and the assumption that the extensive loss of lubricant which had already been noticed in March 2015, had not resulted in the wheelset axle being replaced. Subsequent verificatio</w:t>
            </w:r>
            <w:r w:rsidRPr="00E526BD">
              <w:rPr>
                <w:rFonts w:ascii="BVGNormal" w:hAnsi="BVGNormal"/>
                <w:sz w:val="20"/>
              </w:rPr>
              <w:t>n of the facts found deficiencies in the exchange of information between the railway undertakings concerned. Not all required information and maintenance certificates of the wheel set axle inspection carried out in March had been provided, which then led t</w:t>
            </w:r>
            <w:r w:rsidRPr="00E526BD">
              <w:rPr>
                <w:rFonts w:ascii="BVGNormal" w:hAnsi="BVGNormal"/>
                <w:sz w:val="20"/>
              </w:rPr>
              <w:t>o an incorrect description of its actual condition. Although there is no doubt that the derailment is to be traced back to extensive loss of lubricant, it is unlikely that the lubricant had been leaking since as far back as March 2015 – and thus some six m</w:t>
            </w:r>
            <w:r w:rsidRPr="00E526BD">
              <w:rPr>
                <w:rFonts w:ascii="BVGNormal" w:hAnsi="BVGNormal"/>
                <w:sz w:val="20"/>
              </w:rPr>
              <w:t>onths before the incident.</w:t>
            </w:r>
          </w:p>
          <w:p w:rsidR="005E4DB8" w:rsidRPr="00E526BD" w:rsidP="005E4DB8">
            <w:pPr>
              <w:pStyle w:val="StandardText"/>
              <w:rPr>
                <w:rFonts w:ascii="BVGNormal" w:hAnsi="BVGNormal" w:cs="BVGNormal"/>
                <w:sz w:val="20"/>
                <w:szCs w:val="20"/>
              </w:rPr>
            </w:pPr>
            <w:r w:rsidRPr="00E526BD">
              <w:rPr>
                <w:rFonts w:ascii="BVGNormal" w:hAnsi="BVGNormal"/>
                <w:sz w:val="20"/>
              </w:rPr>
              <w:t xml:space="preserve">The instruction described has been integrated into the maintenance regulations currently in force. </w:t>
            </w:r>
          </w:p>
        </w:tc>
        <w:tc>
          <w:tcPr>
            <w:tcW w:w="2353" w:type="dxa"/>
          </w:tcPr>
          <w:p w:rsidR="005E4DB8" w:rsidRPr="00E526BD" w:rsidP="001373C6">
            <w:pPr>
              <w:pStyle w:val="StandardText"/>
              <w:spacing w:line="240" w:lineRule="auto"/>
              <w:rPr>
                <w:rFonts w:ascii="BVGNormal" w:hAnsi="BVGNormal" w:cs="BVGNormal"/>
                <w:sz w:val="20"/>
                <w:szCs w:val="20"/>
              </w:rPr>
            </w:pPr>
            <w:r w:rsidRPr="00E526BD">
              <w:rPr>
                <w:rFonts w:ascii="BVGNormal" w:hAnsi="BVGNormal"/>
                <w:sz w:val="20"/>
              </w:rPr>
              <w:t>The procedure has been closed.</w:t>
            </w:r>
          </w:p>
        </w:tc>
      </w:tr>
      <w:tr w:rsidTr="001373C6">
        <w:tblPrEx>
          <w:tblW w:w="0" w:type="auto"/>
          <w:tblLook w:val="04A0"/>
        </w:tblPrEx>
        <w:tc>
          <w:tcPr>
            <w:tcW w:w="3276" w:type="dxa"/>
          </w:tcPr>
          <w:p w:rsidR="005E4DB8" w:rsidRPr="00E526BD" w:rsidP="005E4DB8">
            <w:pPr>
              <w:pStyle w:val="StandardText"/>
              <w:numPr>
                <w:ilvl w:val="0"/>
                <w:numId w:val="41"/>
              </w:numPr>
              <w:ind w:left="426"/>
              <w:rPr>
                <w:rFonts w:ascii="BVGNormal" w:hAnsi="BVGNormal" w:cs="BVGNormal"/>
                <w:sz w:val="20"/>
                <w:szCs w:val="20"/>
              </w:rPr>
            </w:pPr>
            <w:r w:rsidRPr="00E526BD">
              <w:rPr>
                <w:rFonts w:ascii="BVGNormal" w:hAnsi="BVGNormal"/>
                <w:sz w:val="20"/>
              </w:rPr>
              <w:t xml:space="preserve">The </w:t>
            </w:r>
            <w:r w:rsidRPr="00E526BD">
              <w:rPr>
                <w:rFonts w:ascii="BVGNormal" w:hAnsi="BVGNormal"/>
                <w:sz w:val="20"/>
              </w:rPr>
              <w:t>movements</w:t>
            </w:r>
            <w:r w:rsidRPr="00E526BD">
              <w:rPr>
                <w:rFonts w:ascii="BVGNormal" w:hAnsi="BVGNormal"/>
                <w:sz w:val="20"/>
              </w:rPr>
              <w:t xml:space="preserve"> controller must be made to comply closely with rules 408.0553 und 408.0581 through </w:t>
            </w:r>
            <w:r w:rsidRPr="00E526BD">
              <w:rPr>
                <w:rFonts w:ascii="BVGNormal" w:hAnsi="BVGNormal"/>
                <w:sz w:val="20"/>
              </w:rPr>
              <w:t>regular further training and monitoring.</w:t>
            </w:r>
          </w:p>
        </w:tc>
        <w:tc>
          <w:tcPr>
            <w:tcW w:w="3636" w:type="dxa"/>
          </w:tcPr>
          <w:p w:rsidR="005E4DB8" w:rsidRPr="00E526BD" w:rsidP="005E4DB8">
            <w:pPr>
              <w:pStyle w:val="StandardText"/>
              <w:rPr>
                <w:rFonts w:ascii="BVGNormal" w:hAnsi="BVGNormal" w:cs="BVGNormal"/>
                <w:sz w:val="20"/>
                <w:szCs w:val="20"/>
              </w:rPr>
            </w:pPr>
            <w:r w:rsidRPr="00E526BD">
              <w:rPr>
                <w:rFonts w:ascii="BVGNormal" w:hAnsi="BVGNormal"/>
                <w:sz w:val="20"/>
              </w:rPr>
              <w:t xml:space="preserve">The German Federal Railway Authority will monitor whether implementation has taken place in the context of regular further training. </w:t>
            </w:r>
          </w:p>
        </w:tc>
        <w:tc>
          <w:tcPr>
            <w:tcW w:w="2353" w:type="dxa"/>
          </w:tcPr>
          <w:p w:rsidR="005E4DB8" w:rsidRPr="00E526BD" w:rsidP="001373C6">
            <w:pPr>
              <w:pStyle w:val="StandardText"/>
              <w:spacing w:line="240" w:lineRule="auto"/>
              <w:rPr>
                <w:rFonts w:ascii="BVGNormal" w:hAnsi="BVGNormal" w:cs="BVGNormal"/>
                <w:sz w:val="20"/>
                <w:szCs w:val="20"/>
              </w:rPr>
            </w:pPr>
            <w:r w:rsidRPr="00E526BD">
              <w:rPr>
                <w:rFonts w:ascii="BVGNormal" w:hAnsi="BVGNormal"/>
                <w:sz w:val="20"/>
              </w:rPr>
              <w:t>The procedure has not yet been concluded.</w:t>
            </w:r>
          </w:p>
        </w:tc>
      </w:tr>
    </w:tbl>
    <w:p w:rsidR="00C379BA" w:rsidRPr="00E526BD" w:rsidP="005C78AA">
      <w:pPr>
        <w:pStyle w:val="StandardText"/>
        <w:spacing w:after="0" w:line="240" w:lineRule="auto"/>
        <w:rPr>
          <w:rFonts w:ascii="BVGNormal" w:hAnsi="BVGNormal" w:cs="BVGNormal"/>
        </w:rPr>
      </w:pPr>
    </w:p>
    <w:p w:rsidR="005C78AA" w:rsidRPr="00E526BD" w:rsidP="005C78AA">
      <w:pPr>
        <w:pStyle w:val="StandardText"/>
        <w:spacing w:after="0" w:line="240" w:lineRule="auto"/>
        <w:rPr>
          <w:rFonts w:ascii="BVGNormal" w:hAnsi="BVGNormal" w:cs="BVGNormal"/>
        </w:rPr>
      </w:pPr>
    </w:p>
    <w:p w:rsidR="00752D6F" w:rsidRPr="00E526BD">
      <w:pPr>
        <w:rPr>
          <w:rFonts w:ascii="BVGNormal" w:hAnsi="BVGNormal" w:cs="BVGNormal"/>
          <w:i/>
        </w:rPr>
      </w:pPr>
    </w:p>
    <w:p w:rsidR="00B11856" w:rsidRPr="00E526BD" w:rsidP="00E271DF">
      <w:pPr>
        <w:pStyle w:val="Heading3"/>
        <w:spacing w:before="0" w:after="0"/>
        <w:rPr>
          <w:b w:val="0"/>
          <w:i/>
          <w:sz w:val="24"/>
          <w:szCs w:val="24"/>
        </w:rPr>
      </w:pPr>
      <w:r w:rsidRPr="00E526BD">
        <w:rPr>
          <w:b w:val="0"/>
          <w:i/>
          <w:sz w:val="24"/>
        </w:rPr>
        <w:t xml:space="preserve">Table 2: Safety recommendations </w:t>
      </w:r>
      <w:r w:rsidRPr="00E526BD">
        <w:rPr>
          <w:b w:val="0"/>
          <w:i/>
          <w:sz w:val="24"/>
        </w:rPr>
        <w:t>from previous years where no changes have occurred in the reporting year</w:t>
      </w:r>
    </w:p>
    <w:tbl>
      <w:tblPr>
        <w:tblStyle w:val="TableGrid"/>
        <w:tblW w:w="0" w:type="auto"/>
        <w:tblLook w:val="04A0"/>
      </w:tblPr>
      <w:tblGrid>
        <w:gridCol w:w="3311"/>
        <w:gridCol w:w="3560"/>
        <w:gridCol w:w="2349"/>
      </w:tblGrid>
      <w:tr w:rsidTr="00823BC0">
        <w:tblPrEx>
          <w:tblW w:w="0" w:type="auto"/>
          <w:tblLook w:val="04A0"/>
        </w:tblPrEx>
        <w:tc>
          <w:tcPr>
            <w:tcW w:w="3326" w:type="dxa"/>
            <w:vAlign w:val="center"/>
          </w:tcPr>
          <w:p w:rsidR="00196D87" w:rsidRPr="00E526BD" w:rsidP="00196D87">
            <w:pPr>
              <w:pStyle w:val="StandardText"/>
              <w:spacing w:before="240" w:line="240" w:lineRule="auto"/>
              <w:jc w:val="center"/>
              <w:rPr>
                <w:rFonts w:ascii="BVGNormal" w:hAnsi="BVGNormal" w:cs="BVGNormal"/>
                <w:b/>
              </w:rPr>
            </w:pPr>
            <w:r w:rsidRPr="00E526BD">
              <w:rPr>
                <w:rFonts w:ascii="BVGNormal" w:hAnsi="BVGNormal"/>
                <w:b/>
              </w:rPr>
              <w:t>Safety recommendation</w:t>
            </w:r>
          </w:p>
        </w:tc>
        <w:tc>
          <w:tcPr>
            <w:tcW w:w="3586" w:type="dxa"/>
            <w:vAlign w:val="center"/>
          </w:tcPr>
          <w:p w:rsidR="00196D87" w:rsidRPr="00E526BD" w:rsidP="00196D87">
            <w:pPr>
              <w:pStyle w:val="StandardText"/>
              <w:spacing w:before="240" w:line="240" w:lineRule="auto"/>
              <w:jc w:val="center"/>
              <w:rPr>
                <w:rFonts w:ascii="BVGNormal" w:hAnsi="BVGNormal" w:cs="BVGNormal"/>
                <w:b/>
              </w:rPr>
            </w:pPr>
            <w:r w:rsidRPr="00E526BD">
              <w:rPr>
                <w:rFonts w:ascii="BVGNormal" w:hAnsi="BVGNormal"/>
                <w:b/>
              </w:rPr>
              <w:t>Safety measure</w:t>
            </w:r>
          </w:p>
        </w:tc>
        <w:tc>
          <w:tcPr>
            <w:tcW w:w="2353" w:type="dxa"/>
            <w:vAlign w:val="center"/>
          </w:tcPr>
          <w:p w:rsidR="00196D87" w:rsidRPr="00E526BD" w:rsidP="00196D87">
            <w:pPr>
              <w:pStyle w:val="StandardText"/>
              <w:spacing w:before="240" w:line="240" w:lineRule="auto"/>
              <w:jc w:val="center"/>
              <w:rPr>
                <w:rFonts w:ascii="BVGNormal" w:hAnsi="BVGNormal" w:cs="BVGNormal"/>
                <w:b/>
              </w:rPr>
            </w:pPr>
            <w:r w:rsidRPr="00E526BD">
              <w:rPr>
                <w:rFonts w:ascii="BVGNormal" w:hAnsi="BVGNormal"/>
                <w:b/>
              </w:rPr>
              <w:t>Implementation status</w:t>
            </w:r>
          </w:p>
        </w:tc>
      </w:tr>
      <w:tr w:rsidTr="00CF340B">
        <w:tblPrEx>
          <w:tblW w:w="0" w:type="auto"/>
          <w:tblLook w:val="04A0"/>
        </w:tblPrEx>
        <w:tc>
          <w:tcPr>
            <w:tcW w:w="9265" w:type="dxa"/>
            <w:gridSpan w:val="3"/>
            <w:vAlign w:val="center"/>
          </w:tcPr>
          <w:p w:rsidR="00470F9A" w:rsidRPr="00E526BD" w:rsidP="00D064AA">
            <w:pPr>
              <w:pStyle w:val="StandardText"/>
              <w:spacing w:before="240" w:line="240" w:lineRule="auto"/>
              <w:jc w:val="center"/>
              <w:rPr>
                <w:rFonts w:ascii="BVGNormal" w:hAnsi="BVGNormal" w:cs="BVGNormal"/>
                <w:b/>
                <w:sz w:val="20"/>
                <w:szCs w:val="20"/>
              </w:rPr>
            </w:pPr>
            <w:r w:rsidRPr="00E526BD">
              <w:rPr>
                <w:rFonts w:ascii="BVGNormal" w:hAnsi="BVGNormal"/>
                <w:b/>
                <w:sz w:val="20"/>
              </w:rPr>
              <w:t>Event: Vehicle fire at Wilhelmshaven on 25 April 2015</w:t>
            </w:r>
          </w:p>
        </w:tc>
      </w:tr>
      <w:tr w:rsidTr="00823BC0">
        <w:tblPrEx>
          <w:tblW w:w="0" w:type="auto"/>
          <w:tblLook w:val="04A0"/>
        </w:tblPrEx>
        <w:tc>
          <w:tcPr>
            <w:tcW w:w="3326" w:type="dxa"/>
          </w:tcPr>
          <w:p w:rsidR="00265B16" w:rsidRPr="00E526BD" w:rsidP="00265B16">
            <w:pPr>
              <w:pStyle w:val="StandardText"/>
              <w:numPr>
                <w:ilvl w:val="0"/>
                <w:numId w:val="36"/>
              </w:numPr>
              <w:spacing w:after="0" w:line="240" w:lineRule="auto"/>
              <w:ind w:left="426"/>
              <w:rPr>
                <w:rFonts w:ascii="BVGNormal" w:hAnsi="BVGNormal" w:cs="BVGNormal"/>
                <w:sz w:val="20"/>
                <w:szCs w:val="20"/>
              </w:rPr>
            </w:pPr>
            <w:r w:rsidRPr="00E526BD">
              <w:rPr>
                <w:rFonts w:ascii="BVGNormal" w:hAnsi="BVGNormal"/>
                <w:sz w:val="20"/>
              </w:rPr>
              <w:t>Aimed at the engine manufacturer:</w:t>
            </w:r>
          </w:p>
          <w:p w:rsidR="00265B16" w:rsidRPr="00E526BD" w:rsidP="00265B16">
            <w:pPr>
              <w:pStyle w:val="StandardText"/>
              <w:numPr>
                <w:ilvl w:val="1"/>
                <w:numId w:val="36"/>
              </w:numPr>
              <w:spacing w:after="0" w:line="240" w:lineRule="auto"/>
              <w:ind w:left="709"/>
              <w:rPr>
                <w:rFonts w:ascii="BVGNormal" w:hAnsi="BVGNormal" w:cs="BVGNormal"/>
                <w:sz w:val="20"/>
                <w:szCs w:val="20"/>
              </w:rPr>
            </w:pPr>
            <w:r w:rsidRPr="00E526BD">
              <w:rPr>
                <w:rFonts w:ascii="BVGNormal" w:hAnsi="BVGNormal"/>
                <w:sz w:val="20"/>
              </w:rPr>
              <w:t xml:space="preserve">Stipulating the use of </w:t>
            </w:r>
            <w:r w:rsidRPr="00E526BD">
              <w:rPr>
                <w:rFonts w:ascii="BVGNormal" w:hAnsi="BVGNormal"/>
                <w:sz w:val="20"/>
              </w:rPr>
              <w:t>non-flammable and wear-resistant material for the diesel leakage pipe and defining a maximum length of use.</w:t>
            </w:r>
          </w:p>
          <w:p w:rsidR="00265B16" w:rsidRPr="00E526BD" w:rsidP="00265B16">
            <w:pPr>
              <w:pStyle w:val="StandardText"/>
              <w:numPr>
                <w:ilvl w:val="1"/>
                <w:numId w:val="36"/>
              </w:numPr>
              <w:spacing w:after="0" w:line="240" w:lineRule="auto"/>
              <w:ind w:left="709"/>
              <w:rPr>
                <w:rFonts w:ascii="BVGNormal" w:hAnsi="BVGNormal" w:cs="BVGNormal"/>
                <w:sz w:val="20"/>
                <w:szCs w:val="20"/>
              </w:rPr>
            </w:pPr>
            <w:r w:rsidRPr="00E526BD">
              <w:rPr>
                <w:rFonts w:ascii="BVGNormal" w:hAnsi="BVGNormal"/>
                <w:sz w:val="20"/>
              </w:rPr>
              <w:t>Carry out fire-prevention measures on the turbocharger and exhaust gas pipe.</w:t>
            </w:r>
          </w:p>
          <w:p w:rsidR="00470F9A" w:rsidRPr="00E526BD" w:rsidP="00265B16">
            <w:pPr>
              <w:pStyle w:val="StandardText"/>
              <w:numPr>
                <w:ilvl w:val="1"/>
                <w:numId w:val="36"/>
              </w:numPr>
              <w:spacing w:after="0" w:line="240" w:lineRule="auto"/>
              <w:ind w:left="709"/>
              <w:rPr>
                <w:rFonts w:ascii="BVGNormal" w:hAnsi="BVGNormal" w:cs="BVGNormal"/>
                <w:sz w:val="20"/>
                <w:szCs w:val="20"/>
              </w:rPr>
            </w:pPr>
            <w:r w:rsidRPr="00E526BD">
              <w:rPr>
                <w:rFonts w:ascii="BVGNormal" w:hAnsi="BVGNormal"/>
                <w:sz w:val="20"/>
              </w:rPr>
              <w:t>Perform structural adaptation of the fuel return.</w:t>
            </w:r>
          </w:p>
        </w:tc>
        <w:tc>
          <w:tcPr>
            <w:tcW w:w="3586" w:type="dxa"/>
          </w:tcPr>
          <w:p w:rsidR="00470F9A" w:rsidRPr="00E526BD" w:rsidP="00D064AA">
            <w:pPr>
              <w:pStyle w:val="StandardText"/>
              <w:rPr>
                <w:rFonts w:ascii="BVGNormal" w:hAnsi="BVGNormal" w:cs="BVGNormal"/>
                <w:sz w:val="20"/>
                <w:szCs w:val="20"/>
              </w:rPr>
            </w:pPr>
            <w:r w:rsidRPr="00E526BD">
              <w:rPr>
                <w:rFonts w:ascii="BVGNormal" w:hAnsi="BVGNormal"/>
                <w:sz w:val="20"/>
              </w:rPr>
              <w:t>No change compared to</w:t>
            </w:r>
            <w:r w:rsidRPr="00E526BD">
              <w:rPr>
                <w:rFonts w:ascii="BVGNormal" w:hAnsi="BVGNormal"/>
                <w:sz w:val="20"/>
              </w:rPr>
              <w:t xml:space="preserve"> the previous year.</w:t>
            </w:r>
          </w:p>
        </w:tc>
        <w:tc>
          <w:tcPr>
            <w:tcW w:w="2353" w:type="dxa"/>
          </w:tcPr>
          <w:p w:rsidR="00715F0E" w:rsidRPr="00E526BD" w:rsidP="00715F0E">
            <w:pPr>
              <w:pStyle w:val="StandardText"/>
              <w:rPr>
                <w:rFonts w:ascii="BVGNormal" w:hAnsi="BVGNormal" w:cs="BVGNormal"/>
                <w:sz w:val="20"/>
                <w:szCs w:val="20"/>
              </w:rPr>
            </w:pPr>
            <w:r w:rsidRPr="00E526BD">
              <w:rPr>
                <w:rFonts w:ascii="BVGNormal" w:hAnsi="BVGNormal"/>
                <w:sz w:val="20"/>
              </w:rPr>
              <w:t>The German Federal Railway Authority has extended the monitoring of the measures which the owners of the vehicles concerned had undertaken on the basis of this information to 2018. On doing so, findings from the reporting period 2017 we</w:t>
            </w:r>
            <w:r w:rsidRPr="00E526BD">
              <w:rPr>
                <w:rFonts w:ascii="BVGNormal" w:hAnsi="BVGNormal"/>
                <w:sz w:val="20"/>
              </w:rPr>
              <w:t>re taken into account.</w:t>
            </w:r>
          </w:p>
          <w:p w:rsidR="00470F9A" w:rsidRPr="00E526BD" w:rsidP="00715F0E">
            <w:pPr>
              <w:pStyle w:val="StandardText"/>
              <w:spacing w:line="240" w:lineRule="auto"/>
              <w:rPr>
                <w:rFonts w:ascii="BVGNormal" w:hAnsi="BVGNormal" w:cs="BVGNormal"/>
                <w:sz w:val="20"/>
                <w:szCs w:val="20"/>
              </w:rPr>
            </w:pPr>
            <w:r w:rsidRPr="00E526BD">
              <w:rPr>
                <w:rFonts w:ascii="BVGNormal" w:hAnsi="BVGNormal"/>
                <w:sz w:val="20"/>
              </w:rPr>
              <w:t>The procedure has not yet been concluded.</w:t>
            </w:r>
          </w:p>
        </w:tc>
      </w:tr>
      <w:tr w:rsidTr="00CF340B">
        <w:tblPrEx>
          <w:tblW w:w="0" w:type="auto"/>
          <w:tblLook w:val="04A0"/>
        </w:tblPrEx>
        <w:tc>
          <w:tcPr>
            <w:tcW w:w="9265" w:type="dxa"/>
            <w:gridSpan w:val="3"/>
            <w:vAlign w:val="center"/>
          </w:tcPr>
          <w:p w:rsidR="00470F9A" w:rsidRPr="00E526BD" w:rsidP="00CF340B">
            <w:pPr>
              <w:pStyle w:val="StandardText"/>
              <w:spacing w:before="240" w:line="240" w:lineRule="auto"/>
              <w:jc w:val="center"/>
              <w:rPr>
                <w:rFonts w:ascii="BVGNormal" w:hAnsi="BVGNormal" w:cs="BVGNormal"/>
                <w:b/>
                <w:sz w:val="20"/>
                <w:szCs w:val="20"/>
              </w:rPr>
            </w:pPr>
            <w:r w:rsidRPr="00E526BD">
              <w:rPr>
                <w:rFonts w:ascii="BVGNormal" w:hAnsi="BVGNormal"/>
                <w:b/>
                <w:sz w:val="20"/>
              </w:rPr>
              <w:t>Event: Train collision Gladbeck West 26.10.2013</w:t>
            </w:r>
          </w:p>
        </w:tc>
      </w:tr>
      <w:tr w:rsidTr="00823BC0">
        <w:tblPrEx>
          <w:tblW w:w="0" w:type="auto"/>
          <w:tblLook w:val="04A0"/>
        </w:tblPrEx>
        <w:tc>
          <w:tcPr>
            <w:tcW w:w="3326" w:type="dxa"/>
          </w:tcPr>
          <w:p w:rsidR="00470F9A" w:rsidRPr="00E526BD" w:rsidP="00C84446">
            <w:pPr>
              <w:pStyle w:val="StandardText"/>
              <w:numPr>
                <w:ilvl w:val="0"/>
                <w:numId w:val="42"/>
              </w:numPr>
              <w:spacing w:line="240" w:lineRule="auto"/>
              <w:ind w:left="426"/>
              <w:rPr>
                <w:rFonts w:ascii="BVGNormal" w:hAnsi="BVGNormal" w:cs="BVGNormal"/>
                <w:sz w:val="20"/>
                <w:szCs w:val="20"/>
              </w:rPr>
            </w:pPr>
            <w:r w:rsidRPr="00E526BD">
              <w:rPr>
                <w:rFonts w:ascii="BVGNormal" w:hAnsi="BVGNormal"/>
                <w:sz w:val="20"/>
              </w:rPr>
              <w:t xml:space="preserve">Minimising the current procedure 'Staff authorised to carry out brake tests on trains' to an absolutely necessary extent (emergency case, </w:t>
            </w:r>
            <w:r w:rsidRPr="00E526BD">
              <w:rPr>
                <w:rFonts w:ascii="BVGNormal" w:hAnsi="BVGNormal"/>
                <w:sz w:val="20"/>
              </w:rPr>
              <w:t>e.g. after failure during a train journey, which makes a brake test necessary)</w:t>
            </w:r>
          </w:p>
        </w:tc>
        <w:tc>
          <w:tcPr>
            <w:tcW w:w="3586" w:type="dxa"/>
          </w:tcPr>
          <w:p w:rsidR="00470F9A" w:rsidRPr="00E526BD" w:rsidP="00C84446">
            <w:pPr>
              <w:pStyle w:val="StandardText"/>
              <w:rPr>
                <w:rFonts w:ascii="BVGNormal" w:hAnsi="BVGNormal" w:cs="BVGNormal"/>
                <w:sz w:val="20"/>
                <w:szCs w:val="20"/>
              </w:rPr>
            </w:pPr>
            <w:r w:rsidRPr="00E526BD">
              <w:rPr>
                <w:rFonts w:ascii="BVGNormal" w:hAnsi="BVGNormal"/>
                <w:sz w:val="20"/>
              </w:rPr>
              <w:t xml:space="preserve">VDV Guideline 757 (Association of German Transport Undertakings) has been amended. </w:t>
            </w:r>
          </w:p>
        </w:tc>
        <w:tc>
          <w:tcPr>
            <w:tcW w:w="2353" w:type="dxa"/>
          </w:tcPr>
          <w:p w:rsidR="00470F9A" w:rsidRPr="00E526BD" w:rsidP="00C639CE">
            <w:pPr>
              <w:pStyle w:val="StandardText"/>
              <w:spacing w:line="240" w:lineRule="auto"/>
              <w:rPr>
                <w:rFonts w:ascii="BVGNormal" w:hAnsi="BVGNormal" w:cs="BVGNormal"/>
                <w:sz w:val="20"/>
                <w:szCs w:val="20"/>
              </w:rPr>
            </w:pPr>
            <w:r w:rsidRPr="00E526BD">
              <w:rPr>
                <w:rFonts w:ascii="BVGNormal" w:hAnsi="BVGNormal"/>
                <w:sz w:val="20"/>
              </w:rPr>
              <w:t>The procedure has been closed.</w:t>
            </w:r>
          </w:p>
        </w:tc>
      </w:tr>
      <w:tr w:rsidTr="001373C6">
        <w:tblPrEx>
          <w:tblW w:w="0" w:type="auto"/>
          <w:tblLook w:val="04A0"/>
        </w:tblPrEx>
        <w:tc>
          <w:tcPr>
            <w:tcW w:w="9265" w:type="dxa"/>
            <w:gridSpan w:val="3"/>
          </w:tcPr>
          <w:p w:rsidR="00554FCA" w:rsidRPr="00E526BD" w:rsidP="00E526BD">
            <w:pPr>
              <w:pStyle w:val="StandardText"/>
              <w:keepNext/>
              <w:spacing w:before="240" w:line="240" w:lineRule="auto"/>
              <w:jc w:val="center"/>
              <w:rPr>
                <w:rFonts w:ascii="BVGNormal" w:hAnsi="BVGNormal" w:cs="BVGNormal"/>
                <w:b/>
                <w:sz w:val="20"/>
                <w:szCs w:val="20"/>
              </w:rPr>
            </w:pPr>
            <w:r w:rsidRPr="00E526BD">
              <w:rPr>
                <w:rFonts w:ascii="BVGNormal" w:hAnsi="BVGNormal"/>
                <w:b/>
                <w:sz w:val="20"/>
              </w:rPr>
              <w:t>Event: Level crossing accident Düsseldorf-</w:t>
            </w:r>
            <w:r w:rsidRPr="00E526BD">
              <w:rPr>
                <w:rFonts w:ascii="BVGNormal" w:hAnsi="BVGNormal"/>
                <w:b/>
                <w:sz w:val="20"/>
              </w:rPr>
              <w:t>Rath</w:t>
            </w:r>
            <w:r w:rsidRPr="00E526BD">
              <w:rPr>
                <w:rFonts w:ascii="BVGNormal" w:hAnsi="BVGNormal"/>
                <w:b/>
                <w:sz w:val="20"/>
              </w:rPr>
              <w:t xml:space="preserve"> - Düsseldorf E</w:t>
            </w:r>
            <w:r w:rsidRPr="00E526BD">
              <w:rPr>
                <w:rFonts w:ascii="BVGNormal" w:hAnsi="BVGNormal"/>
                <w:b/>
                <w:sz w:val="20"/>
              </w:rPr>
              <w:t>ller 19.12.2012.</w:t>
            </w:r>
          </w:p>
        </w:tc>
      </w:tr>
      <w:tr w:rsidTr="00823BC0">
        <w:tblPrEx>
          <w:tblW w:w="0" w:type="auto"/>
          <w:tblLook w:val="04A0"/>
        </w:tblPrEx>
        <w:tc>
          <w:tcPr>
            <w:tcW w:w="3326" w:type="dxa"/>
          </w:tcPr>
          <w:p w:rsidR="00554FCA" w:rsidRPr="00E526BD" w:rsidP="00554FCA">
            <w:pPr>
              <w:pStyle w:val="StandardText"/>
              <w:spacing w:line="240" w:lineRule="auto"/>
              <w:rPr>
                <w:rFonts w:ascii="BVGNormal" w:hAnsi="BVGNormal" w:cs="BVGNormal"/>
                <w:sz w:val="20"/>
                <w:szCs w:val="20"/>
              </w:rPr>
            </w:pPr>
            <w:r w:rsidRPr="00E526BD">
              <w:rPr>
                <w:rFonts w:ascii="BVGNormal" w:hAnsi="BVGNormal"/>
                <w:sz w:val="20"/>
              </w:rPr>
              <w:t xml:space="preserve">As part of the planning and approval of level crossing safety, on the basis of a risk assessment, application of the technical level crossing protection measures in accordance with § 11(6) EBO should be specified and modified, with the </w:t>
            </w:r>
            <w:r w:rsidRPr="00E526BD">
              <w:rPr>
                <w:rFonts w:ascii="BVGNormal" w:hAnsi="BVGNormal"/>
                <w:sz w:val="20"/>
              </w:rPr>
              <w:t>aim of minimising damage caused by broken-down vehicles in the danger area of the level crossing as far as possible.</w:t>
            </w:r>
          </w:p>
        </w:tc>
        <w:tc>
          <w:tcPr>
            <w:tcW w:w="3586" w:type="dxa"/>
          </w:tcPr>
          <w:p w:rsidR="00554FCA" w:rsidRPr="00E526BD" w:rsidP="00FA2247">
            <w:pPr>
              <w:pStyle w:val="StandardText"/>
              <w:spacing w:line="240" w:lineRule="auto"/>
              <w:rPr>
                <w:rFonts w:ascii="BVGNormal" w:hAnsi="BVGNormal" w:cs="BVGNormal"/>
                <w:sz w:val="20"/>
                <w:szCs w:val="20"/>
              </w:rPr>
            </w:pPr>
            <w:r w:rsidRPr="00E526BD">
              <w:rPr>
                <w:rFonts w:ascii="BVGNormal" w:hAnsi="BVGNormal"/>
                <w:sz w:val="20"/>
              </w:rPr>
              <w:t>This issue must be addressed further. The infrastructure operator is currently amending the corresponding Guideline 815. Additionally, it i</w:t>
            </w:r>
            <w:r w:rsidRPr="00E526BD">
              <w:rPr>
                <w:rFonts w:ascii="BVGNormal" w:hAnsi="BVGNormal"/>
                <w:sz w:val="20"/>
              </w:rPr>
              <w:t xml:space="preserve">s currently carrying out tests in the context of piloting various systems for monitoring danger zones. This was triggered by the fact that the tried-and-tested equipment for danger zone clearance signalling is no longer available at this time and so there </w:t>
            </w:r>
            <w:r w:rsidRPr="00E526BD">
              <w:rPr>
                <w:rFonts w:ascii="BVGNormal" w:hAnsi="BVGNormal"/>
                <w:sz w:val="20"/>
              </w:rPr>
              <w:t>is a need for equivalent systems. Solutions may also arise from this for general recognition of vehicles which have broken down. The first findings are expected in Q3 of 2018.</w:t>
            </w:r>
          </w:p>
        </w:tc>
        <w:tc>
          <w:tcPr>
            <w:tcW w:w="2353" w:type="dxa"/>
          </w:tcPr>
          <w:p w:rsidR="00554FCA" w:rsidRPr="00E526BD" w:rsidP="00C639CE">
            <w:pPr>
              <w:pStyle w:val="StandardText"/>
              <w:spacing w:line="240" w:lineRule="auto"/>
              <w:rPr>
                <w:rFonts w:ascii="BVGNormal" w:hAnsi="BVGNormal" w:cs="BVGNormal"/>
                <w:sz w:val="20"/>
                <w:szCs w:val="20"/>
              </w:rPr>
            </w:pPr>
            <w:r w:rsidRPr="00E526BD">
              <w:rPr>
                <w:rFonts w:ascii="BVGNormal" w:hAnsi="BVGNormal"/>
                <w:sz w:val="20"/>
              </w:rPr>
              <w:t>The procedure has not yet been concluded.</w:t>
            </w:r>
          </w:p>
        </w:tc>
      </w:tr>
    </w:tbl>
    <w:p w:rsidR="00752D6F" w:rsidRPr="00E526BD" w:rsidP="005C78AA">
      <w:pPr>
        <w:pStyle w:val="StandardText"/>
        <w:spacing w:after="0" w:line="240" w:lineRule="auto"/>
        <w:rPr>
          <w:rFonts w:ascii="BVGNormal" w:hAnsi="BVGNormal" w:cs="BVGNormal"/>
        </w:rPr>
      </w:pPr>
    </w:p>
    <w:p w:rsidR="00752D6F" w:rsidRPr="00E526BD" w:rsidP="00752D6F">
      <w:pPr>
        <w:rPr>
          <w:sz w:val="24"/>
          <w:szCs w:val="24"/>
        </w:rPr>
      </w:pPr>
    </w:p>
    <w:p w:rsidR="00752D6F" w:rsidRPr="00E526BD" w:rsidP="005C78AA">
      <w:pPr>
        <w:pStyle w:val="StandardText"/>
        <w:spacing w:after="0" w:line="240" w:lineRule="auto"/>
        <w:rPr>
          <w:rFonts w:ascii="BVGNormal" w:hAnsi="BVGNormal" w:cs="BVGNormal"/>
        </w:rPr>
      </w:pPr>
    </w:p>
    <w:p w:rsidR="00F40D07" w:rsidRPr="00E526BD">
      <w:pPr>
        <w:rPr>
          <w:rFonts w:cs="Arial"/>
          <w:b/>
          <w:bCs/>
          <w:iCs/>
          <w:sz w:val="24"/>
          <w:szCs w:val="24"/>
        </w:rPr>
      </w:pPr>
      <w:r w:rsidRPr="00E526BD">
        <w:br w:type="page"/>
      </w:r>
    </w:p>
    <w:p w:rsidR="00C379BA" w:rsidRPr="00E526BD" w:rsidP="005C78AA">
      <w:pPr>
        <w:pStyle w:val="Heading2"/>
        <w:spacing w:before="0" w:after="0"/>
      </w:pPr>
      <w:bookmarkStart w:id="10" w:name="_Toc530579229"/>
      <w:r w:rsidRPr="00E526BD">
        <w:t xml:space="preserve">C.3 </w:t>
      </w:r>
      <w:r w:rsidRPr="00E526BD">
        <w:t>Measures implemented without</w:t>
      </w:r>
      <w:r w:rsidRPr="00E526BD">
        <w:t xml:space="preserve"> reference to safety recommendations</w:t>
      </w:r>
      <w:bookmarkEnd w:id="10"/>
    </w:p>
    <w:p w:rsidR="005C78AA" w:rsidRPr="00E526BD" w:rsidP="005C78AA">
      <w:pPr>
        <w:jc w:val="both"/>
        <w:rPr>
          <w:sz w:val="24"/>
          <w:szCs w:val="24"/>
        </w:rPr>
      </w:pPr>
    </w:p>
    <w:p w:rsidR="006E1A97" w:rsidRPr="00E526BD" w:rsidP="005C78AA">
      <w:pPr>
        <w:jc w:val="both"/>
        <w:rPr>
          <w:sz w:val="24"/>
          <w:szCs w:val="24"/>
        </w:rPr>
      </w:pPr>
      <w:r w:rsidRPr="00E526BD">
        <w:rPr>
          <w:sz w:val="24"/>
        </w:rPr>
        <w:t>To comply with the statutory railway-related provisions in individual cases, the Federal Railway Authority conducted administrative proceedings in 2017 as well, which were concerned with organisational or technical/operational improvement of the undertakin</w:t>
      </w:r>
      <w:r w:rsidRPr="00E526BD">
        <w:rPr>
          <w:sz w:val="24"/>
        </w:rPr>
        <w:t xml:space="preserve">gs’ safety processes. The EBA also published technical notices on various cases. These are permanently available for download from the internet: </w:t>
      </w:r>
      <w:hyperlink r:id="rId13" w:history="1">
        <w:r w:rsidRPr="00E526BD">
          <w:rPr>
            <w:rStyle w:val="Hyperlink"/>
          </w:rPr>
          <w:t>https://www.eba.bund.de/SiteGlobals/Forms/Suche/Expertensuche/FM_Expertensuche_Formular.html</w:t>
        </w:r>
      </w:hyperlink>
    </w:p>
    <w:p w:rsidR="00E02C73" w:rsidRPr="00E526BD" w:rsidP="005C78AA">
      <w:pPr>
        <w:jc w:val="both"/>
        <w:rPr>
          <w:sz w:val="24"/>
          <w:szCs w:val="24"/>
        </w:rPr>
      </w:pPr>
    </w:p>
    <w:p w:rsidR="006E1A97" w:rsidRPr="00E526BD" w:rsidP="005C78AA">
      <w:pPr>
        <w:jc w:val="both"/>
        <w:rPr>
          <w:sz w:val="24"/>
          <w:szCs w:val="24"/>
        </w:rPr>
      </w:pPr>
      <w:r w:rsidRPr="00E526BD">
        <w:rPr>
          <w:sz w:val="24"/>
        </w:rPr>
        <w:t>By way of an administrative decision, the German Federal Railway Authority has laid down an obligation for the railway and owner in their original competences at</w:t>
      </w:r>
      <w:r w:rsidRPr="00E526BD">
        <w:rPr>
          <w:sz w:val="24"/>
        </w:rPr>
        <w:t xml:space="preserve"> the end of 2017, to inform the authorities of dangerous incidents. The information acquired in this way has enabled the German Federal Railway Authority to carry out danger-prevention tasks, independently of other offices. This obligation first became leg</w:t>
      </w:r>
      <w:r w:rsidRPr="00E526BD">
        <w:rPr>
          <w:sz w:val="24"/>
        </w:rPr>
        <w:t>ally binding in 2018.</w:t>
      </w:r>
    </w:p>
    <w:p w:rsidR="00E02C73" w:rsidRPr="00E526BD" w:rsidP="005C78AA">
      <w:pPr>
        <w:jc w:val="both"/>
        <w:rPr>
          <w:sz w:val="24"/>
          <w:szCs w:val="24"/>
        </w:rPr>
      </w:pPr>
    </w:p>
    <w:p w:rsidR="00E02C73" w:rsidRPr="00E526BD" w:rsidP="005C78AA">
      <w:pPr>
        <w:jc w:val="both"/>
        <w:rPr>
          <w:sz w:val="24"/>
          <w:szCs w:val="24"/>
        </w:rPr>
      </w:pPr>
      <w:r w:rsidRPr="00E526BD">
        <w:rPr>
          <w:sz w:val="24"/>
        </w:rPr>
        <w:t>Further measures are shown in the table below.</w:t>
      </w:r>
    </w:p>
    <w:p w:rsidR="00E271DF" w:rsidRPr="00E526BD"/>
    <w:tbl>
      <w:tblPr>
        <w:tblStyle w:val="TableGrid"/>
        <w:tblW w:w="0" w:type="auto"/>
        <w:tblLook w:val="04A0"/>
      </w:tblPr>
      <w:tblGrid>
        <w:gridCol w:w="2959"/>
        <w:gridCol w:w="3279"/>
        <w:gridCol w:w="2982"/>
      </w:tblGrid>
      <w:tr w:rsidTr="001373C6">
        <w:tblPrEx>
          <w:tblW w:w="0" w:type="auto"/>
          <w:tblLook w:val="04A0"/>
        </w:tblPrEx>
        <w:tc>
          <w:tcPr>
            <w:tcW w:w="2972" w:type="dxa"/>
            <w:vAlign w:val="center"/>
          </w:tcPr>
          <w:p w:rsidR="001373C6" w:rsidRPr="00E526BD" w:rsidP="001373C6">
            <w:pPr>
              <w:spacing w:before="120" w:after="120"/>
              <w:jc w:val="center"/>
              <w:rPr>
                <w:b/>
              </w:rPr>
            </w:pPr>
            <w:r w:rsidRPr="00E526BD">
              <w:rPr>
                <w:b/>
              </w:rPr>
              <w:t>Area concerned</w:t>
            </w:r>
          </w:p>
        </w:tc>
        <w:tc>
          <w:tcPr>
            <w:tcW w:w="3296" w:type="dxa"/>
            <w:vAlign w:val="center"/>
          </w:tcPr>
          <w:p w:rsidR="001373C6" w:rsidRPr="00E526BD" w:rsidP="001373C6">
            <w:pPr>
              <w:spacing w:before="120" w:after="120"/>
              <w:jc w:val="center"/>
              <w:rPr>
                <w:b/>
              </w:rPr>
            </w:pPr>
            <w:r w:rsidRPr="00E526BD">
              <w:rPr>
                <w:b/>
              </w:rPr>
              <w:t>Trigger moment</w:t>
            </w:r>
          </w:p>
        </w:tc>
        <w:tc>
          <w:tcPr>
            <w:tcW w:w="2997" w:type="dxa"/>
            <w:vAlign w:val="center"/>
          </w:tcPr>
          <w:p w:rsidR="001373C6" w:rsidRPr="00E526BD" w:rsidP="001373C6">
            <w:pPr>
              <w:spacing w:before="120" w:after="120"/>
              <w:jc w:val="center"/>
              <w:rPr>
                <w:b/>
              </w:rPr>
            </w:pPr>
            <w:r w:rsidRPr="00E526BD">
              <w:rPr>
                <w:b/>
              </w:rPr>
              <w:t>Action</w:t>
            </w:r>
          </w:p>
        </w:tc>
      </w:tr>
      <w:tr w:rsidTr="001373C6">
        <w:tblPrEx>
          <w:tblW w:w="0" w:type="auto"/>
          <w:tblLook w:val="04A0"/>
        </w:tblPrEx>
        <w:tc>
          <w:tcPr>
            <w:tcW w:w="2972" w:type="dxa"/>
          </w:tcPr>
          <w:p w:rsidR="001373C6" w:rsidRPr="00E526BD" w:rsidP="001373C6">
            <w:pPr>
              <w:jc w:val="both"/>
              <w:rPr>
                <w:sz w:val="20"/>
                <w:szCs w:val="20"/>
              </w:rPr>
            </w:pPr>
            <w:r w:rsidRPr="00E526BD">
              <w:rPr>
                <w:sz w:val="20"/>
              </w:rPr>
              <w:t xml:space="preserve">Infrastructure: </w:t>
            </w:r>
            <w:r w:rsidRPr="00E526BD">
              <w:rPr>
                <w:sz w:val="20"/>
              </w:rPr>
              <w:t>Oberbau</w:t>
            </w:r>
            <w:r w:rsidRPr="00E526BD">
              <w:rPr>
                <w:sz w:val="20"/>
              </w:rPr>
              <w:t>, points</w:t>
            </w:r>
          </w:p>
          <w:p w:rsidR="001373C6" w:rsidRPr="00E526BD" w:rsidP="001373C6">
            <w:pPr>
              <w:jc w:val="both"/>
              <w:rPr>
                <w:sz w:val="20"/>
                <w:szCs w:val="20"/>
              </w:rPr>
            </w:pPr>
          </w:p>
        </w:tc>
        <w:tc>
          <w:tcPr>
            <w:tcW w:w="3296" w:type="dxa"/>
          </w:tcPr>
          <w:p w:rsidR="001373C6" w:rsidRPr="00E526BD" w:rsidP="004B621D">
            <w:pPr>
              <w:jc w:val="both"/>
              <w:rPr>
                <w:sz w:val="20"/>
                <w:szCs w:val="20"/>
              </w:rPr>
            </w:pPr>
            <w:r w:rsidRPr="00E526BD">
              <w:rPr>
                <w:sz w:val="20"/>
              </w:rPr>
              <w:t>On inspection, damage was found to the swing noses of Witten EB-</w:t>
            </w:r>
            <w:r w:rsidRPr="00E526BD">
              <w:rPr>
                <w:sz w:val="20"/>
              </w:rPr>
              <w:t>Vollbainit</w:t>
            </w:r>
            <w:r w:rsidRPr="00E526BD">
              <w:rPr>
                <w:sz w:val="20"/>
              </w:rPr>
              <w:t xml:space="preserve"> type turnouts. Swing noses from </w:t>
            </w:r>
            <w:r w:rsidRPr="00E526BD">
              <w:rPr>
                <w:sz w:val="20"/>
              </w:rPr>
              <w:t>Vollbainit</w:t>
            </w:r>
            <w:r w:rsidRPr="00E526BD">
              <w:rPr>
                <w:sz w:val="20"/>
              </w:rPr>
              <w:t xml:space="preserve"> have proved problematic in Germany, but there are still over 700 of this type installed.</w:t>
            </w:r>
          </w:p>
        </w:tc>
        <w:tc>
          <w:tcPr>
            <w:tcW w:w="2997" w:type="dxa"/>
          </w:tcPr>
          <w:p w:rsidR="001373C6" w:rsidRPr="00E526BD" w:rsidP="004B621D">
            <w:pPr>
              <w:jc w:val="both"/>
              <w:rPr>
                <w:sz w:val="20"/>
                <w:szCs w:val="20"/>
              </w:rPr>
            </w:pPr>
            <w:r w:rsidRPr="00E526BD">
              <w:rPr>
                <w:sz w:val="20"/>
              </w:rPr>
              <w:t>These swing noses are now to be inspected every month, visually and with ultrasound. The three-month interval stipulated in the previous technical notice fr</w:t>
            </w:r>
            <w:r w:rsidRPr="00E526BD">
              <w:rPr>
                <w:sz w:val="20"/>
              </w:rPr>
              <w:t xml:space="preserve">om 2017 is insufficient. If a deficiency is found, speed restriction of v=70 km/h are to be imposed. These additional inspections are to be carried out until all </w:t>
            </w:r>
            <w:r w:rsidRPr="00E526BD">
              <w:rPr>
                <w:sz w:val="20"/>
              </w:rPr>
              <w:t>Vollbainit</w:t>
            </w:r>
            <w:r w:rsidRPr="00E526BD">
              <w:rPr>
                <w:sz w:val="20"/>
              </w:rPr>
              <w:t xml:space="preserve"> swing noses have been replaced.</w:t>
            </w:r>
          </w:p>
        </w:tc>
      </w:tr>
      <w:tr w:rsidTr="001373C6">
        <w:tblPrEx>
          <w:tblW w:w="0" w:type="auto"/>
          <w:tblLook w:val="04A0"/>
        </w:tblPrEx>
        <w:tc>
          <w:tcPr>
            <w:tcW w:w="2972" w:type="dxa"/>
          </w:tcPr>
          <w:p w:rsidR="001373C6" w:rsidRPr="00E526BD" w:rsidP="001373C6">
            <w:pPr>
              <w:jc w:val="both"/>
              <w:rPr>
                <w:sz w:val="20"/>
                <w:szCs w:val="20"/>
              </w:rPr>
            </w:pPr>
            <w:r w:rsidRPr="00E526BD">
              <w:rPr>
                <w:sz w:val="20"/>
              </w:rPr>
              <w:t>Infrastructure: Earthworks, retaining structures</w:t>
            </w:r>
          </w:p>
        </w:tc>
        <w:tc>
          <w:tcPr>
            <w:tcW w:w="3296" w:type="dxa"/>
          </w:tcPr>
          <w:p w:rsidR="001373C6" w:rsidRPr="00E526BD" w:rsidP="00F21572">
            <w:pPr>
              <w:spacing w:after="240"/>
              <w:jc w:val="both"/>
              <w:rPr>
                <w:sz w:val="20"/>
                <w:szCs w:val="20"/>
              </w:rPr>
            </w:pPr>
            <w:r w:rsidRPr="00E526BD">
              <w:rPr>
                <w:sz w:val="20"/>
              </w:rPr>
              <w:t>Retaining structures have to be surveyed and maintained in order to ensure safety. The basis for this is systematic records of these structures, drawn up by the infrastructure manager. Various incidents have demonstrated room for improvement in practice.</w:t>
            </w:r>
          </w:p>
        </w:tc>
        <w:tc>
          <w:tcPr>
            <w:tcW w:w="2997" w:type="dxa"/>
          </w:tcPr>
          <w:p w:rsidR="001373C6" w:rsidRPr="00E526BD" w:rsidP="001373C6">
            <w:pPr>
              <w:spacing w:after="240"/>
              <w:jc w:val="both"/>
              <w:rPr>
                <w:sz w:val="20"/>
                <w:szCs w:val="20"/>
              </w:rPr>
            </w:pPr>
            <w:r w:rsidRPr="00E526BD">
              <w:rPr>
                <w:sz w:val="20"/>
              </w:rPr>
              <w:t>F</w:t>
            </w:r>
            <w:r w:rsidRPr="00E526BD">
              <w:rPr>
                <w:sz w:val="20"/>
              </w:rPr>
              <w:t>rom now on, complete records must be drawn up on retaining structures when maintenance is carried out.</w:t>
            </w:r>
          </w:p>
        </w:tc>
      </w:tr>
      <w:tr w:rsidTr="001373C6">
        <w:tblPrEx>
          <w:tblW w:w="0" w:type="auto"/>
          <w:tblLook w:val="04A0"/>
        </w:tblPrEx>
        <w:tc>
          <w:tcPr>
            <w:tcW w:w="2972" w:type="dxa"/>
          </w:tcPr>
          <w:p w:rsidR="001373C6" w:rsidRPr="00E526BD" w:rsidP="001373C6">
            <w:pPr>
              <w:spacing w:after="240"/>
              <w:jc w:val="both"/>
              <w:rPr>
                <w:sz w:val="20"/>
                <w:szCs w:val="20"/>
              </w:rPr>
            </w:pPr>
            <w:r w:rsidRPr="00E526BD">
              <w:rPr>
                <w:sz w:val="20"/>
              </w:rPr>
              <w:t>Infrastructure: Tunnels and culverts</w:t>
            </w:r>
          </w:p>
        </w:tc>
        <w:tc>
          <w:tcPr>
            <w:tcW w:w="3296" w:type="dxa"/>
          </w:tcPr>
          <w:p w:rsidR="001373C6" w:rsidRPr="00E526BD" w:rsidP="00F21572">
            <w:pPr>
              <w:autoSpaceDE w:val="0"/>
              <w:autoSpaceDN w:val="0"/>
              <w:adjustRightInd w:val="0"/>
              <w:jc w:val="both"/>
              <w:rPr>
                <w:sz w:val="20"/>
                <w:szCs w:val="20"/>
              </w:rPr>
            </w:pPr>
            <w:r w:rsidRPr="00E526BD">
              <w:rPr>
                <w:sz w:val="20"/>
              </w:rPr>
              <w:t>Findings from the railway supervision shows that there is room for improvement in the way that the condition of tun</w:t>
            </w:r>
            <w:r w:rsidRPr="00E526BD">
              <w:rPr>
                <w:sz w:val="20"/>
              </w:rPr>
              <w:t>nels and culverts are evaluated.</w:t>
            </w:r>
          </w:p>
        </w:tc>
        <w:tc>
          <w:tcPr>
            <w:tcW w:w="2997" w:type="dxa"/>
          </w:tcPr>
          <w:p w:rsidR="001373C6" w:rsidRPr="00E526BD" w:rsidP="00F21572">
            <w:pPr>
              <w:autoSpaceDE w:val="0"/>
              <w:autoSpaceDN w:val="0"/>
              <w:adjustRightInd w:val="0"/>
              <w:jc w:val="both"/>
              <w:rPr>
                <w:sz w:val="20"/>
                <w:szCs w:val="20"/>
              </w:rPr>
            </w:pPr>
            <w:r w:rsidRPr="00E526BD">
              <w:rPr>
                <w:sz w:val="20"/>
              </w:rPr>
              <w:t xml:space="preserve">The infrastructure manager concerned has improved the procedures for evaluating the condition of tunnels and culverts. </w:t>
            </w:r>
          </w:p>
        </w:tc>
      </w:tr>
    </w:tbl>
    <w:p w:rsidR="00357EAB" w:rsidRPr="00E526BD">
      <w:r w:rsidRPr="00E526BD">
        <w:br w:type="page"/>
      </w:r>
    </w:p>
    <w:p w:rsidR="00F55B99" w:rsidRPr="00E526BD" w:rsidP="005C78AA">
      <w:pPr>
        <w:pStyle w:val="Heading1"/>
        <w:spacing w:before="0" w:after="0"/>
      </w:pPr>
      <w:bookmarkStart w:id="11" w:name="_Toc530579230"/>
      <w:r w:rsidRPr="00E526BD">
        <w:t xml:space="preserve">D. </w:t>
      </w:r>
      <w:r w:rsidRPr="00E526BD">
        <w:t>Supervision</w:t>
      </w:r>
      <w:bookmarkEnd w:id="11"/>
    </w:p>
    <w:p w:rsidR="005C78AA" w:rsidRPr="00E526BD" w:rsidP="00B30FA2"/>
    <w:p w:rsidR="005C78AA" w:rsidRPr="00E526BD" w:rsidP="00B30FA2"/>
    <w:p w:rsidR="00F55B99" w:rsidRPr="00E526BD" w:rsidP="005C78AA">
      <w:pPr>
        <w:pStyle w:val="Heading2"/>
        <w:spacing w:before="0" w:after="0"/>
      </w:pPr>
      <w:bookmarkStart w:id="12" w:name="_Toc530579231"/>
      <w:r w:rsidRPr="00E526BD">
        <w:t xml:space="preserve">D.1 </w:t>
      </w:r>
      <w:r w:rsidRPr="00E526BD">
        <w:t>Strategy and plan(s)</w:t>
      </w:r>
      <w:bookmarkEnd w:id="12"/>
    </w:p>
    <w:p w:rsidR="005C78AA" w:rsidRPr="00E526BD" w:rsidP="005C78AA">
      <w:pPr>
        <w:jc w:val="both"/>
        <w:rPr>
          <w:bCs/>
          <w:sz w:val="24"/>
          <w:szCs w:val="24"/>
        </w:rPr>
      </w:pPr>
    </w:p>
    <w:p w:rsidR="00375AE0" w:rsidRPr="00E526BD" w:rsidP="005C78AA">
      <w:pPr>
        <w:jc w:val="both"/>
        <w:rPr>
          <w:bCs/>
          <w:sz w:val="24"/>
          <w:szCs w:val="24"/>
        </w:rPr>
      </w:pPr>
      <w:r w:rsidRPr="00E526BD">
        <w:rPr>
          <w:sz w:val="24"/>
        </w:rPr>
        <w:t>The EBA regularly monitors railway undertakings and infrastructure managers, and of the bodies responsible for the maintenance of other types of vehicles such as freight wagons, on the basis of random sampling. The monitoring is aimed at gathering informat</w:t>
      </w:r>
      <w:r w:rsidRPr="00E526BD">
        <w:rPr>
          <w:sz w:val="24"/>
        </w:rPr>
        <w:t>ion on</w:t>
      </w:r>
    </w:p>
    <w:p w:rsidR="00375AE0" w:rsidRPr="00E526BD" w:rsidP="00375AE0">
      <w:pPr>
        <w:pStyle w:val="ListParagraph"/>
        <w:numPr>
          <w:ilvl w:val="0"/>
          <w:numId w:val="37"/>
        </w:numPr>
        <w:ind w:left="426"/>
        <w:jc w:val="both"/>
        <w:rPr>
          <w:bCs/>
          <w:sz w:val="24"/>
          <w:szCs w:val="24"/>
        </w:rPr>
      </w:pPr>
      <w:r w:rsidRPr="00E526BD">
        <w:rPr>
          <w:sz w:val="24"/>
        </w:rPr>
        <w:t>the effectiveness of the safety management system and</w:t>
      </w:r>
    </w:p>
    <w:p w:rsidR="00375AE0" w:rsidRPr="00E526BD" w:rsidP="00375AE0">
      <w:pPr>
        <w:pStyle w:val="ListParagraph"/>
        <w:numPr>
          <w:ilvl w:val="0"/>
          <w:numId w:val="37"/>
        </w:numPr>
        <w:ind w:left="426"/>
        <w:jc w:val="both"/>
        <w:rPr>
          <w:bCs/>
          <w:sz w:val="24"/>
          <w:szCs w:val="24"/>
        </w:rPr>
      </w:pPr>
      <w:r w:rsidRPr="00E526BD">
        <w:rPr>
          <w:sz w:val="24"/>
        </w:rPr>
        <w:t>discharging safety responsibilities in railway operations, and also</w:t>
      </w:r>
    </w:p>
    <w:p w:rsidR="00375AE0" w:rsidRPr="00E526BD" w:rsidP="00375AE0">
      <w:pPr>
        <w:pStyle w:val="ListParagraph"/>
        <w:numPr>
          <w:ilvl w:val="0"/>
          <w:numId w:val="37"/>
        </w:numPr>
        <w:ind w:left="426"/>
        <w:jc w:val="both"/>
        <w:rPr>
          <w:bCs/>
          <w:sz w:val="24"/>
          <w:szCs w:val="24"/>
        </w:rPr>
      </w:pPr>
      <w:r w:rsidRPr="00E526BD">
        <w:rPr>
          <w:sz w:val="24"/>
        </w:rPr>
        <w:t>compliance with legal regulations on railways and</w:t>
      </w:r>
    </w:p>
    <w:p w:rsidR="00375AE0" w:rsidRPr="00E526BD" w:rsidP="00375AE0">
      <w:pPr>
        <w:pStyle w:val="ListParagraph"/>
        <w:numPr>
          <w:ilvl w:val="0"/>
          <w:numId w:val="37"/>
        </w:numPr>
        <w:ind w:left="426"/>
        <w:jc w:val="both"/>
        <w:rPr>
          <w:bCs/>
          <w:sz w:val="24"/>
          <w:szCs w:val="24"/>
        </w:rPr>
      </w:pPr>
      <w:r w:rsidRPr="00E526BD">
        <w:rPr>
          <w:sz w:val="24"/>
        </w:rPr>
        <w:t>generally</w:t>
      </w:r>
      <w:r w:rsidRPr="00E526BD">
        <w:rPr>
          <w:sz w:val="24"/>
        </w:rPr>
        <w:t xml:space="preserve"> accepted technical standards.</w:t>
      </w:r>
    </w:p>
    <w:p w:rsidR="004B621D" w:rsidRPr="00E526BD" w:rsidP="00375AE0">
      <w:pPr>
        <w:jc w:val="both"/>
        <w:rPr>
          <w:bCs/>
          <w:sz w:val="24"/>
          <w:szCs w:val="24"/>
        </w:rPr>
      </w:pPr>
    </w:p>
    <w:p w:rsidR="0030473E" w:rsidRPr="00E526BD" w:rsidP="00375AE0">
      <w:pPr>
        <w:jc w:val="both"/>
        <w:rPr>
          <w:bCs/>
          <w:sz w:val="24"/>
          <w:szCs w:val="24"/>
        </w:rPr>
      </w:pPr>
      <w:r w:rsidRPr="00E526BD">
        <w:rPr>
          <w:sz w:val="24"/>
        </w:rPr>
        <w:t>To this end, the EBA conducts audits and inspections and also uses information from other sources, such as for example the Federal Railway Accident Investigation Office. The EBA’s supervision work serves the purpose of maintaining the existing safety level</w:t>
      </w:r>
      <w:r w:rsidRPr="00E526BD">
        <w:rPr>
          <w:sz w:val="24"/>
        </w:rPr>
        <w:t xml:space="preserve"> within the scope of its legal responsibilities. The circle of undertakings concerned is permanently recorded, based on the legal requirements. The undertakings are informed of the scope and scheduling of the supervision, but unannounced inspections also m</w:t>
      </w:r>
      <w:r w:rsidRPr="00E526BD">
        <w:rPr>
          <w:sz w:val="24"/>
        </w:rPr>
        <w:t>ake up a significant element of the supervision.</w:t>
      </w:r>
    </w:p>
    <w:p w:rsidR="0030473E" w:rsidRPr="00E526BD" w:rsidP="005C78AA">
      <w:pPr>
        <w:jc w:val="both"/>
        <w:rPr>
          <w:bCs/>
          <w:sz w:val="24"/>
          <w:szCs w:val="24"/>
        </w:rPr>
      </w:pPr>
    </w:p>
    <w:p w:rsidR="0030473E" w:rsidRPr="00E526BD" w:rsidP="005C78AA">
      <w:pPr>
        <w:jc w:val="both"/>
        <w:rPr>
          <w:bCs/>
          <w:sz w:val="24"/>
          <w:szCs w:val="24"/>
        </w:rPr>
      </w:pPr>
      <w:r w:rsidRPr="00E526BD">
        <w:rPr>
          <w:sz w:val="24"/>
        </w:rPr>
        <w:t>On the basis of Regulation (EU) No 1077/2012 on a common safety method for supervision by NSAs and of general administrative law, the EBA configures its supervisory procedures in accordance with the followi</w:t>
      </w:r>
      <w:r w:rsidRPr="00E526BD">
        <w:rPr>
          <w:sz w:val="24"/>
        </w:rPr>
        <w:t>ng basic criteria:</w:t>
      </w:r>
    </w:p>
    <w:p w:rsidR="00313D31" w:rsidRPr="00E526BD" w:rsidP="005C78AA">
      <w:pPr>
        <w:pStyle w:val="ListParagraph"/>
        <w:numPr>
          <w:ilvl w:val="0"/>
          <w:numId w:val="28"/>
        </w:numPr>
        <w:ind w:left="426"/>
        <w:jc w:val="both"/>
        <w:rPr>
          <w:bCs/>
          <w:sz w:val="24"/>
          <w:szCs w:val="24"/>
        </w:rPr>
      </w:pPr>
      <w:r w:rsidRPr="00E526BD">
        <w:rPr>
          <w:sz w:val="24"/>
        </w:rPr>
        <w:t>proportionality,</w:t>
      </w:r>
    </w:p>
    <w:p w:rsidR="00313D31" w:rsidRPr="00E526BD" w:rsidP="005C78AA">
      <w:pPr>
        <w:pStyle w:val="ListParagraph"/>
        <w:numPr>
          <w:ilvl w:val="0"/>
          <w:numId w:val="28"/>
        </w:numPr>
        <w:ind w:left="426"/>
        <w:jc w:val="both"/>
        <w:rPr>
          <w:bCs/>
          <w:sz w:val="24"/>
          <w:szCs w:val="24"/>
        </w:rPr>
      </w:pPr>
      <w:r w:rsidRPr="00E526BD">
        <w:rPr>
          <w:sz w:val="24"/>
        </w:rPr>
        <w:t>consistency,</w:t>
      </w:r>
    </w:p>
    <w:p w:rsidR="00313D31" w:rsidRPr="00E526BD" w:rsidP="005C78AA">
      <w:pPr>
        <w:pStyle w:val="ListParagraph"/>
        <w:numPr>
          <w:ilvl w:val="0"/>
          <w:numId w:val="28"/>
        </w:numPr>
        <w:ind w:left="426"/>
        <w:jc w:val="both"/>
        <w:rPr>
          <w:bCs/>
          <w:sz w:val="24"/>
          <w:szCs w:val="24"/>
        </w:rPr>
      </w:pPr>
      <w:r w:rsidRPr="00E526BD">
        <w:rPr>
          <w:sz w:val="24"/>
        </w:rPr>
        <w:t>fitness for purpose,</w:t>
      </w:r>
    </w:p>
    <w:p w:rsidR="00313D31" w:rsidRPr="00E526BD" w:rsidP="005C78AA">
      <w:pPr>
        <w:pStyle w:val="ListParagraph"/>
        <w:numPr>
          <w:ilvl w:val="0"/>
          <w:numId w:val="28"/>
        </w:numPr>
        <w:ind w:left="426"/>
        <w:jc w:val="both"/>
        <w:rPr>
          <w:bCs/>
          <w:sz w:val="24"/>
          <w:szCs w:val="24"/>
        </w:rPr>
      </w:pPr>
      <w:r w:rsidRPr="00E526BD">
        <w:rPr>
          <w:sz w:val="24"/>
        </w:rPr>
        <w:t>transparency,</w:t>
      </w:r>
    </w:p>
    <w:p w:rsidR="00313D31" w:rsidRPr="00E526BD" w:rsidP="005C78AA">
      <w:pPr>
        <w:pStyle w:val="ListParagraph"/>
        <w:numPr>
          <w:ilvl w:val="0"/>
          <w:numId w:val="28"/>
        </w:numPr>
        <w:ind w:left="426"/>
        <w:jc w:val="both"/>
        <w:rPr>
          <w:bCs/>
          <w:sz w:val="24"/>
          <w:szCs w:val="24"/>
        </w:rPr>
      </w:pPr>
      <w:r w:rsidRPr="00E526BD">
        <w:rPr>
          <w:sz w:val="24"/>
        </w:rPr>
        <w:t>accountability and</w:t>
      </w:r>
    </w:p>
    <w:p w:rsidR="0030473E" w:rsidRPr="00E526BD" w:rsidP="005C78AA">
      <w:pPr>
        <w:pStyle w:val="ListParagraph"/>
        <w:numPr>
          <w:ilvl w:val="0"/>
          <w:numId w:val="28"/>
        </w:numPr>
        <w:ind w:left="426"/>
        <w:jc w:val="both"/>
        <w:rPr>
          <w:bCs/>
          <w:sz w:val="24"/>
          <w:szCs w:val="24"/>
        </w:rPr>
      </w:pPr>
      <w:r w:rsidRPr="00E526BD">
        <w:rPr>
          <w:sz w:val="24"/>
        </w:rPr>
        <w:t>cooperation</w:t>
      </w:r>
      <w:r w:rsidRPr="00E526BD">
        <w:rPr>
          <w:sz w:val="24"/>
        </w:rPr>
        <w:t>.</w:t>
      </w:r>
    </w:p>
    <w:p w:rsidR="0030473E" w:rsidRPr="00E526BD" w:rsidP="005C78AA">
      <w:pPr>
        <w:jc w:val="both"/>
        <w:rPr>
          <w:rFonts w:cs="Arial"/>
          <w:sz w:val="24"/>
          <w:szCs w:val="24"/>
        </w:rPr>
      </w:pPr>
    </w:p>
    <w:p w:rsidR="00395276" w:rsidRPr="00E526BD" w:rsidP="005C78AA">
      <w:pPr>
        <w:jc w:val="both"/>
        <w:rPr>
          <w:rFonts w:cs="Arial"/>
          <w:sz w:val="24"/>
          <w:szCs w:val="24"/>
        </w:rPr>
      </w:pPr>
      <w:r w:rsidRPr="00E526BD">
        <w:rPr>
          <w:sz w:val="24"/>
        </w:rPr>
        <w:t>The supervision comprises systematic checking whether the railways consistently comply with the requirements that apply for the granting of</w:t>
      </w:r>
      <w:r w:rsidRPr="00E526BD">
        <w:rPr>
          <w:sz w:val="24"/>
        </w:rPr>
        <w:t xml:space="preserve"> a safety certificate or safety authorisation - defined in Annex II to Regulations (EU) No 1158/2010 for railway undertakings and, as applicable, 1169/2010 for infrastructure managers. The EBA continues to check whether undertakings’ processes and procedur</w:t>
      </w:r>
      <w:r w:rsidRPr="00E526BD">
        <w:rPr>
          <w:sz w:val="24"/>
        </w:rPr>
        <w:t>es for the process of continuous improvement are being updated, where necessary, and whether the railways are applying the provisions of Regulation (EU) No 1078/2012 on a common safety method for internal monitoring to be applied by railway undertakings.</w:t>
      </w:r>
    </w:p>
    <w:p w:rsidR="00833EDB" w:rsidRPr="00E526BD" w:rsidP="005C78AA">
      <w:pPr>
        <w:jc w:val="both"/>
        <w:rPr>
          <w:rFonts w:cs="Arial"/>
          <w:sz w:val="24"/>
          <w:szCs w:val="24"/>
        </w:rPr>
      </w:pPr>
    </w:p>
    <w:p w:rsidR="003C77AF" w:rsidRPr="00E526BD" w:rsidP="005C78AA">
      <w:pPr>
        <w:jc w:val="both"/>
        <w:rPr>
          <w:bCs/>
          <w:sz w:val="24"/>
          <w:szCs w:val="24"/>
        </w:rPr>
      </w:pPr>
      <w:r w:rsidRPr="00E526BD">
        <w:rPr>
          <w:sz w:val="24"/>
        </w:rPr>
        <w:t>Supervision in the field of vehicles, operations and dangerous goods focuses on the provision of safe railway transport services on track operated safely for that purpose. The focus here is on safe organisation of the business activities of the railway und</w:t>
      </w:r>
      <w:r w:rsidRPr="00E526BD">
        <w:rPr>
          <w:sz w:val="24"/>
        </w:rPr>
        <w:t>ertakings and infrastructure undertakings in railway operations and technical matters, as well as the undertakings’ compliance with their general or special legal obligations. The strategy of taking a preventative approach to monitoring the completeness of</w:t>
      </w:r>
      <w:r w:rsidRPr="00E526BD">
        <w:rPr>
          <w:sz w:val="24"/>
        </w:rPr>
        <w:t xml:space="preserve"> the safety management system by way of process audits, as well as monitoring the company’s “</w:t>
      </w:r>
      <w:r w:rsidRPr="00E526BD">
        <w:rPr>
          <w:sz w:val="24"/>
        </w:rPr>
        <w:t>sichere</w:t>
      </w:r>
      <w:r w:rsidRPr="00E526BD">
        <w:rPr>
          <w:sz w:val="24"/>
        </w:rPr>
        <w:t xml:space="preserve"> </w:t>
      </w:r>
      <w:r w:rsidRPr="00E526BD">
        <w:rPr>
          <w:sz w:val="24"/>
        </w:rPr>
        <w:t>Fahrt</w:t>
      </w:r>
      <w:r w:rsidRPr="00E526BD">
        <w:rPr>
          <w:sz w:val="24"/>
        </w:rPr>
        <w:t>” product through product audits and inspections, has proved successful. In this context, it is evident in the case of many undertakings that function</w:t>
      </w:r>
      <w:r w:rsidRPr="00E526BD">
        <w:rPr>
          <w:sz w:val="24"/>
        </w:rPr>
        <w:t>ing safety management regulates itself, in the event that deviations from the targets set occur, with the aid of a corresponding control loop model.</w:t>
      </w:r>
      <w:r w:rsidRPr="00E526BD">
        <w:t xml:space="preserve"> </w:t>
      </w:r>
      <w:r w:rsidRPr="00E526BD">
        <w:rPr>
          <w:sz w:val="24"/>
        </w:rPr>
        <w:t>In the area of control of dangerous goods, the German Federal Railway Authority is pursuing a two-pronged a</w:t>
      </w:r>
      <w:r w:rsidRPr="00E526BD">
        <w:rPr>
          <w:sz w:val="24"/>
        </w:rPr>
        <w:t>pproach of supervision close to time of dispatch and supervision focussed on deficiencies. This means that where more deficiencies have arisen, more frequent controls are carried out. This risk-oriented strategy is reinforced by focussing on priority areas</w:t>
      </w:r>
      <w:r w:rsidRPr="00E526BD">
        <w:rPr>
          <w:sz w:val="24"/>
        </w:rPr>
        <w:t xml:space="preserve"> when carrying out controls.</w:t>
      </w:r>
    </w:p>
    <w:p w:rsidR="005D66EF" w:rsidRPr="00E526BD" w:rsidP="005C78AA">
      <w:pPr>
        <w:jc w:val="both"/>
        <w:rPr>
          <w:sz w:val="24"/>
          <w:szCs w:val="24"/>
        </w:rPr>
      </w:pPr>
    </w:p>
    <w:p w:rsidR="00681111" w:rsidRPr="00E526BD" w:rsidP="005C78AA">
      <w:pPr>
        <w:jc w:val="both"/>
        <w:rPr>
          <w:sz w:val="24"/>
          <w:szCs w:val="24"/>
        </w:rPr>
      </w:pPr>
      <w:r w:rsidRPr="00E526BD">
        <w:rPr>
          <w:sz w:val="24"/>
        </w:rPr>
        <w:t>The EBA also monitors track operators, basically with relation to the undertakings. When doing so, the areas of construction of facilities, maintenance and operation are covered; generally, the overall working methods and impl</w:t>
      </w:r>
      <w:r w:rsidRPr="00E526BD">
        <w:rPr>
          <w:sz w:val="24"/>
        </w:rPr>
        <w:t>ementation of the safety management system are assessed. For this purpose, the EBA conducts process-and site-related supervision and special supervision over the infrastructure managers. By these means, random checks are carried out as to whether the under</w:t>
      </w:r>
      <w:r w:rsidRPr="00E526BD">
        <w:rPr>
          <w:sz w:val="24"/>
        </w:rPr>
        <w:t>takings are implementing safety-related processes in practice in a manner compliant with the requirements and whether, during the use of the approved systems, they are also complying with the General Railway Act (AEG) and the legal regulations based upon t</w:t>
      </w:r>
      <w:r w:rsidRPr="00E526BD">
        <w:rPr>
          <w:sz w:val="24"/>
        </w:rPr>
        <w:t>hat act, as well as recognised codes of engineering practice. A significant cornerstone of railway supervision is also the verification of the fulfilment of the railways’ safety obligations, as laid down in §4(3) AEG. The principles are further specified i</w:t>
      </w:r>
      <w:r w:rsidRPr="00E526BD">
        <w:rPr>
          <w:sz w:val="24"/>
        </w:rPr>
        <w:t>n the Administrative Regulation on monitoring the installation and maintenance of systems. The administrative rules are available on the internet.</w:t>
      </w:r>
    </w:p>
    <w:p w:rsidR="00395276" w:rsidRPr="00E526BD" w:rsidP="005C78AA">
      <w:pPr>
        <w:jc w:val="both"/>
        <w:rPr>
          <w:sz w:val="24"/>
          <w:szCs w:val="24"/>
        </w:rPr>
      </w:pPr>
      <w:hyperlink r:id="rId14" w:history="1">
        <w:r w:rsidRPr="00E526BD">
          <w:rPr>
            <w:rStyle w:val="Hyperlink"/>
            <w:sz w:val="24"/>
          </w:rPr>
          <w:t>https://www.eba.bund.de/DE/RechtRegelwerk/Verwaltungsvorschriften/VVEA/vvea_node.html</w:t>
        </w:r>
      </w:hyperlink>
    </w:p>
    <w:p w:rsidR="00375AE0" w:rsidRPr="00E526BD" w:rsidP="005C78AA">
      <w:pPr>
        <w:jc w:val="both"/>
        <w:rPr>
          <w:sz w:val="24"/>
          <w:szCs w:val="24"/>
          <w:highlight w:val="yellow"/>
        </w:rPr>
      </w:pPr>
    </w:p>
    <w:p w:rsidR="00395276" w:rsidRPr="00E526BD" w:rsidP="005C78AA">
      <w:pPr>
        <w:jc w:val="both"/>
        <w:rPr>
          <w:sz w:val="24"/>
          <w:szCs w:val="24"/>
        </w:rPr>
      </w:pPr>
      <w:r w:rsidRPr="00E526BD">
        <w:rPr>
          <w:sz w:val="24"/>
        </w:rPr>
        <w:t xml:space="preserve">The German Federal Railway Authority monitors undertakings through random sampling. The random sample is established by the EBA at its own discretion in order to ensure </w:t>
      </w:r>
      <w:r w:rsidRPr="00E526BD">
        <w:rPr>
          <w:sz w:val="24"/>
        </w:rPr>
        <w:t xml:space="preserve">that a representative cross section is monitored. In doing so, the EBA proceeds in a risk-oriented manner, i.e. taking into account the respective potential for danger in the technical fields of infrastructure, rolling stock and operations. In all fields, </w:t>
      </w:r>
      <w:r w:rsidRPr="00E526BD">
        <w:rPr>
          <w:sz w:val="24"/>
        </w:rPr>
        <w:t>there are annual/multi-year plans for supervising the railways; these are regularly reviewed and, if necessary, revised on the basis of the results of the ongoing supervision. Announced and unannounced supervision measures take place on the basis of the pl</w:t>
      </w:r>
      <w:r w:rsidRPr="00E526BD">
        <w:rPr>
          <w:sz w:val="24"/>
        </w:rPr>
        <w:t>ans. The aim is to inspect every undertaking, irrespective of size, at least once a year in the form of a process audit. Larger railway undertakings and infrastructure managers are monitored more often, on a differential basis according to region. The spec</w:t>
      </w:r>
      <w:r w:rsidRPr="00E526BD">
        <w:rPr>
          <w:sz w:val="24"/>
        </w:rPr>
        <w:t>ialists at Head Office establish the requirements for the supervision plans and regularly liaise on this with the divisions of the EBA external offices. If there are findings arising from dangerous incidents or if there is a suspicion of systematic defects</w:t>
      </w:r>
      <w:r w:rsidRPr="00E526BD">
        <w:rPr>
          <w:sz w:val="24"/>
        </w:rPr>
        <w:t>, the EBA conducts special and priority area inspections where necessary. The results of the supervisory measures are recorded in special databases and are then available as the basis of evaluations, for setting future priority areas, for adaptations of th</w:t>
      </w:r>
      <w:r w:rsidRPr="00E526BD">
        <w:rPr>
          <w:sz w:val="24"/>
        </w:rPr>
        <w:t>e supervision plans and for recertifying undertakings.</w:t>
      </w:r>
    </w:p>
    <w:p w:rsidR="005D66EF" w:rsidRPr="00E526BD" w:rsidP="005C78AA"/>
    <w:p w:rsidR="005C78AA" w:rsidRPr="00E526BD" w:rsidP="005C78AA"/>
    <w:p w:rsidR="00E526BD">
      <w:pPr>
        <w:rPr>
          <w:rFonts w:cs="Arial"/>
          <w:b/>
          <w:bCs/>
          <w:iCs/>
          <w:sz w:val="24"/>
          <w:szCs w:val="24"/>
        </w:rPr>
      </w:pPr>
      <w:bookmarkStart w:id="13" w:name="_Toc530579232"/>
      <w:r>
        <w:br w:type="page"/>
      </w:r>
    </w:p>
    <w:p w:rsidR="004F7611" w:rsidRPr="00E526BD" w:rsidP="005C78AA">
      <w:pPr>
        <w:pStyle w:val="Heading2"/>
        <w:spacing w:before="0" w:after="0"/>
      </w:pPr>
      <w:r w:rsidRPr="00E526BD">
        <w:t xml:space="preserve">D.2 </w:t>
      </w:r>
      <w:r w:rsidRPr="00E526BD">
        <w:t>Staff</w:t>
      </w:r>
      <w:bookmarkEnd w:id="13"/>
    </w:p>
    <w:p w:rsidR="005C78AA" w:rsidRPr="00E526BD" w:rsidP="005C78AA">
      <w:pPr>
        <w:jc w:val="both"/>
        <w:rPr>
          <w:sz w:val="24"/>
          <w:szCs w:val="24"/>
        </w:rPr>
      </w:pPr>
    </w:p>
    <w:p w:rsidR="005D66EF" w:rsidRPr="00E526BD" w:rsidP="005C78AA">
      <w:pPr>
        <w:jc w:val="both"/>
        <w:rPr>
          <w:sz w:val="24"/>
          <w:szCs w:val="24"/>
        </w:rPr>
      </w:pPr>
      <w:r w:rsidRPr="00E526BD">
        <w:rPr>
          <w:sz w:val="24"/>
        </w:rPr>
        <w:t>A total of approximately 285 EBA employees are engaged in activities in the supervisory field.</w:t>
      </w:r>
    </w:p>
    <w:p w:rsidR="0031563E" w:rsidRPr="00E526BD" w:rsidP="00B30FA2"/>
    <w:p w:rsidR="005C78AA" w:rsidRPr="00E526BD" w:rsidP="005C78AA"/>
    <w:p w:rsidR="00DE5AF1" w:rsidRPr="00E526BD" w:rsidP="005C78AA">
      <w:pPr>
        <w:pStyle w:val="Heading2"/>
        <w:spacing w:before="0" w:after="0"/>
      </w:pPr>
      <w:bookmarkStart w:id="14" w:name="_Toc530579233"/>
      <w:r w:rsidRPr="00E526BD">
        <w:t xml:space="preserve">D.3 </w:t>
      </w:r>
      <w:r w:rsidRPr="00E526BD">
        <w:t>Skills</w:t>
      </w:r>
      <w:bookmarkEnd w:id="14"/>
    </w:p>
    <w:p w:rsidR="005C78AA" w:rsidRPr="00E526BD" w:rsidP="005C78AA">
      <w:pPr>
        <w:pStyle w:val="Text1"/>
        <w:spacing w:after="0"/>
        <w:ind w:left="0"/>
        <w:rPr>
          <w:rFonts w:ascii="Arial" w:hAnsi="Arial" w:cs="Arial"/>
        </w:rPr>
      </w:pPr>
    </w:p>
    <w:p w:rsidR="00DE5AF1" w:rsidRPr="00E526BD" w:rsidP="005C78AA">
      <w:pPr>
        <w:pStyle w:val="Text1"/>
        <w:spacing w:after="0"/>
        <w:ind w:left="0"/>
        <w:rPr>
          <w:rFonts w:ascii="Arial" w:hAnsi="Arial" w:cs="Arial"/>
        </w:rPr>
      </w:pPr>
      <w:r w:rsidRPr="00E526BD">
        <w:rPr>
          <w:rFonts w:ascii="Arial" w:hAnsi="Arial"/>
        </w:rPr>
        <w:t>The sections of the EBA responsible for staff and organisation implement skills management in co-operation with the respective specialist offices of the EBA. The components are as follows:</w:t>
      </w:r>
    </w:p>
    <w:p w:rsidR="006236CE" w:rsidRPr="00E526BD" w:rsidP="005C78AA">
      <w:pPr>
        <w:pStyle w:val="Text1"/>
        <w:numPr>
          <w:ilvl w:val="0"/>
          <w:numId w:val="25"/>
        </w:numPr>
        <w:spacing w:after="0"/>
        <w:ind w:left="426"/>
        <w:rPr>
          <w:rFonts w:ascii="Arial" w:hAnsi="Arial" w:cs="Arial"/>
        </w:rPr>
      </w:pPr>
      <w:r w:rsidRPr="00E526BD">
        <w:rPr>
          <w:rFonts w:ascii="Arial" w:hAnsi="Arial"/>
        </w:rPr>
        <w:t>Defining requirements</w:t>
      </w:r>
    </w:p>
    <w:p w:rsidR="006236CE" w:rsidRPr="00E526BD" w:rsidP="005C78AA">
      <w:pPr>
        <w:pStyle w:val="Text1"/>
        <w:spacing w:after="0"/>
        <w:ind w:left="426"/>
        <w:rPr>
          <w:rFonts w:ascii="Arial" w:hAnsi="Arial" w:cs="Arial"/>
        </w:rPr>
      </w:pPr>
      <w:r w:rsidRPr="00E526BD">
        <w:rPr>
          <w:rFonts w:ascii="Arial" w:hAnsi="Arial"/>
        </w:rPr>
        <w:t>Job descriptions contain both necessary exper</w:t>
      </w:r>
      <w:r w:rsidRPr="00E526BD">
        <w:rPr>
          <w:rFonts w:ascii="Arial" w:hAnsi="Arial"/>
        </w:rPr>
        <w:t>t skills and general qualifications such as interpersonal or methodological skills. The EBA regularly revises job descriptions and professional profiles.</w:t>
      </w:r>
    </w:p>
    <w:p w:rsidR="00AD459F" w:rsidRPr="00E526BD" w:rsidP="005C78AA">
      <w:pPr>
        <w:pStyle w:val="Text1"/>
        <w:numPr>
          <w:ilvl w:val="0"/>
          <w:numId w:val="25"/>
        </w:numPr>
        <w:spacing w:after="0"/>
        <w:ind w:left="426"/>
        <w:rPr>
          <w:rFonts w:ascii="Arial" w:hAnsi="Arial" w:cs="Arial"/>
        </w:rPr>
      </w:pPr>
      <w:r w:rsidRPr="00E526BD">
        <w:rPr>
          <w:rFonts w:ascii="Arial" w:hAnsi="Arial"/>
        </w:rPr>
        <w:t>Establishing fulfilment of requirements</w:t>
      </w:r>
    </w:p>
    <w:p w:rsidR="006236CE" w:rsidRPr="00E526BD" w:rsidP="005C78AA">
      <w:pPr>
        <w:pStyle w:val="Text1"/>
        <w:spacing w:after="0"/>
        <w:ind w:left="426"/>
        <w:rPr>
          <w:rFonts w:ascii="Arial" w:hAnsi="Arial" w:cs="Arial"/>
        </w:rPr>
      </w:pPr>
      <w:r w:rsidRPr="00E526BD">
        <w:rPr>
          <w:rFonts w:ascii="Arial" w:hAnsi="Arial"/>
        </w:rPr>
        <w:t>When a new person is appointed, their skills are verified by w</w:t>
      </w:r>
      <w:r w:rsidRPr="00E526BD">
        <w:rPr>
          <w:rFonts w:ascii="Arial" w:hAnsi="Arial"/>
        </w:rPr>
        <w:t xml:space="preserve">ay of a structured thematic interview and possibly roleplaying exercises. For higher grades, a potential analysis may additionally be used in order to establish potential, especially in terms of interdisciplinary skills. Special induction courses given by </w:t>
      </w:r>
      <w:r w:rsidRPr="00E526BD">
        <w:rPr>
          <w:rFonts w:ascii="Arial" w:hAnsi="Arial"/>
        </w:rPr>
        <w:t>the respective specialist departments prepare new employees for their future tasks.</w:t>
      </w:r>
    </w:p>
    <w:p w:rsidR="006236CE" w:rsidRPr="00E526BD" w:rsidP="005C78AA">
      <w:pPr>
        <w:pStyle w:val="Text1"/>
        <w:numPr>
          <w:ilvl w:val="0"/>
          <w:numId w:val="25"/>
        </w:numPr>
        <w:spacing w:after="0"/>
        <w:ind w:left="426"/>
        <w:rPr>
          <w:rFonts w:ascii="Arial" w:hAnsi="Arial" w:cs="Arial"/>
        </w:rPr>
      </w:pPr>
      <w:r w:rsidRPr="00E526BD">
        <w:rPr>
          <w:rFonts w:ascii="Arial" w:hAnsi="Arial"/>
        </w:rPr>
        <w:t>Continuing further training</w:t>
      </w:r>
    </w:p>
    <w:p w:rsidR="00AD459F" w:rsidRPr="00E526BD" w:rsidP="005C78AA">
      <w:pPr>
        <w:pStyle w:val="Text1"/>
        <w:spacing w:after="0"/>
        <w:ind w:left="426"/>
        <w:rPr>
          <w:rFonts w:ascii="Arial" w:hAnsi="Arial" w:cs="Arial"/>
        </w:rPr>
      </w:pPr>
      <w:r w:rsidRPr="00E526BD">
        <w:rPr>
          <w:rFonts w:ascii="Arial" w:hAnsi="Arial"/>
        </w:rPr>
        <w:t>The training needs of each employee and each organisational unit are reviewed once a year. The EBA Further Training Office organises targeted co</w:t>
      </w:r>
      <w:r w:rsidRPr="00E526BD">
        <w:rPr>
          <w:rFonts w:ascii="Arial" w:hAnsi="Arial"/>
        </w:rPr>
        <w:t>verage of these needs. Furthermore, there are training officers in the specialist departments, who liaise closely with the Further Training Office and hold specialist training courses annually, to keep the knowledge specific to a specialist area up to date</w:t>
      </w:r>
      <w:r w:rsidRPr="00E526BD">
        <w:rPr>
          <w:rFonts w:ascii="Arial" w:hAnsi="Arial"/>
        </w:rPr>
        <w:t>. Every year, around 250 further training courses are held. The trend is rising. E-learning programmes are also offered, e.g. for the subject areas of occupational safety - in the office and on the track.</w:t>
      </w:r>
    </w:p>
    <w:p w:rsidR="006236CE" w:rsidRPr="00E526BD" w:rsidP="005C78AA">
      <w:pPr>
        <w:pStyle w:val="Text1"/>
        <w:numPr>
          <w:ilvl w:val="0"/>
          <w:numId w:val="25"/>
        </w:numPr>
        <w:spacing w:after="0"/>
        <w:ind w:left="426"/>
        <w:rPr>
          <w:rFonts w:ascii="Arial" w:hAnsi="Arial" w:cs="Arial"/>
        </w:rPr>
      </w:pPr>
      <w:r w:rsidRPr="00E526BD">
        <w:rPr>
          <w:rFonts w:ascii="Arial" w:hAnsi="Arial"/>
        </w:rPr>
        <w:t>Quality assurance in further training</w:t>
      </w:r>
    </w:p>
    <w:p w:rsidR="006236CE" w:rsidRPr="00E526BD" w:rsidP="005C78AA">
      <w:pPr>
        <w:pStyle w:val="Text1"/>
        <w:spacing w:after="0"/>
        <w:ind w:left="426"/>
        <w:rPr>
          <w:rFonts w:ascii="Arial" w:hAnsi="Arial" w:cs="Arial"/>
        </w:rPr>
      </w:pPr>
      <w:r w:rsidRPr="00E526BD">
        <w:rPr>
          <w:rFonts w:ascii="Arial" w:hAnsi="Arial"/>
        </w:rPr>
        <w:t>At the end of</w:t>
      </w:r>
      <w:r w:rsidRPr="00E526BD">
        <w:rPr>
          <w:rFonts w:ascii="Arial" w:hAnsi="Arial"/>
        </w:rPr>
        <w:t xml:space="preserve"> each further training course, there is an anonymous evaluation sheet which can be completed. The Further Training Office evaluates these and passes them on to the respective event organisers. This makes it possible to constantly improve the targeted train</w:t>
      </w:r>
      <w:r w:rsidRPr="00E526BD">
        <w:rPr>
          <w:rFonts w:ascii="Arial" w:hAnsi="Arial"/>
        </w:rPr>
        <w:t>ing on offer.</w:t>
      </w:r>
    </w:p>
    <w:p w:rsidR="006236CE" w:rsidRPr="00E526BD" w:rsidP="005C78AA">
      <w:pPr>
        <w:pStyle w:val="Text1"/>
        <w:numPr>
          <w:ilvl w:val="0"/>
          <w:numId w:val="25"/>
        </w:numPr>
        <w:spacing w:after="0"/>
        <w:ind w:left="426"/>
        <w:rPr>
          <w:rFonts w:ascii="Arial" w:hAnsi="Arial" w:cs="Arial"/>
        </w:rPr>
      </w:pPr>
      <w:r w:rsidRPr="00E526BD">
        <w:rPr>
          <w:rFonts w:ascii="Arial" w:hAnsi="Arial"/>
        </w:rPr>
        <w:t>In-house training</w:t>
      </w:r>
    </w:p>
    <w:p w:rsidR="006236CE" w:rsidRPr="00E526BD" w:rsidP="005C78AA">
      <w:pPr>
        <w:pStyle w:val="Text1"/>
        <w:spacing w:after="0"/>
        <w:ind w:left="426"/>
        <w:rPr>
          <w:rFonts w:ascii="Arial" w:hAnsi="Arial" w:cs="Arial"/>
        </w:rPr>
      </w:pPr>
      <w:r w:rsidRPr="00E526BD">
        <w:rPr>
          <w:rFonts w:ascii="Arial" w:hAnsi="Arial"/>
        </w:rPr>
        <w:t xml:space="preserve">The EBA offers career-oriented training courses in high-level and senior technical grades, in up to five different subjects, depending on the future field of activity. </w:t>
      </w:r>
      <w:r w:rsidRPr="00E526BD">
        <w:rPr>
          <w:rFonts w:ascii="Arial" w:hAnsi="Arial"/>
        </w:rPr>
        <w:t>Following on from their regular studies, new employees are offered the best possible preparation, initially for one or two years, primarily in relation to their technical tasks. By observation and training courses, they can profit from the knowledge and sk</w:t>
      </w:r>
      <w:r w:rsidRPr="00E526BD">
        <w:rPr>
          <w:rFonts w:ascii="Arial" w:hAnsi="Arial"/>
        </w:rPr>
        <w:t xml:space="preserve">ills of experienced staff already in post. This ensures retention of specialist knowledge at the EBA and task-specific training of new entrants. Furthermore, depending on need, the EBA offers dual vocational courses in various disciplines, for example for </w:t>
      </w:r>
      <w:r w:rsidRPr="00E526BD">
        <w:rPr>
          <w:rFonts w:ascii="Arial" w:hAnsi="Arial"/>
        </w:rPr>
        <w:t>employees specialising in office communication or administrative staff.</w:t>
      </w:r>
    </w:p>
    <w:p w:rsidR="00C51FDC" w:rsidRPr="00E526BD" w:rsidP="005C78AA">
      <w:pPr>
        <w:pStyle w:val="Text1"/>
        <w:spacing w:after="0"/>
        <w:ind w:left="426"/>
        <w:rPr>
          <w:rFonts w:ascii="Arial" w:hAnsi="Arial" w:cs="Arial"/>
        </w:rPr>
      </w:pPr>
    </w:p>
    <w:p w:rsidR="00B23BDB" w:rsidRPr="00E526BD">
      <w:pPr>
        <w:rPr>
          <w:rFonts w:cs="Arial"/>
          <w:b/>
          <w:sz w:val="24"/>
          <w:szCs w:val="20"/>
        </w:rPr>
      </w:pPr>
    </w:p>
    <w:p w:rsidR="00E526BD">
      <w:pPr>
        <w:rPr>
          <w:rFonts w:cs="Arial"/>
          <w:b/>
          <w:bCs/>
          <w:iCs/>
          <w:sz w:val="24"/>
          <w:szCs w:val="24"/>
        </w:rPr>
      </w:pPr>
      <w:bookmarkStart w:id="15" w:name="_Toc530579234"/>
      <w:r>
        <w:br w:type="page"/>
      </w:r>
    </w:p>
    <w:p w:rsidR="005450C7" w:rsidRPr="00E526BD" w:rsidP="00765F11">
      <w:pPr>
        <w:pStyle w:val="Heading2"/>
        <w:spacing w:before="0" w:after="0"/>
      </w:pPr>
      <w:r w:rsidRPr="00E526BD">
        <w:t xml:space="preserve">D.4 </w:t>
      </w:r>
      <w:r w:rsidRPr="00E526BD">
        <w:t>Decision-making</w:t>
      </w:r>
      <w:bookmarkEnd w:id="15"/>
    </w:p>
    <w:p w:rsidR="005D66EF" w:rsidRPr="00E526BD" w:rsidP="005C78AA">
      <w:pPr>
        <w:jc w:val="both"/>
        <w:rPr>
          <w:rFonts w:eastAsia="Calibri" w:cs="Arial"/>
          <w:color w:val="000000"/>
          <w:sz w:val="24"/>
          <w:szCs w:val="24"/>
        </w:rPr>
      </w:pPr>
    </w:p>
    <w:p w:rsidR="005D66EF" w:rsidRPr="00E526BD" w:rsidP="005C78AA">
      <w:pPr>
        <w:jc w:val="both"/>
        <w:rPr>
          <w:rFonts w:eastAsia="Calibri" w:cs="Arial"/>
          <w:color w:val="000000"/>
          <w:sz w:val="24"/>
          <w:szCs w:val="24"/>
        </w:rPr>
      </w:pPr>
      <w:r w:rsidRPr="00E526BD">
        <w:rPr>
          <w:color w:val="000000"/>
          <w:sz w:val="24"/>
        </w:rPr>
        <w:t>The German Federal Railway Authority takes decisions within the framework for supervising railway undertakings and infrastructure managers, on the basis of the legal provisions in force, which have been specified in the administrative rules. In doing so, i</w:t>
      </w:r>
      <w:r w:rsidRPr="00E526BD">
        <w:rPr>
          <w:color w:val="000000"/>
          <w:sz w:val="24"/>
        </w:rPr>
        <w:t>t takes into account the underlying principles of EU Regulation 1077/2012 on supervision by national safety authorities, including proportionality, coherence and transparency.</w:t>
      </w:r>
    </w:p>
    <w:p w:rsidR="005D66EF" w:rsidRPr="00E526BD" w:rsidP="005C78AA">
      <w:pPr>
        <w:jc w:val="both"/>
        <w:rPr>
          <w:rFonts w:eastAsia="Calibri" w:cs="Arial"/>
          <w:color w:val="000000"/>
          <w:sz w:val="24"/>
          <w:szCs w:val="24"/>
        </w:rPr>
      </w:pPr>
    </w:p>
    <w:p w:rsidR="005D66EF" w:rsidRPr="00E526BD" w:rsidP="005C78AA">
      <w:pPr>
        <w:jc w:val="both"/>
        <w:rPr>
          <w:rFonts w:eastAsia="Calibri" w:cs="Arial"/>
          <w:color w:val="000000"/>
          <w:sz w:val="24"/>
          <w:szCs w:val="24"/>
        </w:rPr>
      </w:pPr>
      <w:r w:rsidRPr="00E526BD">
        <w:rPr>
          <w:color w:val="000000"/>
          <w:sz w:val="24"/>
        </w:rPr>
        <w:t>The EBA draws on the following sources to determine the criteria of its supervi</w:t>
      </w:r>
      <w:r w:rsidRPr="00E526BD">
        <w:rPr>
          <w:color w:val="000000"/>
          <w:sz w:val="24"/>
        </w:rPr>
        <w:t>sion:</w:t>
      </w:r>
    </w:p>
    <w:p w:rsidR="00C06A1A" w:rsidRPr="00E526BD" w:rsidP="005C78AA">
      <w:pPr>
        <w:pStyle w:val="ListParagraph"/>
        <w:numPr>
          <w:ilvl w:val="0"/>
          <w:numId w:val="23"/>
        </w:numPr>
        <w:ind w:left="426"/>
        <w:jc w:val="both"/>
        <w:rPr>
          <w:rFonts w:eastAsia="Calibri" w:cs="Arial"/>
          <w:color w:val="000000"/>
          <w:sz w:val="24"/>
          <w:szCs w:val="24"/>
        </w:rPr>
      </w:pPr>
      <w:r w:rsidRPr="00E526BD">
        <w:rPr>
          <w:color w:val="000000"/>
          <w:sz w:val="24"/>
        </w:rPr>
        <w:t>information from the evaluation of the safety management system,</w:t>
      </w:r>
    </w:p>
    <w:p w:rsidR="00C06A1A" w:rsidRPr="00E526BD" w:rsidP="005C78AA">
      <w:pPr>
        <w:pStyle w:val="ListParagraph"/>
        <w:numPr>
          <w:ilvl w:val="0"/>
          <w:numId w:val="23"/>
        </w:numPr>
        <w:ind w:left="426"/>
        <w:jc w:val="both"/>
        <w:rPr>
          <w:rFonts w:eastAsia="Calibri" w:cs="Arial"/>
          <w:color w:val="000000"/>
          <w:sz w:val="24"/>
          <w:szCs w:val="24"/>
        </w:rPr>
      </w:pPr>
      <w:r w:rsidRPr="00E526BD">
        <w:rPr>
          <w:color w:val="000000"/>
          <w:sz w:val="24"/>
        </w:rPr>
        <w:t>results of past supervisory work, especially supervision of railways,</w:t>
      </w:r>
    </w:p>
    <w:p w:rsidR="00C06A1A" w:rsidRPr="00E526BD" w:rsidP="005C78AA">
      <w:pPr>
        <w:pStyle w:val="ListParagraph"/>
        <w:numPr>
          <w:ilvl w:val="0"/>
          <w:numId w:val="23"/>
        </w:numPr>
        <w:ind w:left="426"/>
        <w:jc w:val="both"/>
        <w:rPr>
          <w:rFonts w:eastAsia="Calibri" w:cs="Arial"/>
          <w:color w:val="000000"/>
          <w:sz w:val="24"/>
          <w:szCs w:val="24"/>
        </w:rPr>
      </w:pPr>
      <w:r w:rsidRPr="00E526BD">
        <w:rPr>
          <w:color w:val="000000"/>
          <w:sz w:val="24"/>
        </w:rPr>
        <w:t>accident</w:t>
      </w:r>
      <w:r w:rsidRPr="00E526BD">
        <w:rPr>
          <w:color w:val="000000"/>
          <w:sz w:val="24"/>
        </w:rPr>
        <w:t xml:space="preserve"> reports and recommendations from the BEU (German Federal Railway Accident Investigation Board).</w:t>
      </w:r>
    </w:p>
    <w:p w:rsidR="00C06A1A" w:rsidRPr="00E526BD" w:rsidP="005C78AA">
      <w:pPr>
        <w:pStyle w:val="ListParagraph"/>
        <w:numPr>
          <w:ilvl w:val="0"/>
          <w:numId w:val="23"/>
        </w:numPr>
        <w:ind w:left="426"/>
        <w:jc w:val="both"/>
        <w:rPr>
          <w:rFonts w:eastAsia="Calibri" w:cs="Arial"/>
          <w:color w:val="000000"/>
          <w:sz w:val="24"/>
          <w:szCs w:val="24"/>
        </w:rPr>
      </w:pPr>
      <w:r w:rsidRPr="00E526BD">
        <w:rPr>
          <w:color w:val="000000"/>
          <w:sz w:val="24"/>
        </w:rPr>
        <w:t>other repo</w:t>
      </w:r>
      <w:r w:rsidRPr="00E526BD">
        <w:rPr>
          <w:color w:val="000000"/>
          <w:sz w:val="24"/>
        </w:rPr>
        <w:t>rts or data on accidents or disruption,</w:t>
      </w:r>
    </w:p>
    <w:p w:rsidR="00C06A1A" w:rsidRPr="00E526BD" w:rsidP="005C78AA">
      <w:pPr>
        <w:pStyle w:val="ListParagraph"/>
        <w:numPr>
          <w:ilvl w:val="0"/>
          <w:numId w:val="23"/>
        </w:numPr>
        <w:ind w:left="426"/>
        <w:jc w:val="both"/>
        <w:rPr>
          <w:rFonts w:eastAsia="Calibri" w:cs="Arial"/>
          <w:color w:val="000000"/>
          <w:sz w:val="24"/>
          <w:szCs w:val="24"/>
        </w:rPr>
      </w:pPr>
      <w:r w:rsidRPr="00E526BD">
        <w:rPr>
          <w:color w:val="000000"/>
          <w:sz w:val="24"/>
        </w:rPr>
        <w:t>railway safety reports,</w:t>
      </w:r>
    </w:p>
    <w:p w:rsidR="00C06A1A" w:rsidRPr="00E526BD" w:rsidP="005C78AA">
      <w:pPr>
        <w:pStyle w:val="ListParagraph"/>
        <w:numPr>
          <w:ilvl w:val="0"/>
          <w:numId w:val="23"/>
        </w:numPr>
        <w:ind w:left="426"/>
        <w:jc w:val="both"/>
        <w:rPr>
          <w:rFonts w:eastAsia="Calibri" w:cs="Arial"/>
          <w:color w:val="000000"/>
          <w:sz w:val="24"/>
          <w:szCs w:val="24"/>
        </w:rPr>
      </w:pPr>
      <w:r w:rsidRPr="00E526BD">
        <w:rPr>
          <w:color w:val="000000"/>
          <w:sz w:val="24"/>
        </w:rPr>
        <w:t>information from authorisations for placing in service,</w:t>
      </w:r>
    </w:p>
    <w:p w:rsidR="00646039" w:rsidRPr="00E526BD" w:rsidP="005C78AA">
      <w:pPr>
        <w:pStyle w:val="ListParagraph"/>
        <w:numPr>
          <w:ilvl w:val="0"/>
          <w:numId w:val="23"/>
        </w:numPr>
        <w:ind w:left="426"/>
        <w:jc w:val="both"/>
        <w:rPr>
          <w:rFonts w:eastAsia="Calibri" w:cs="Arial"/>
          <w:color w:val="000000"/>
          <w:sz w:val="24"/>
          <w:szCs w:val="24"/>
        </w:rPr>
      </w:pPr>
      <w:r w:rsidRPr="00E526BD">
        <w:rPr>
          <w:color w:val="000000"/>
          <w:sz w:val="24"/>
        </w:rPr>
        <w:t>communications from national safety authorities from other Member States,</w:t>
      </w:r>
    </w:p>
    <w:p w:rsidR="00646039" w:rsidRPr="00E526BD" w:rsidP="005C78AA">
      <w:pPr>
        <w:pStyle w:val="ListParagraph"/>
        <w:numPr>
          <w:ilvl w:val="0"/>
          <w:numId w:val="23"/>
        </w:numPr>
        <w:ind w:left="426"/>
        <w:jc w:val="both"/>
        <w:rPr>
          <w:rFonts w:eastAsia="Calibri" w:cs="Arial"/>
          <w:color w:val="000000"/>
          <w:sz w:val="24"/>
          <w:szCs w:val="24"/>
        </w:rPr>
      </w:pPr>
      <w:r w:rsidRPr="00E526BD">
        <w:rPr>
          <w:color w:val="000000"/>
          <w:sz w:val="24"/>
        </w:rPr>
        <w:t>information from the European Union Agency for Railways,</w:t>
      </w:r>
    </w:p>
    <w:p w:rsidR="00C06A1A" w:rsidRPr="00E526BD" w:rsidP="005C78AA">
      <w:pPr>
        <w:pStyle w:val="ListParagraph"/>
        <w:numPr>
          <w:ilvl w:val="0"/>
          <w:numId w:val="23"/>
        </w:numPr>
        <w:ind w:left="426"/>
        <w:jc w:val="both"/>
        <w:rPr>
          <w:rFonts w:eastAsia="Calibri" w:cs="Arial"/>
          <w:color w:val="000000"/>
          <w:sz w:val="24"/>
          <w:szCs w:val="24"/>
        </w:rPr>
      </w:pPr>
      <w:r w:rsidRPr="00E526BD">
        <w:rPr>
          <w:color w:val="000000"/>
          <w:sz w:val="24"/>
        </w:rPr>
        <w:t>repor</w:t>
      </w:r>
      <w:r w:rsidRPr="00E526BD">
        <w:rPr>
          <w:color w:val="000000"/>
          <w:sz w:val="24"/>
        </w:rPr>
        <w:t>ts and complaints from the public and</w:t>
      </w:r>
    </w:p>
    <w:p w:rsidR="005D66EF" w:rsidRPr="00E526BD" w:rsidP="005C78AA">
      <w:pPr>
        <w:pStyle w:val="ListParagraph"/>
        <w:numPr>
          <w:ilvl w:val="0"/>
          <w:numId w:val="23"/>
        </w:numPr>
        <w:ind w:left="426"/>
        <w:jc w:val="both"/>
        <w:rPr>
          <w:rFonts w:eastAsia="Calibri" w:cs="Arial"/>
          <w:color w:val="000000"/>
          <w:sz w:val="24"/>
          <w:szCs w:val="24"/>
        </w:rPr>
      </w:pPr>
      <w:r w:rsidRPr="00E526BD">
        <w:rPr>
          <w:color w:val="000000"/>
          <w:sz w:val="24"/>
        </w:rPr>
        <w:t>other</w:t>
      </w:r>
      <w:r w:rsidRPr="00E526BD">
        <w:rPr>
          <w:color w:val="000000"/>
          <w:sz w:val="24"/>
        </w:rPr>
        <w:t xml:space="preserve"> resources.</w:t>
      </w:r>
    </w:p>
    <w:p w:rsidR="005D66EF" w:rsidRPr="00E526BD" w:rsidP="005C78AA">
      <w:pPr>
        <w:jc w:val="both"/>
        <w:rPr>
          <w:rFonts w:eastAsia="Calibri" w:cs="Arial"/>
          <w:color w:val="000000"/>
          <w:sz w:val="24"/>
          <w:szCs w:val="24"/>
        </w:rPr>
      </w:pPr>
    </w:p>
    <w:p w:rsidR="005D66EF" w:rsidRPr="00E526BD" w:rsidP="005C78AA">
      <w:pPr>
        <w:jc w:val="both"/>
        <w:rPr>
          <w:rFonts w:eastAsia="Calibri" w:cs="Arial"/>
          <w:color w:val="000000"/>
          <w:sz w:val="24"/>
          <w:szCs w:val="24"/>
        </w:rPr>
      </w:pPr>
      <w:r w:rsidRPr="00E526BD">
        <w:rPr>
          <w:color w:val="000000"/>
          <w:sz w:val="24"/>
        </w:rPr>
        <w:t>Those affected by the decisions of the EBA can lodge objections to them by way of administrative proceedings, and can bring an action before the administrative courts if an objection is overruled.</w:t>
      </w:r>
    </w:p>
    <w:p w:rsidR="00041AAD" w:rsidRPr="00E526BD" w:rsidP="005C78AA">
      <w:pPr>
        <w:rPr>
          <w:rFonts w:eastAsia="Calibri" w:cs="Arial"/>
          <w:color w:val="000000"/>
          <w:sz w:val="20"/>
          <w:szCs w:val="20"/>
        </w:rPr>
      </w:pPr>
    </w:p>
    <w:p w:rsidR="00C06A1A" w:rsidRPr="00E526BD" w:rsidP="005C78AA">
      <w:pPr>
        <w:jc w:val="both"/>
        <w:rPr>
          <w:rFonts w:eastAsia="Calibri" w:cs="Arial"/>
          <w:color w:val="000000"/>
          <w:sz w:val="24"/>
          <w:szCs w:val="24"/>
        </w:rPr>
      </w:pPr>
      <w:r w:rsidRPr="00E526BD">
        <w:rPr>
          <w:color w:val="000000"/>
          <w:sz w:val="24"/>
        </w:rPr>
        <w:t>Th</w:t>
      </w:r>
      <w:r w:rsidRPr="00E526BD">
        <w:rPr>
          <w:color w:val="000000"/>
          <w:sz w:val="24"/>
        </w:rPr>
        <w:t>e enforcement by the authorities of organisational improvements in the undertakings’ safety management systems has proved to be a challenge for the EBA. The underlying administrative procedure must include enforceability of official instructions, but the u</w:t>
      </w:r>
      <w:r w:rsidRPr="00E526BD">
        <w:rPr>
          <w:color w:val="000000"/>
          <w:sz w:val="24"/>
        </w:rPr>
        <w:t>ndertakings’ freedom to select suitable organisational solutions runs counter to this.</w:t>
      </w:r>
    </w:p>
    <w:p w:rsidR="005D66EF" w:rsidRPr="00E526BD" w:rsidP="005C78AA">
      <w:pPr>
        <w:pStyle w:val="Text1"/>
        <w:spacing w:after="0"/>
        <w:ind w:left="0"/>
        <w:rPr>
          <w:rFonts w:ascii="Arial" w:hAnsi="Arial" w:cs="Arial"/>
          <w:b/>
        </w:rPr>
      </w:pPr>
    </w:p>
    <w:p w:rsidR="005D66EF" w:rsidRPr="00E526BD" w:rsidP="005C78AA">
      <w:pPr>
        <w:pStyle w:val="Text1"/>
        <w:spacing w:after="0"/>
        <w:ind w:left="0"/>
        <w:rPr>
          <w:rFonts w:ascii="Arial" w:hAnsi="Arial" w:cs="Arial"/>
          <w:b/>
        </w:rPr>
      </w:pPr>
    </w:p>
    <w:p w:rsidR="005450C7" w:rsidRPr="00E526BD" w:rsidP="00765F11">
      <w:pPr>
        <w:pStyle w:val="Heading2"/>
        <w:spacing w:before="0" w:after="0"/>
      </w:pPr>
      <w:bookmarkStart w:id="16" w:name="_Toc530579235"/>
      <w:r w:rsidRPr="00E526BD">
        <w:t xml:space="preserve">D.5 </w:t>
      </w:r>
      <w:r w:rsidRPr="00E526BD">
        <w:t>Co-ordination and co-operation</w:t>
      </w:r>
      <w:bookmarkEnd w:id="16"/>
    </w:p>
    <w:p w:rsidR="00C06A1A" w:rsidRPr="00E526BD" w:rsidP="005C78AA">
      <w:pPr>
        <w:rPr>
          <w:rFonts w:eastAsia="Calibri" w:cs="Arial"/>
          <w:color w:val="000000"/>
          <w:sz w:val="20"/>
          <w:szCs w:val="20"/>
        </w:rPr>
      </w:pPr>
    </w:p>
    <w:p w:rsidR="006009EB" w:rsidRPr="00E526BD" w:rsidP="005C78AA">
      <w:pPr>
        <w:jc w:val="both"/>
        <w:rPr>
          <w:rFonts w:eastAsia="Calibri" w:cs="Arial"/>
          <w:color w:val="000000"/>
          <w:sz w:val="24"/>
          <w:szCs w:val="24"/>
        </w:rPr>
      </w:pPr>
      <w:r w:rsidRPr="00E526BD">
        <w:rPr>
          <w:color w:val="000000"/>
          <w:sz w:val="24"/>
        </w:rPr>
        <w:t xml:space="preserve">The EBA cooperates closely with national safety authorities of other countries. </w:t>
      </w:r>
      <w:r w:rsidRPr="00E526BD">
        <w:rPr>
          <w:color w:val="000000"/>
          <w:sz w:val="24"/>
        </w:rPr>
        <w:t>This includes information exchange and the possibility of co-ordinating aspects of supervision (primarily the monitoring of railway undertakings working across borders and in relation to rolling stock). In 2017, joint supervision operations were occasional</w:t>
      </w:r>
      <w:r w:rsidRPr="00E526BD">
        <w:rPr>
          <w:color w:val="000000"/>
          <w:sz w:val="24"/>
        </w:rPr>
        <w:t xml:space="preserve">ly carried out with the supervision authorities of neighbouring countries (especially Belgium, Switzerland and the Netherlands). Contact is also maintained with the safety authorities in the Czech Republic, Poland and Italy in relation to dangerous goods. </w:t>
      </w:r>
      <w:r w:rsidRPr="00E526BD">
        <w:rPr>
          <w:color w:val="000000"/>
          <w:sz w:val="24"/>
        </w:rPr>
        <w:t>For the Fehmarn Belt Fixed Link, a cross-border project between Denmark and Germany, as in previous years, supervisory and authorisation procedures are coordinated on a regular basis between the Danish safety authority and the EBA. Initial discussions have</w:t>
      </w:r>
      <w:r w:rsidRPr="00E526BD">
        <w:rPr>
          <w:color w:val="000000"/>
          <w:sz w:val="24"/>
        </w:rPr>
        <w:t xml:space="preserve"> been held in relation to the conclusion of co-operation agreements with the authorities of neighbouring countries, as envisaged in EU Directive 1077/2012. The aim is to achieve better coordination in the supervision of railway undertakings active in cross</w:t>
      </w:r>
      <w:r w:rsidRPr="00E526BD">
        <w:rPr>
          <w:color w:val="000000"/>
          <w:sz w:val="24"/>
        </w:rPr>
        <w:t>-border transport.</w:t>
      </w:r>
    </w:p>
    <w:p w:rsidR="005D66EF" w:rsidRPr="00E526BD" w:rsidP="005C78AA">
      <w:pPr>
        <w:pStyle w:val="Text1"/>
        <w:spacing w:after="0"/>
        <w:ind w:left="0"/>
        <w:rPr>
          <w:rFonts w:ascii="Arial" w:hAnsi="Arial" w:cs="Arial"/>
          <w:b/>
        </w:rPr>
      </w:pPr>
    </w:p>
    <w:p w:rsidR="00A73DC7" w:rsidRPr="00E526BD" w:rsidP="005C78AA">
      <w:pPr>
        <w:pStyle w:val="Text1"/>
        <w:spacing w:after="0"/>
        <w:ind w:left="0"/>
        <w:rPr>
          <w:rFonts w:ascii="Arial" w:hAnsi="Arial" w:cs="Arial"/>
          <w:b/>
        </w:rPr>
      </w:pPr>
    </w:p>
    <w:p w:rsidR="00F915AA" w:rsidRPr="00E526BD" w:rsidP="00765F11">
      <w:pPr>
        <w:pStyle w:val="Heading2"/>
        <w:spacing w:before="0" w:after="0"/>
      </w:pPr>
      <w:bookmarkStart w:id="17" w:name="_Toc530579236"/>
      <w:r w:rsidRPr="00E526BD">
        <w:t xml:space="preserve">D.6 </w:t>
      </w:r>
      <w:r w:rsidRPr="00E526BD">
        <w:t>Lessons learned from measures adopted</w:t>
      </w:r>
      <w:bookmarkEnd w:id="17"/>
    </w:p>
    <w:p w:rsidR="00F915AA" w:rsidRPr="00E526BD" w:rsidP="005C78AA">
      <w:pPr>
        <w:pStyle w:val="Text1"/>
        <w:spacing w:after="0"/>
        <w:ind w:left="0"/>
        <w:rPr>
          <w:rFonts w:ascii="Arial" w:hAnsi="Arial" w:cs="Arial"/>
          <w:b/>
        </w:rPr>
      </w:pPr>
    </w:p>
    <w:p w:rsidR="00041AAD" w:rsidRPr="00E526BD" w:rsidP="005C78AA">
      <w:pPr>
        <w:pStyle w:val="Text1"/>
        <w:spacing w:after="0"/>
        <w:ind w:left="0"/>
        <w:rPr>
          <w:rFonts w:ascii="Arial" w:hAnsi="Arial" w:cs="Arial"/>
          <w:b/>
        </w:rPr>
      </w:pPr>
      <w:r w:rsidRPr="00E526BD">
        <w:rPr>
          <w:rFonts w:ascii="Arial" w:hAnsi="Arial"/>
        </w:rPr>
        <w:t>Both the supervision strategy and the measures adopted under it have proved to be fundamentally successful.</w:t>
      </w:r>
      <w:r w:rsidRPr="00E526BD">
        <w:t xml:space="preserve"> </w:t>
      </w:r>
      <w:r w:rsidRPr="00E526BD">
        <w:rPr>
          <w:rFonts w:ascii="Arial" w:hAnsi="Arial"/>
        </w:rPr>
        <w:t>With regard to internal measures, the measures to increase the use of databases particularly have intensified in recent years and proved to be an effective and valuable support for the proper supervision of railways. Priority area inspections and the discu</w:t>
      </w:r>
      <w:r w:rsidRPr="00E526BD">
        <w:rPr>
          <w:rFonts w:ascii="Arial" w:hAnsi="Arial"/>
        </w:rPr>
        <w:t>ssion of all technical topics with the affected railways, which particularly rely on new information and accumulated experience, are a suitable method for increasing awareness at the railway undertakings of the issues being monitored.</w:t>
      </w:r>
    </w:p>
    <w:p w:rsidR="00F915AA" w:rsidRPr="00E526BD" w:rsidP="005C78AA">
      <w:pPr>
        <w:pStyle w:val="Text1"/>
        <w:spacing w:after="0"/>
        <w:ind w:left="0"/>
        <w:rPr>
          <w:rFonts w:ascii="Arial" w:hAnsi="Arial" w:cs="Arial"/>
        </w:rPr>
      </w:pPr>
    </w:p>
    <w:p w:rsidR="005D66EF" w:rsidRPr="00E526BD" w:rsidP="00041AAD">
      <w:pPr>
        <w:pStyle w:val="Text1"/>
        <w:spacing w:after="0"/>
        <w:ind w:left="0"/>
        <w:rPr>
          <w:rFonts w:ascii="Arial" w:hAnsi="Arial" w:cs="Arial"/>
        </w:rPr>
      </w:pPr>
    </w:p>
    <w:p w:rsidR="004F7611" w:rsidRPr="00E526BD" w:rsidP="005C78AA">
      <w:pPr>
        <w:pStyle w:val="Heading1"/>
        <w:spacing w:before="0" w:after="0"/>
        <w:jc w:val="both"/>
      </w:pPr>
      <w:r w:rsidRPr="00E526BD">
        <w:br w:type="page"/>
      </w:r>
      <w:bookmarkStart w:id="18" w:name="_Toc530579237"/>
      <w:r w:rsidRPr="00E526BD">
        <w:t xml:space="preserve">E. </w:t>
      </w:r>
      <w:r w:rsidRPr="00E526BD">
        <w:t>Safety certific</w:t>
      </w:r>
      <w:r w:rsidRPr="00E526BD">
        <w:t>ation and authorisation</w:t>
      </w:r>
      <w:bookmarkEnd w:id="18"/>
    </w:p>
    <w:p w:rsidR="00693F29" w:rsidRPr="00E526BD" w:rsidP="005C78AA">
      <w:pPr>
        <w:jc w:val="both"/>
        <w:rPr>
          <w:b/>
          <w:sz w:val="24"/>
          <w:szCs w:val="24"/>
        </w:rPr>
      </w:pPr>
    </w:p>
    <w:p w:rsidR="005C78AA" w:rsidRPr="00E526BD" w:rsidP="005C78AA">
      <w:pPr>
        <w:jc w:val="both"/>
        <w:rPr>
          <w:b/>
          <w:sz w:val="24"/>
          <w:szCs w:val="24"/>
        </w:rPr>
      </w:pPr>
    </w:p>
    <w:p w:rsidR="003E17B4" w:rsidRPr="00E526BD" w:rsidP="005C78AA">
      <w:pPr>
        <w:pStyle w:val="Heading2"/>
        <w:spacing w:before="0" w:after="0"/>
        <w:jc w:val="both"/>
      </w:pPr>
      <w:bookmarkStart w:id="19" w:name="_Toc530579238"/>
      <w:r w:rsidRPr="00E526BD">
        <w:t xml:space="preserve">E.1 </w:t>
      </w:r>
      <w:r w:rsidRPr="00E526BD">
        <w:t>Guidelines</w:t>
      </w:r>
      <w:bookmarkEnd w:id="19"/>
    </w:p>
    <w:p w:rsidR="007F40A0" w:rsidRPr="00E526BD" w:rsidP="005C78AA">
      <w:pPr>
        <w:jc w:val="both"/>
        <w:rPr>
          <w:sz w:val="24"/>
        </w:rPr>
      </w:pPr>
    </w:p>
    <w:p w:rsidR="004501EB" w:rsidRPr="00E526BD" w:rsidP="005C78AA">
      <w:pPr>
        <w:jc w:val="both"/>
        <w:rPr>
          <w:sz w:val="24"/>
        </w:rPr>
      </w:pPr>
      <w:r w:rsidRPr="00E526BD">
        <w:rPr>
          <w:sz w:val="24"/>
        </w:rPr>
        <w:t>Those applying for safety certificates A/B can still rely on a guideline and related additional notes. The guideline had been in force unchanged since 24 August 2012. During the reporting year, the German Federal R</w:t>
      </w:r>
      <w:r w:rsidRPr="00E526BD">
        <w:rPr>
          <w:sz w:val="24"/>
        </w:rPr>
        <w:t>ailway Authority launched an update process, which was completed in 2018. The guidelines dated 01.04.2018 along with further information have been published on the German Federal Railway Authority website. Link:</w:t>
      </w:r>
    </w:p>
    <w:p w:rsidR="004501EB" w:rsidRPr="00E526BD" w:rsidP="005C78AA">
      <w:pPr>
        <w:jc w:val="both"/>
        <w:rPr>
          <w:sz w:val="24"/>
        </w:rPr>
      </w:pPr>
      <w:hyperlink r:id="rId15" w:history="1">
        <w:r w:rsidRPr="00E526BD">
          <w:rPr>
            <w:rStyle w:val="Hyperlink"/>
            <w:sz w:val="24"/>
          </w:rPr>
          <w:t>https://www.eba.bund.de/DE/Themen/Eisenbahnunternehmen/SiBe/sibe_node.html</w:t>
        </w:r>
      </w:hyperlink>
    </w:p>
    <w:p w:rsidR="00154328" w:rsidRPr="00E526BD" w:rsidP="005C78AA">
      <w:pPr>
        <w:jc w:val="both"/>
        <w:rPr>
          <w:sz w:val="24"/>
        </w:rPr>
      </w:pPr>
    </w:p>
    <w:p w:rsidR="004501EB" w:rsidRPr="00E526BD" w:rsidP="005C78AA">
      <w:pPr>
        <w:jc w:val="both"/>
        <w:rPr>
          <w:sz w:val="24"/>
          <w:szCs w:val="24"/>
        </w:rPr>
      </w:pPr>
      <w:r w:rsidRPr="00E526BD">
        <w:rPr>
          <w:sz w:val="24"/>
        </w:rPr>
        <w:t>Since 23/04/2009, the ‘Guideline on the Issue of Safety Authorisations’ (version 1.0) has applied to the granting of safety author</w:t>
      </w:r>
      <w:r w:rsidRPr="00E526BD">
        <w:rPr>
          <w:sz w:val="24"/>
        </w:rPr>
        <w:t>isations. This guideline is also available on the EBA website. Link:</w:t>
      </w:r>
    </w:p>
    <w:p w:rsidR="007C0F50" w:rsidRPr="00E526BD" w:rsidP="005C78AA">
      <w:pPr>
        <w:jc w:val="both"/>
        <w:rPr>
          <w:sz w:val="24"/>
          <w:szCs w:val="24"/>
        </w:rPr>
      </w:pPr>
      <w:hyperlink r:id="rId16" w:history="1">
        <w:r w:rsidRPr="00E526BD">
          <w:rPr>
            <w:rStyle w:val="Hyperlink"/>
            <w:sz w:val="24"/>
          </w:rPr>
          <w:t>https://www.eba.bund.de/SharedDocs/Downloads/DE/Infrastruktur/SiGe/Leitfaden_SiGe_23_04_2009.html</w:t>
        </w:r>
      </w:hyperlink>
    </w:p>
    <w:p w:rsidR="005C78AA" w:rsidRPr="00E526BD" w:rsidP="005C78AA">
      <w:pPr>
        <w:jc w:val="both"/>
        <w:rPr>
          <w:sz w:val="24"/>
          <w:szCs w:val="24"/>
        </w:rPr>
      </w:pPr>
    </w:p>
    <w:p w:rsidR="005450C7" w:rsidRPr="00E526BD" w:rsidP="005C78AA">
      <w:pPr>
        <w:pStyle w:val="Heading2"/>
        <w:spacing w:before="0" w:after="0"/>
        <w:jc w:val="both"/>
      </w:pPr>
      <w:bookmarkStart w:id="20" w:name="_Toc530579239"/>
      <w:r w:rsidRPr="00E526BD">
        <w:t xml:space="preserve">E.2 </w:t>
      </w:r>
      <w:r w:rsidRPr="00E526BD">
        <w:t>Contacts with other national safety authorities</w:t>
      </w:r>
      <w:bookmarkEnd w:id="20"/>
    </w:p>
    <w:p w:rsidR="004501EB" w:rsidRPr="00E526BD" w:rsidP="005C78AA">
      <w:pPr>
        <w:jc w:val="both"/>
        <w:rPr>
          <w:sz w:val="24"/>
        </w:rPr>
      </w:pPr>
    </w:p>
    <w:p w:rsidR="004501EB" w:rsidRPr="00E526BD" w:rsidP="009336CD">
      <w:pPr>
        <w:jc w:val="both"/>
        <w:rPr>
          <w:sz w:val="24"/>
        </w:rPr>
      </w:pPr>
      <w:r w:rsidRPr="00E526BD">
        <w:rPr>
          <w:sz w:val="24"/>
        </w:rPr>
        <w:t xml:space="preserve">An increased cooperation with foreign safety authorities was evident in 2017, in particular regarding </w:t>
      </w:r>
      <w:r w:rsidRPr="00E526BD">
        <w:rPr>
          <w:sz w:val="24"/>
        </w:rPr>
        <w:t>re-certification of railway undertakings active in cross-border transport.</w:t>
      </w:r>
    </w:p>
    <w:p w:rsidR="005C78AA" w:rsidRPr="00E526BD" w:rsidP="005C78AA">
      <w:pPr>
        <w:jc w:val="both"/>
        <w:rPr>
          <w:b/>
          <w:sz w:val="24"/>
          <w:szCs w:val="24"/>
        </w:rPr>
      </w:pPr>
    </w:p>
    <w:p w:rsidR="005450C7" w:rsidRPr="00E526BD" w:rsidP="005C78AA">
      <w:pPr>
        <w:pStyle w:val="Heading2"/>
        <w:spacing w:before="0" w:after="0"/>
        <w:jc w:val="both"/>
      </w:pPr>
      <w:bookmarkStart w:id="21" w:name="_Toc530579240"/>
      <w:r w:rsidRPr="00E526BD">
        <w:t xml:space="preserve">E.3 </w:t>
      </w:r>
      <w:r w:rsidRPr="00E526BD">
        <w:t>Procedural aspects</w:t>
      </w:r>
      <w:bookmarkEnd w:id="21"/>
    </w:p>
    <w:p w:rsidR="005450C7" w:rsidRPr="00E526BD" w:rsidP="005C78AA">
      <w:pPr>
        <w:jc w:val="both"/>
        <w:rPr>
          <w:sz w:val="24"/>
          <w:szCs w:val="24"/>
        </w:rPr>
      </w:pPr>
    </w:p>
    <w:p w:rsidR="005C78AA" w:rsidRPr="00E526BD" w:rsidP="005C78AA">
      <w:pPr>
        <w:jc w:val="both"/>
        <w:rPr>
          <w:sz w:val="24"/>
          <w:szCs w:val="24"/>
        </w:rPr>
      </w:pPr>
      <w:r w:rsidRPr="00E526BD">
        <w:rPr>
          <w:sz w:val="24"/>
        </w:rPr>
        <w:t>No procedural anomalies can be reported for 2017. In all cases, differences in the processing of applications at individual undertakings are in every case c</w:t>
      </w:r>
      <w:r w:rsidRPr="00E526BD">
        <w:rPr>
          <w:sz w:val="24"/>
        </w:rPr>
        <w:t xml:space="preserve">aused by content-related aspects, or shortcomings of the application documentation. As for safety authorisations, the situation can be presented as follows: On 31.12.2017, a total of seven infrastructure managers had been granted a safety authorisation in </w:t>
      </w:r>
      <w:r w:rsidRPr="00E526BD">
        <w:rPr>
          <w:sz w:val="24"/>
        </w:rPr>
        <w:t>accordance with § 7c AEG. One infrastructure manager holds a preliminary safety authorisation, in accordance with § 38 Abs. 5 c AEG.</w:t>
      </w:r>
    </w:p>
    <w:p w:rsidR="005C78AA" w:rsidRPr="00E526BD" w:rsidP="005C78AA">
      <w:pPr>
        <w:jc w:val="both"/>
        <w:rPr>
          <w:sz w:val="24"/>
          <w:szCs w:val="24"/>
        </w:rPr>
      </w:pPr>
    </w:p>
    <w:p w:rsidR="005450C7" w:rsidRPr="00E526BD" w:rsidP="005C78AA">
      <w:pPr>
        <w:pStyle w:val="Heading2"/>
        <w:spacing w:before="0" w:after="0"/>
        <w:jc w:val="both"/>
      </w:pPr>
      <w:bookmarkStart w:id="22" w:name="_Toc530579241"/>
      <w:r w:rsidRPr="00E526BD">
        <w:t xml:space="preserve">E.4 </w:t>
      </w:r>
      <w:r w:rsidRPr="00E526BD">
        <w:t>Feedback</w:t>
      </w:r>
      <w:bookmarkEnd w:id="22"/>
    </w:p>
    <w:p w:rsidR="007F40A0" w:rsidRPr="00E526BD" w:rsidP="005C78AA">
      <w:pPr>
        <w:jc w:val="both"/>
        <w:rPr>
          <w:b/>
          <w:sz w:val="24"/>
          <w:szCs w:val="24"/>
        </w:rPr>
      </w:pPr>
    </w:p>
    <w:p w:rsidR="00F21572" w:rsidRPr="00E526BD" w:rsidP="00F21572">
      <w:pPr>
        <w:jc w:val="both"/>
        <w:rPr>
          <w:sz w:val="24"/>
          <w:szCs w:val="24"/>
        </w:rPr>
      </w:pPr>
      <w:r w:rsidRPr="00E526BD">
        <w:rPr>
          <w:sz w:val="24"/>
        </w:rPr>
        <w:t>The general administrative process in German provides applicants with the option of lodging an appeal once t</w:t>
      </w:r>
      <w:r w:rsidRPr="00E526BD">
        <w:rPr>
          <w:sz w:val="24"/>
        </w:rPr>
        <w:t xml:space="preserve">he decision has been issued, or lodging a complaint in a separate procedure. Applicants also have the option of submitting observations at any time during the processing of their applications </w:t>
      </w:r>
      <w:r w:rsidRPr="00E526BD">
        <w:rPr>
          <w:sz w:val="24"/>
        </w:rPr>
        <w:t>As</w:t>
      </w:r>
      <w:r w:rsidRPr="00E526BD">
        <w:rPr>
          <w:sz w:val="24"/>
        </w:rPr>
        <w:t xml:space="preserve"> railway undertakings present in the market for years have alr</w:t>
      </w:r>
      <w:r w:rsidRPr="00E526BD">
        <w:rPr>
          <w:sz w:val="24"/>
        </w:rPr>
        <w:t>eady gone through certification repeatedly, it can be observed in the actions of the undertakings that the procedures are well-established.</w:t>
      </w:r>
    </w:p>
    <w:p w:rsidR="005450C7" w:rsidRPr="00E526BD" w:rsidP="005C78AA">
      <w:pPr>
        <w:jc w:val="both"/>
        <w:rPr>
          <w:sz w:val="24"/>
          <w:szCs w:val="24"/>
        </w:rPr>
      </w:pPr>
      <w:r w:rsidRPr="00E526BD">
        <w:rPr>
          <w:sz w:val="24"/>
        </w:rPr>
        <w:t>In 2017, one company submitted a complaint due to being refused a safety certificate. The procedure has not yet been</w:t>
      </w:r>
      <w:r w:rsidRPr="00E526BD">
        <w:rPr>
          <w:sz w:val="24"/>
        </w:rPr>
        <w:t xml:space="preserve"> concluded. In addition to that, one company has appealed and lodged a complaint due to having a safety certificate withdrawn. These proceedings are also still underway.</w:t>
      </w:r>
    </w:p>
    <w:p w:rsidR="00E526BD">
      <w:pPr>
        <w:rPr>
          <w:rFonts w:cs="Arial"/>
          <w:b/>
          <w:bCs/>
          <w:kern w:val="32"/>
          <w:sz w:val="32"/>
          <w:szCs w:val="32"/>
        </w:rPr>
      </w:pPr>
      <w:bookmarkStart w:id="23" w:name="_Toc530579242"/>
      <w:r>
        <w:br w:type="page"/>
      </w:r>
    </w:p>
    <w:p w:rsidR="004F7611" w:rsidRPr="00E526BD" w:rsidP="005C78AA">
      <w:pPr>
        <w:pStyle w:val="Heading1"/>
        <w:spacing w:before="0" w:after="0"/>
      </w:pPr>
      <w:r w:rsidRPr="00E526BD">
        <w:t xml:space="preserve">F. </w:t>
      </w:r>
      <w:r w:rsidRPr="00E526BD">
        <w:t>Changes to statutes and regulations</w:t>
      </w:r>
      <w:bookmarkEnd w:id="23"/>
    </w:p>
    <w:p w:rsidR="005C78AA" w:rsidRPr="00E526BD" w:rsidP="00B30FA2"/>
    <w:p w:rsidR="005C78AA" w:rsidRPr="00E526BD" w:rsidP="00B30FA2"/>
    <w:p w:rsidR="004F7611" w:rsidRPr="00E526BD" w:rsidP="005C78AA">
      <w:pPr>
        <w:pStyle w:val="Heading2"/>
        <w:spacing w:before="0" w:after="0"/>
      </w:pPr>
      <w:bookmarkStart w:id="24" w:name="_Toc530579243"/>
      <w:r w:rsidRPr="00E526BD">
        <w:t xml:space="preserve">F.1 </w:t>
      </w:r>
      <w:r w:rsidRPr="00E526BD">
        <w:t>Railway Safety Directive</w:t>
      </w:r>
      <w:bookmarkEnd w:id="24"/>
    </w:p>
    <w:p w:rsidR="005C78AA" w:rsidRPr="00E526BD" w:rsidP="002B3E47">
      <w:pPr>
        <w:pStyle w:val="StandardText"/>
        <w:spacing w:after="0" w:line="240" w:lineRule="auto"/>
        <w:rPr>
          <w:rFonts w:ascii="Arial" w:hAnsi="Arial"/>
        </w:rPr>
      </w:pPr>
    </w:p>
    <w:p w:rsidR="00116919" w:rsidRPr="00E526BD" w:rsidP="002B3E47">
      <w:pPr>
        <w:pStyle w:val="StandardText"/>
        <w:spacing w:after="0" w:line="240" w:lineRule="auto"/>
        <w:rPr>
          <w:rFonts w:ascii="Arial" w:hAnsi="Arial"/>
        </w:rPr>
      </w:pPr>
      <w:r w:rsidRPr="00E526BD">
        <w:rPr>
          <w:rFonts w:ascii="Arial" w:hAnsi="Arial"/>
        </w:rPr>
        <w:t>Directive 2004/</w:t>
      </w:r>
      <w:r w:rsidRPr="00E526BD">
        <w:rPr>
          <w:rFonts w:ascii="Arial" w:hAnsi="Arial"/>
        </w:rPr>
        <w:t>49/EC on safety on the Community’s railways has been implemented into national law in Germany. The relevant legal acts implementing Directive 2004/49/EC were as follows:</w:t>
      </w:r>
    </w:p>
    <w:p w:rsidR="00116919" w:rsidRPr="00E526BD" w:rsidP="00116919">
      <w:pPr>
        <w:pStyle w:val="StandardText"/>
        <w:numPr>
          <w:ilvl w:val="0"/>
          <w:numId w:val="29"/>
        </w:numPr>
        <w:spacing w:after="0" w:line="240" w:lineRule="auto"/>
        <w:ind w:left="426"/>
        <w:rPr>
          <w:rFonts w:ascii="Arial" w:hAnsi="Arial"/>
        </w:rPr>
      </w:pPr>
      <w:r w:rsidRPr="00E526BD">
        <w:rPr>
          <w:rFonts w:ascii="Arial" w:hAnsi="Arial"/>
        </w:rPr>
        <w:t>Fifth Act Amending the Statutory Provisions Governing Railways of 16 April 2007 (</w:t>
      </w:r>
      <w:r w:rsidRPr="00E526BD">
        <w:rPr>
          <w:rFonts w:ascii="Arial" w:hAnsi="Arial"/>
        </w:rPr>
        <w:t>BGBl</w:t>
      </w:r>
      <w:r w:rsidRPr="00E526BD">
        <w:rPr>
          <w:rFonts w:ascii="Arial" w:hAnsi="Arial"/>
        </w:rPr>
        <w:t>. I p. 522), containing:</w:t>
      </w:r>
    </w:p>
    <w:p w:rsidR="00116919" w:rsidRPr="00E526BD" w:rsidP="00116919">
      <w:pPr>
        <w:pStyle w:val="StandardText"/>
        <w:numPr>
          <w:ilvl w:val="1"/>
          <w:numId w:val="29"/>
        </w:numPr>
        <w:spacing w:after="0" w:line="240" w:lineRule="auto"/>
        <w:ind w:left="851"/>
        <w:rPr>
          <w:rFonts w:ascii="Arial" w:hAnsi="Arial"/>
        </w:rPr>
      </w:pPr>
      <w:r w:rsidRPr="00E526BD">
        <w:rPr>
          <w:rFonts w:ascii="Arial" w:hAnsi="Arial"/>
        </w:rPr>
        <w:t>Amendment to the General Railway Act (</w:t>
      </w:r>
      <w:r w:rsidRPr="00E526BD">
        <w:rPr>
          <w:rFonts w:ascii="Arial" w:hAnsi="Arial"/>
        </w:rPr>
        <w:t>Allgemeinen</w:t>
      </w:r>
      <w:r w:rsidRPr="00E526BD">
        <w:rPr>
          <w:rFonts w:ascii="Arial" w:hAnsi="Arial"/>
        </w:rPr>
        <w:t xml:space="preserve"> </w:t>
      </w:r>
      <w:r w:rsidRPr="00E526BD">
        <w:rPr>
          <w:rFonts w:ascii="Arial" w:hAnsi="Arial"/>
        </w:rPr>
        <w:t>Eisenbahngesetzes</w:t>
      </w:r>
      <w:r w:rsidRPr="00E526BD">
        <w:rPr>
          <w:rFonts w:ascii="Arial" w:hAnsi="Arial"/>
        </w:rPr>
        <w:t xml:space="preserve"> - AEG); and</w:t>
      </w:r>
    </w:p>
    <w:p w:rsidR="00116919" w:rsidRPr="00E526BD" w:rsidP="00116919">
      <w:pPr>
        <w:pStyle w:val="StandardText"/>
        <w:numPr>
          <w:ilvl w:val="1"/>
          <w:numId w:val="29"/>
        </w:numPr>
        <w:spacing w:after="0" w:line="240" w:lineRule="auto"/>
        <w:ind w:left="851"/>
        <w:rPr>
          <w:rFonts w:ascii="Arial" w:hAnsi="Arial"/>
        </w:rPr>
      </w:pPr>
      <w:r w:rsidRPr="00E526BD">
        <w:rPr>
          <w:rFonts w:ascii="Arial" w:hAnsi="Arial"/>
        </w:rPr>
        <w:t xml:space="preserve">Amendment to the Federal Rail Traffic Management Act </w:t>
      </w:r>
      <w:r w:rsidRPr="00E526BD">
        <w:rPr>
          <w:rFonts w:ascii="Arial" w:hAnsi="Arial"/>
        </w:rPr>
        <w:t>Bundeseisenba</w:t>
      </w:r>
      <w:r w:rsidRPr="00E526BD">
        <w:rPr>
          <w:rFonts w:ascii="Arial" w:hAnsi="Arial"/>
        </w:rPr>
        <w:t>hnverkehrsverwaltungsgesetzes</w:t>
      </w:r>
      <w:r w:rsidRPr="00E526BD">
        <w:rPr>
          <w:rFonts w:ascii="Arial" w:hAnsi="Arial"/>
        </w:rPr>
        <w:t xml:space="preserve"> - (BEVVG).</w:t>
      </w:r>
    </w:p>
    <w:p w:rsidR="00116919" w:rsidRPr="00E526BD" w:rsidP="00116919">
      <w:pPr>
        <w:pStyle w:val="StandardText"/>
        <w:numPr>
          <w:ilvl w:val="0"/>
          <w:numId w:val="29"/>
        </w:numPr>
        <w:spacing w:after="0" w:line="240" w:lineRule="auto"/>
        <w:ind w:left="426"/>
        <w:rPr>
          <w:rFonts w:ascii="Arial" w:hAnsi="Arial"/>
        </w:rPr>
      </w:pPr>
      <w:r w:rsidRPr="00E526BD">
        <w:rPr>
          <w:rFonts w:ascii="Arial" w:hAnsi="Arial"/>
        </w:rPr>
        <w:t>Second Regulation on the Enactment and Amendment of the Statutory Provisions Governing Railways [</w:t>
      </w:r>
      <w:r w:rsidRPr="00E526BD">
        <w:rPr>
          <w:rFonts w:ascii="Arial" w:hAnsi="Arial"/>
        </w:rPr>
        <w:t>Zweite</w:t>
      </w:r>
      <w:r w:rsidRPr="00E526BD">
        <w:rPr>
          <w:rFonts w:ascii="Arial" w:hAnsi="Arial"/>
        </w:rPr>
        <w:t xml:space="preserve"> </w:t>
      </w:r>
      <w:r w:rsidRPr="00E526BD">
        <w:rPr>
          <w:rFonts w:ascii="Arial" w:hAnsi="Arial"/>
        </w:rPr>
        <w:t>Verordnung</w:t>
      </w:r>
      <w:r w:rsidRPr="00E526BD">
        <w:rPr>
          <w:rFonts w:ascii="Arial" w:hAnsi="Arial"/>
        </w:rPr>
        <w:t xml:space="preserve"> </w:t>
      </w:r>
      <w:r w:rsidRPr="00E526BD">
        <w:rPr>
          <w:rFonts w:ascii="Arial" w:hAnsi="Arial"/>
        </w:rPr>
        <w:t>zum</w:t>
      </w:r>
      <w:r w:rsidRPr="00E526BD">
        <w:rPr>
          <w:rFonts w:ascii="Arial" w:hAnsi="Arial"/>
        </w:rPr>
        <w:t xml:space="preserve"> </w:t>
      </w:r>
      <w:r w:rsidRPr="00E526BD">
        <w:rPr>
          <w:rFonts w:ascii="Arial" w:hAnsi="Arial"/>
        </w:rPr>
        <w:t>Erlass</w:t>
      </w:r>
      <w:r w:rsidRPr="00E526BD">
        <w:rPr>
          <w:rFonts w:ascii="Arial" w:hAnsi="Arial"/>
        </w:rPr>
        <w:t xml:space="preserve"> und </w:t>
      </w:r>
      <w:r w:rsidRPr="00E526BD">
        <w:rPr>
          <w:rFonts w:ascii="Arial" w:hAnsi="Arial"/>
        </w:rPr>
        <w:t>zur</w:t>
      </w:r>
      <w:r w:rsidRPr="00E526BD">
        <w:rPr>
          <w:rFonts w:ascii="Arial" w:hAnsi="Arial"/>
        </w:rPr>
        <w:t xml:space="preserve"> </w:t>
      </w:r>
      <w:r w:rsidRPr="00E526BD">
        <w:rPr>
          <w:rFonts w:ascii="Arial" w:hAnsi="Arial"/>
        </w:rPr>
        <w:t>Änderung</w:t>
      </w:r>
      <w:r w:rsidRPr="00E526BD">
        <w:rPr>
          <w:rFonts w:ascii="Arial" w:hAnsi="Arial"/>
        </w:rPr>
        <w:t xml:space="preserve"> </w:t>
      </w:r>
      <w:r w:rsidRPr="00E526BD">
        <w:rPr>
          <w:rFonts w:ascii="Arial" w:hAnsi="Arial"/>
        </w:rPr>
        <w:t>eisenbahnrechtlicher</w:t>
      </w:r>
      <w:r w:rsidRPr="00E526BD">
        <w:rPr>
          <w:rFonts w:ascii="Arial" w:hAnsi="Arial"/>
        </w:rPr>
        <w:t xml:space="preserve"> </w:t>
      </w:r>
      <w:r w:rsidRPr="00E526BD">
        <w:rPr>
          <w:rFonts w:ascii="Arial" w:hAnsi="Arial"/>
        </w:rPr>
        <w:t>Vorschriften</w:t>
      </w:r>
      <w:r w:rsidRPr="00E526BD">
        <w:rPr>
          <w:rFonts w:ascii="Arial" w:hAnsi="Arial"/>
        </w:rPr>
        <w:t xml:space="preserve">] dated 5 July 2007 </w:t>
      </w:r>
      <w:r w:rsidRPr="00E526BD">
        <w:rPr>
          <w:rFonts w:ascii="Arial" w:hAnsi="Arial"/>
        </w:rPr>
        <w:t>BGBl</w:t>
      </w:r>
      <w:r w:rsidRPr="00E526BD">
        <w:rPr>
          <w:rFonts w:ascii="Arial" w:hAnsi="Arial"/>
        </w:rPr>
        <w:t>. I p. 1305), c</w:t>
      </w:r>
      <w:r w:rsidRPr="00E526BD">
        <w:rPr>
          <w:rFonts w:ascii="Arial" w:hAnsi="Arial"/>
        </w:rPr>
        <w:t>ontaining:</w:t>
      </w:r>
    </w:p>
    <w:p w:rsidR="00116919" w:rsidRPr="00E526BD" w:rsidP="00116919">
      <w:pPr>
        <w:pStyle w:val="StandardText"/>
        <w:numPr>
          <w:ilvl w:val="1"/>
          <w:numId w:val="29"/>
        </w:numPr>
        <w:spacing w:after="0" w:line="240" w:lineRule="auto"/>
        <w:ind w:left="851"/>
        <w:rPr>
          <w:rFonts w:ascii="Arial" w:hAnsi="Arial"/>
        </w:rPr>
      </w:pPr>
      <w:r w:rsidRPr="00E526BD">
        <w:rPr>
          <w:rFonts w:ascii="Arial" w:hAnsi="Arial"/>
        </w:rPr>
        <w:t>Enactment of the Trans-European Railway Interoperability Regulation (</w:t>
      </w:r>
      <w:r w:rsidRPr="00E526BD">
        <w:rPr>
          <w:rFonts w:ascii="Arial" w:hAnsi="Arial"/>
        </w:rPr>
        <w:t>Transeuropäische-Eisenbahn-Interoperabilitätsverordnung</w:t>
      </w:r>
      <w:r w:rsidRPr="00E526BD">
        <w:rPr>
          <w:rFonts w:ascii="Arial" w:hAnsi="Arial"/>
        </w:rPr>
        <w:t xml:space="preserve"> - TEIV),</w:t>
      </w:r>
    </w:p>
    <w:p w:rsidR="00116919" w:rsidRPr="00E526BD" w:rsidP="00116919">
      <w:pPr>
        <w:pStyle w:val="StandardText"/>
        <w:numPr>
          <w:ilvl w:val="1"/>
          <w:numId w:val="29"/>
        </w:numPr>
        <w:spacing w:after="0" w:line="240" w:lineRule="auto"/>
        <w:ind w:left="851"/>
        <w:rPr>
          <w:rFonts w:ascii="Arial" w:hAnsi="Arial"/>
        </w:rPr>
      </w:pPr>
      <w:r w:rsidRPr="00E526BD">
        <w:rPr>
          <w:rFonts w:ascii="Arial" w:hAnsi="Arial"/>
        </w:rPr>
        <w:t>Enactment of the Railway Safety Regulation (</w:t>
      </w:r>
      <w:r w:rsidRPr="00E526BD">
        <w:rPr>
          <w:rFonts w:ascii="Arial" w:hAnsi="Arial"/>
        </w:rPr>
        <w:t>Eisenbahn-Sicherheitsverordnung</w:t>
      </w:r>
      <w:r w:rsidRPr="00E526BD">
        <w:rPr>
          <w:rFonts w:ascii="Arial" w:hAnsi="Arial"/>
        </w:rPr>
        <w:t xml:space="preserve"> - </w:t>
      </w:r>
      <w:r w:rsidRPr="00E526BD">
        <w:rPr>
          <w:rFonts w:ascii="Arial" w:hAnsi="Arial"/>
        </w:rPr>
        <w:t>ESiV</w:t>
      </w:r>
      <w:r w:rsidRPr="00E526BD">
        <w:rPr>
          <w:rFonts w:ascii="Arial" w:hAnsi="Arial"/>
        </w:rPr>
        <w:t>),</w:t>
      </w:r>
    </w:p>
    <w:p w:rsidR="00116919" w:rsidRPr="00E526BD" w:rsidP="00116919">
      <w:pPr>
        <w:pStyle w:val="StandardText"/>
        <w:numPr>
          <w:ilvl w:val="1"/>
          <w:numId w:val="29"/>
        </w:numPr>
        <w:spacing w:after="0" w:line="240" w:lineRule="auto"/>
        <w:ind w:left="851"/>
        <w:rPr>
          <w:rFonts w:ascii="Arial" w:hAnsi="Arial"/>
        </w:rPr>
      </w:pPr>
      <w:r w:rsidRPr="00E526BD">
        <w:rPr>
          <w:rFonts w:ascii="Arial" w:hAnsi="Arial"/>
        </w:rPr>
        <w:t>Enactment of the Railway A</w:t>
      </w:r>
      <w:r w:rsidRPr="00E526BD">
        <w:rPr>
          <w:rFonts w:ascii="Arial" w:hAnsi="Arial"/>
        </w:rPr>
        <w:t>ccident Investigation Regulation (</w:t>
      </w:r>
      <w:r w:rsidRPr="00E526BD">
        <w:rPr>
          <w:rFonts w:ascii="Arial" w:hAnsi="Arial"/>
        </w:rPr>
        <w:t>Eisenbahn-Unfalluntersuchungsverordnung</w:t>
      </w:r>
      <w:r w:rsidRPr="00E526BD">
        <w:rPr>
          <w:rFonts w:ascii="Arial" w:hAnsi="Arial"/>
        </w:rPr>
        <w:t xml:space="preserve"> - EUV),</w:t>
      </w:r>
    </w:p>
    <w:p w:rsidR="00116919" w:rsidRPr="00E526BD" w:rsidP="00116919">
      <w:pPr>
        <w:pStyle w:val="StandardText"/>
        <w:numPr>
          <w:ilvl w:val="1"/>
          <w:numId w:val="29"/>
        </w:numPr>
        <w:spacing w:after="0" w:line="240" w:lineRule="auto"/>
        <w:ind w:left="851"/>
        <w:rPr>
          <w:rFonts w:ascii="Arial" w:hAnsi="Arial"/>
        </w:rPr>
      </w:pPr>
      <w:r w:rsidRPr="00E526BD">
        <w:rPr>
          <w:rFonts w:ascii="Arial" w:hAnsi="Arial"/>
        </w:rPr>
        <w:t>Amendment of the Railway Operations Manager Regulation (</w:t>
      </w:r>
      <w:r w:rsidRPr="00E526BD">
        <w:rPr>
          <w:rFonts w:ascii="Arial" w:hAnsi="Arial"/>
        </w:rPr>
        <w:t>Eisenbahnbetriebsleiterverordnung</w:t>
      </w:r>
      <w:r w:rsidRPr="00E526BD">
        <w:rPr>
          <w:rFonts w:ascii="Arial" w:hAnsi="Arial"/>
        </w:rPr>
        <w:t xml:space="preserve"> - EBV),</w:t>
      </w:r>
    </w:p>
    <w:p w:rsidR="00116919" w:rsidRPr="00E526BD" w:rsidP="00116919">
      <w:pPr>
        <w:pStyle w:val="StandardText"/>
        <w:numPr>
          <w:ilvl w:val="1"/>
          <w:numId w:val="29"/>
        </w:numPr>
        <w:spacing w:after="0" w:line="240" w:lineRule="auto"/>
        <w:ind w:left="851"/>
        <w:rPr>
          <w:rFonts w:ascii="Arial" w:hAnsi="Arial"/>
        </w:rPr>
      </w:pPr>
      <w:r w:rsidRPr="00E526BD">
        <w:rPr>
          <w:rFonts w:ascii="Arial" w:hAnsi="Arial"/>
        </w:rPr>
        <w:t>Amendment to the Railway Operations Manager Examination Regulation (</w:t>
      </w:r>
      <w:r w:rsidRPr="00E526BD">
        <w:rPr>
          <w:rFonts w:ascii="Arial" w:hAnsi="Arial"/>
        </w:rPr>
        <w:t>Eisenbah</w:t>
      </w:r>
      <w:r w:rsidRPr="00E526BD">
        <w:rPr>
          <w:rFonts w:ascii="Arial" w:hAnsi="Arial"/>
        </w:rPr>
        <w:t>nbetriebsleiter-Prüfungsverordnung</w:t>
      </w:r>
      <w:r w:rsidRPr="00E526BD">
        <w:rPr>
          <w:rFonts w:ascii="Arial" w:hAnsi="Arial"/>
        </w:rPr>
        <w:t xml:space="preserve"> - EBPV),</w:t>
      </w:r>
    </w:p>
    <w:p w:rsidR="00116919" w:rsidRPr="00E526BD" w:rsidP="00116919">
      <w:pPr>
        <w:pStyle w:val="StandardText"/>
        <w:numPr>
          <w:ilvl w:val="1"/>
          <w:numId w:val="29"/>
        </w:numPr>
        <w:spacing w:after="0" w:line="240" w:lineRule="auto"/>
        <w:ind w:left="851"/>
        <w:rPr>
          <w:rFonts w:ascii="Arial" w:hAnsi="Arial"/>
        </w:rPr>
      </w:pPr>
      <w:r w:rsidRPr="00E526BD">
        <w:rPr>
          <w:rFonts w:ascii="Arial" w:hAnsi="Arial"/>
        </w:rPr>
        <w:t>Amendment to the Regulation on Access to the Occupation of Railway Entrepreneurs (</w:t>
      </w:r>
      <w:r w:rsidRPr="00E526BD">
        <w:rPr>
          <w:rFonts w:ascii="Arial" w:hAnsi="Arial"/>
        </w:rPr>
        <w:t>Eisenbahnunternehmer-Berufszugangsverordnung</w:t>
      </w:r>
      <w:r w:rsidRPr="00E526BD">
        <w:rPr>
          <w:rFonts w:ascii="Arial" w:hAnsi="Arial"/>
        </w:rPr>
        <w:t xml:space="preserve"> - </w:t>
      </w:r>
      <w:r w:rsidRPr="00E526BD">
        <w:rPr>
          <w:rFonts w:ascii="Arial" w:hAnsi="Arial"/>
        </w:rPr>
        <w:t>EBZugV</w:t>
      </w:r>
      <w:r w:rsidRPr="00E526BD">
        <w:rPr>
          <w:rFonts w:ascii="Arial" w:hAnsi="Arial"/>
        </w:rPr>
        <w:t>),</w:t>
      </w:r>
    </w:p>
    <w:p w:rsidR="005C78AA" w:rsidRPr="00E526BD" w:rsidP="00116919">
      <w:pPr>
        <w:pStyle w:val="StandardText"/>
        <w:numPr>
          <w:ilvl w:val="1"/>
          <w:numId w:val="29"/>
        </w:numPr>
        <w:spacing w:after="0" w:line="240" w:lineRule="auto"/>
        <w:ind w:left="851"/>
        <w:rPr>
          <w:rFonts w:ascii="Arial" w:hAnsi="Arial"/>
        </w:rPr>
      </w:pPr>
      <w:r w:rsidRPr="00E526BD">
        <w:rPr>
          <w:rFonts w:ascii="Arial" w:hAnsi="Arial"/>
        </w:rPr>
        <w:t xml:space="preserve">Amendment to the Federal Railway Charges Regulation </w:t>
      </w:r>
      <w:r w:rsidRPr="00E526BD">
        <w:rPr>
          <w:rFonts w:ascii="Arial" w:hAnsi="Arial"/>
        </w:rPr>
        <w:t>(</w:t>
      </w:r>
      <w:r w:rsidRPr="00E526BD">
        <w:rPr>
          <w:rFonts w:ascii="Arial" w:hAnsi="Arial"/>
        </w:rPr>
        <w:t>Bundeseisenbahngebührenverordnung</w:t>
      </w:r>
      <w:r w:rsidRPr="00E526BD">
        <w:rPr>
          <w:rFonts w:ascii="Arial" w:hAnsi="Arial"/>
        </w:rPr>
        <w:t xml:space="preserve"> - </w:t>
      </w:r>
      <w:r w:rsidRPr="00E526BD">
        <w:rPr>
          <w:rFonts w:ascii="Arial" w:hAnsi="Arial"/>
        </w:rPr>
        <w:t>BEGebv</w:t>
      </w:r>
      <w:r w:rsidRPr="00E526BD">
        <w:rPr>
          <w:rFonts w:ascii="Arial" w:hAnsi="Arial"/>
        </w:rPr>
        <w:t>).</w:t>
      </w:r>
    </w:p>
    <w:p w:rsidR="00116919" w:rsidRPr="00E526BD" w:rsidP="002B3E47">
      <w:pPr>
        <w:pStyle w:val="StandardText"/>
        <w:spacing w:after="0" w:line="240" w:lineRule="auto"/>
        <w:rPr>
          <w:rFonts w:ascii="Arial" w:hAnsi="Arial"/>
        </w:rPr>
      </w:pPr>
    </w:p>
    <w:p w:rsidR="003D3A9A" w:rsidRPr="00E526BD" w:rsidP="005C78AA">
      <w:pPr>
        <w:pStyle w:val="StandardText"/>
        <w:spacing w:after="0" w:line="240" w:lineRule="auto"/>
        <w:rPr>
          <w:rFonts w:ascii="Arial" w:hAnsi="Arial" w:cs="Arial"/>
        </w:rPr>
      </w:pPr>
      <w:r w:rsidRPr="00E526BD">
        <w:rPr>
          <w:rFonts w:ascii="Arial" w:hAnsi="Arial" w:cs="Arial"/>
        </w:rPr>
        <w:t xml:space="preserve">The same applies to the 2008, 2009 and 2014 amendments to this Directive, the implementation status of which appears in </w:t>
      </w:r>
      <w:hyperlink w:anchor="_Tabelle_1:_Umsetzung_1" w:history="1">
        <w:r w:rsidRPr="00E526BD">
          <w:rPr>
            <w:rStyle w:val="Hyperlink"/>
            <w:rFonts w:ascii="Arial" w:hAnsi="Arial" w:cs="Arial"/>
          </w:rPr>
          <w:t>Table 1 of Annex B</w:t>
        </w:r>
      </w:hyperlink>
      <w:r w:rsidRPr="00E526BD">
        <w:rPr>
          <w:rFonts w:ascii="Arial" w:hAnsi="Arial" w:cs="Arial"/>
        </w:rPr>
        <w:t>.</w:t>
      </w:r>
    </w:p>
    <w:p w:rsidR="00A17AA0" w:rsidRPr="00E526BD" w:rsidP="005C78AA">
      <w:pPr>
        <w:pStyle w:val="Text1"/>
        <w:spacing w:after="0"/>
        <w:ind w:left="0"/>
        <w:rPr>
          <w:rFonts w:ascii="Arial" w:hAnsi="Arial" w:cs="Arial"/>
          <w:b/>
          <w:szCs w:val="24"/>
        </w:rPr>
      </w:pPr>
    </w:p>
    <w:p w:rsidR="005C78AA" w:rsidRPr="00E526BD" w:rsidP="005C78AA">
      <w:pPr>
        <w:pStyle w:val="Text1"/>
        <w:spacing w:after="0"/>
        <w:ind w:left="0"/>
        <w:rPr>
          <w:rFonts w:ascii="Arial" w:hAnsi="Arial" w:cs="Arial"/>
          <w:b/>
          <w:szCs w:val="24"/>
        </w:rPr>
      </w:pPr>
    </w:p>
    <w:p w:rsidR="004F7611" w:rsidRPr="00E526BD" w:rsidP="005C78AA">
      <w:pPr>
        <w:pStyle w:val="Heading2"/>
        <w:spacing w:before="0" w:after="0"/>
      </w:pPr>
      <w:bookmarkStart w:id="25" w:name="_Toc530579244"/>
      <w:r w:rsidRPr="00E526BD">
        <w:t xml:space="preserve">F.2 </w:t>
      </w:r>
      <w:r w:rsidRPr="00E526BD">
        <w:t>Changes in legislation</w:t>
      </w:r>
      <w:r w:rsidRPr="00E526BD">
        <w:t xml:space="preserve"> and administrative regulations</w:t>
      </w:r>
      <w:bookmarkEnd w:id="25"/>
    </w:p>
    <w:p w:rsidR="005C78AA" w:rsidRPr="00E526BD" w:rsidP="00C4203C">
      <w:pPr>
        <w:pStyle w:val="Text1"/>
        <w:spacing w:after="0"/>
        <w:ind w:left="0"/>
        <w:rPr>
          <w:rFonts w:ascii="Arial" w:hAnsi="Arial" w:cs="Arial"/>
          <w:szCs w:val="24"/>
        </w:rPr>
      </w:pPr>
    </w:p>
    <w:p w:rsidR="00877021" w:rsidRPr="00E526BD" w:rsidP="00C4203C">
      <w:pPr>
        <w:pStyle w:val="Text1"/>
        <w:spacing w:after="0"/>
        <w:ind w:left="0"/>
        <w:rPr>
          <w:rFonts w:ascii="Arial" w:hAnsi="Arial" w:cs="Arial"/>
          <w:szCs w:val="24"/>
        </w:rPr>
      </w:pPr>
      <w:hyperlink w:anchor="_Tabelle_2:_%C3%84nderungen" w:history="1">
        <w:r w:rsidRPr="00E526BD">
          <w:rPr>
            <w:rStyle w:val="Hyperlink"/>
            <w:rFonts w:ascii="Arial" w:hAnsi="Arial" w:cs="Arial"/>
          </w:rPr>
          <w:t>Table 2 of Annex B</w:t>
        </w:r>
      </w:hyperlink>
      <w:r w:rsidRPr="00E526BD">
        <w:rPr>
          <w:rFonts w:ascii="Arial" w:hAnsi="Arial" w:cs="Arial"/>
        </w:rPr>
        <w:t xml:space="preserve"> contains all the amendments to the national legal framework relating to railway safety (legal acts and administrative regulations) that were made in the report</w:t>
      </w:r>
      <w:r w:rsidRPr="00E526BD">
        <w:rPr>
          <w:rFonts w:ascii="Arial" w:hAnsi="Arial" w:cs="Arial"/>
        </w:rPr>
        <w:t>ing year.</w:t>
      </w:r>
    </w:p>
    <w:p w:rsidR="00750F63" w:rsidRPr="00E526BD" w:rsidP="00C4203C">
      <w:pPr>
        <w:pStyle w:val="StandardText"/>
        <w:spacing w:after="0" w:line="240" w:lineRule="auto"/>
        <w:rPr>
          <w:rFonts w:ascii="Arial" w:hAnsi="Arial" w:cs="Arial"/>
          <w:highlight w:val="yellow"/>
        </w:rPr>
      </w:pPr>
    </w:p>
    <w:p w:rsidR="00C4203C" w:rsidRPr="00E526BD" w:rsidP="00C4203C">
      <w:pPr>
        <w:pStyle w:val="StandardText"/>
        <w:spacing w:after="0" w:line="240" w:lineRule="auto"/>
        <w:rPr>
          <w:rFonts w:ascii="Arial" w:hAnsi="Arial" w:cs="Arial"/>
          <w:highlight w:val="yellow"/>
        </w:rPr>
      </w:pPr>
    </w:p>
    <w:p w:rsidR="00FB29C8" w:rsidRPr="00E526BD" w:rsidP="005C78AA">
      <w:pPr>
        <w:pStyle w:val="Heading1"/>
        <w:spacing w:before="0" w:after="0"/>
      </w:pPr>
      <w:r w:rsidRPr="00E526BD">
        <w:br w:type="page"/>
      </w:r>
      <w:bookmarkStart w:id="26" w:name="_Toc530579245"/>
      <w:r w:rsidRPr="00E526BD">
        <w:t xml:space="preserve">G. </w:t>
      </w:r>
      <w:r w:rsidRPr="00E526BD">
        <w:t>The application of CSM to risk evaluation and assessment</w:t>
      </w:r>
      <w:bookmarkEnd w:id="26"/>
    </w:p>
    <w:p w:rsidR="00FB29C8" w:rsidRPr="00E526BD" w:rsidP="005C78AA">
      <w:pPr>
        <w:pStyle w:val="StandardText"/>
        <w:spacing w:after="0" w:line="240" w:lineRule="auto"/>
        <w:rPr>
          <w:rFonts w:ascii="Arial" w:hAnsi="Arial" w:cs="Arial"/>
        </w:rPr>
      </w:pPr>
    </w:p>
    <w:p w:rsidR="00752D6F" w:rsidRPr="00E526BD" w:rsidP="005C78AA">
      <w:pPr>
        <w:pStyle w:val="StandardText"/>
        <w:spacing w:after="0" w:line="240" w:lineRule="auto"/>
        <w:rPr>
          <w:rFonts w:ascii="Arial" w:hAnsi="Arial" w:cs="Arial"/>
        </w:rPr>
      </w:pPr>
    </w:p>
    <w:p w:rsidR="00D50B8A" w:rsidRPr="00E526BD" w:rsidP="005C78AA">
      <w:pPr>
        <w:pStyle w:val="Heading2"/>
        <w:spacing w:before="0" w:after="0"/>
      </w:pPr>
      <w:bookmarkStart w:id="27" w:name="_Toc530579246"/>
      <w:r w:rsidRPr="00E526BD">
        <w:t xml:space="preserve">G.1 </w:t>
      </w:r>
      <w:r w:rsidRPr="00E526BD">
        <w:t>Experience of the safety authority</w:t>
      </w:r>
      <w:bookmarkEnd w:id="27"/>
    </w:p>
    <w:p w:rsidR="003F51A3" w:rsidRPr="00E526BD" w:rsidP="005C78AA">
      <w:pPr>
        <w:jc w:val="both"/>
        <w:rPr>
          <w:b/>
          <w:sz w:val="24"/>
          <w:szCs w:val="24"/>
        </w:rPr>
      </w:pPr>
    </w:p>
    <w:p w:rsidR="00845EED" w:rsidRPr="00E526BD" w:rsidP="005C78AA">
      <w:pPr>
        <w:autoSpaceDE w:val="0"/>
        <w:autoSpaceDN w:val="0"/>
        <w:adjustRightInd w:val="0"/>
        <w:jc w:val="both"/>
        <w:rPr>
          <w:sz w:val="24"/>
          <w:szCs w:val="24"/>
        </w:rPr>
      </w:pPr>
      <w:r w:rsidRPr="00E526BD">
        <w:rPr>
          <w:sz w:val="24"/>
        </w:rPr>
        <w:t>Commission Regulation (EC) No 352/2009 of 24 April 2009 on the adoption of a common safety method for risk evaluation and assessment, as referred to in Article 6(3)(a) of Directive 2004/49/EC of the European Parliament and of the Council, has had binding e</w:t>
      </w:r>
      <w:r w:rsidRPr="00E526BD">
        <w:rPr>
          <w:sz w:val="24"/>
        </w:rPr>
        <w:t>ffect since 1 July 2012. This Regulation was repealed as of 21 May 2015 and replaced by Regulation (EU) No 402/2013. The following areas already mentioned in the previous year show uncertainties from the point of view of the EBA:</w:t>
      </w:r>
    </w:p>
    <w:p w:rsidR="00845EED" w:rsidRPr="00E526BD" w:rsidP="005C78AA">
      <w:pPr>
        <w:pStyle w:val="ListParagraph"/>
        <w:numPr>
          <w:ilvl w:val="0"/>
          <w:numId w:val="27"/>
        </w:numPr>
        <w:autoSpaceDE w:val="0"/>
        <w:autoSpaceDN w:val="0"/>
        <w:adjustRightInd w:val="0"/>
        <w:ind w:left="426"/>
        <w:jc w:val="both"/>
        <w:rPr>
          <w:sz w:val="24"/>
          <w:szCs w:val="24"/>
        </w:rPr>
      </w:pPr>
      <w:r w:rsidRPr="00E526BD">
        <w:rPr>
          <w:sz w:val="24"/>
        </w:rPr>
        <w:t>Interpretation of the term</w:t>
      </w:r>
      <w:r w:rsidRPr="00E526BD">
        <w:rPr>
          <w:sz w:val="24"/>
        </w:rPr>
        <w:t>s ‘change’ and ‘significance’, in particular assessment criteria for examining significance and relevance to safety;</w:t>
      </w:r>
    </w:p>
    <w:p w:rsidR="00845EED" w:rsidRPr="00E526BD" w:rsidP="005C78AA">
      <w:pPr>
        <w:pStyle w:val="ListParagraph"/>
        <w:numPr>
          <w:ilvl w:val="0"/>
          <w:numId w:val="27"/>
        </w:numPr>
        <w:autoSpaceDE w:val="0"/>
        <w:autoSpaceDN w:val="0"/>
        <w:adjustRightInd w:val="0"/>
        <w:ind w:left="426"/>
        <w:jc w:val="both"/>
        <w:rPr>
          <w:sz w:val="24"/>
          <w:szCs w:val="24"/>
        </w:rPr>
      </w:pPr>
      <w:r w:rsidRPr="00E526BD">
        <w:rPr>
          <w:sz w:val="24"/>
        </w:rPr>
        <w:t>Requirement for a reference system, possibly an explicit one, for risks identified in the simplified procedure.</w:t>
      </w:r>
    </w:p>
    <w:p w:rsidR="00F21572" w:rsidRPr="00E526BD" w:rsidP="00F21572">
      <w:pPr>
        <w:autoSpaceDE w:val="0"/>
        <w:autoSpaceDN w:val="0"/>
        <w:adjustRightInd w:val="0"/>
        <w:jc w:val="both"/>
        <w:rPr>
          <w:sz w:val="24"/>
          <w:szCs w:val="24"/>
        </w:rPr>
      </w:pPr>
    </w:p>
    <w:p w:rsidR="00F21572" w:rsidRPr="00E526BD" w:rsidP="00F21572">
      <w:pPr>
        <w:autoSpaceDE w:val="0"/>
        <w:autoSpaceDN w:val="0"/>
        <w:adjustRightInd w:val="0"/>
        <w:jc w:val="both"/>
        <w:rPr>
          <w:sz w:val="24"/>
          <w:szCs w:val="24"/>
        </w:rPr>
      </w:pPr>
      <w:r w:rsidRPr="00E526BD">
        <w:rPr>
          <w:sz w:val="24"/>
        </w:rPr>
        <w:t>The EBA does not perform a</w:t>
      </w:r>
      <w:r w:rsidRPr="00E526BD">
        <w:rPr>
          <w:sz w:val="24"/>
        </w:rPr>
        <w:t xml:space="preserve"> full review of all significance checks of the federal railways, as obligation to notifying or submit these does not exist in all cases. As part of its supervision, the EBA rather monitors the application of the CSM risk assessment and evaluation by random</w:t>
      </w:r>
      <w:r w:rsidRPr="00E526BD">
        <w:rPr>
          <w:sz w:val="24"/>
        </w:rPr>
        <w:t xml:space="preserve"> sampling, including significance checks carried out. In doing so, the EBA did not find any systematic deficits.</w:t>
      </w:r>
    </w:p>
    <w:p w:rsidR="005450C7" w:rsidRPr="00E526BD" w:rsidP="005C78AA">
      <w:pPr>
        <w:autoSpaceDE w:val="0"/>
        <w:autoSpaceDN w:val="0"/>
        <w:adjustRightInd w:val="0"/>
        <w:jc w:val="both"/>
        <w:rPr>
          <w:sz w:val="24"/>
          <w:szCs w:val="24"/>
        </w:rPr>
      </w:pPr>
    </w:p>
    <w:p w:rsidR="005450C7" w:rsidRPr="00E526BD" w:rsidP="005C78AA">
      <w:pPr>
        <w:autoSpaceDE w:val="0"/>
        <w:autoSpaceDN w:val="0"/>
        <w:adjustRightInd w:val="0"/>
        <w:jc w:val="both"/>
        <w:rPr>
          <w:sz w:val="24"/>
          <w:szCs w:val="24"/>
          <w:u w:val="single"/>
        </w:rPr>
      </w:pPr>
      <w:r w:rsidRPr="00E526BD">
        <w:rPr>
          <w:sz w:val="24"/>
          <w:u w:val="single"/>
        </w:rPr>
        <w:t>Infrastructure</w:t>
      </w:r>
    </w:p>
    <w:p w:rsidR="00BF5FE8" w:rsidRPr="00E526BD" w:rsidP="007B6F13">
      <w:pPr>
        <w:autoSpaceDE w:val="0"/>
        <w:autoSpaceDN w:val="0"/>
        <w:adjustRightInd w:val="0"/>
        <w:jc w:val="both"/>
        <w:rPr>
          <w:sz w:val="24"/>
          <w:szCs w:val="24"/>
        </w:rPr>
      </w:pPr>
      <w:r w:rsidRPr="00E526BD">
        <w:rPr>
          <w:sz w:val="24"/>
        </w:rPr>
        <w:t>The federal railways have generally applied their procedures for CSM risk evaluation and assessment in the reporting year and d</w:t>
      </w:r>
      <w:r w:rsidRPr="00E526BD">
        <w:rPr>
          <w:sz w:val="24"/>
        </w:rPr>
        <w:t>eveloped them further. The infrastructure managers submitted their documentations in relation to the application of the CSM procedure to the EBA for approval in individual cases, or as part of the construction of works, with consideration to stipulations s</w:t>
      </w:r>
      <w:r w:rsidRPr="00E526BD">
        <w:rPr>
          <w:sz w:val="24"/>
        </w:rPr>
        <w:t>uch as exceptions and non-application in the case of insufficient significance.</w:t>
      </w:r>
    </w:p>
    <w:p w:rsidR="00C464A7" w:rsidRPr="00E526BD" w:rsidP="00C464A7">
      <w:pPr>
        <w:autoSpaceDE w:val="0"/>
        <w:autoSpaceDN w:val="0"/>
        <w:adjustRightInd w:val="0"/>
        <w:jc w:val="both"/>
        <w:rPr>
          <w:sz w:val="24"/>
          <w:szCs w:val="24"/>
        </w:rPr>
      </w:pPr>
    </w:p>
    <w:p w:rsidR="00041AAD" w:rsidRPr="00E526BD" w:rsidP="005C78AA">
      <w:pPr>
        <w:autoSpaceDE w:val="0"/>
        <w:autoSpaceDN w:val="0"/>
        <w:adjustRightInd w:val="0"/>
        <w:jc w:val="both"/>
        <w:rPr>
          <w:sz w:val="24"/>
          <w:szCs w:val="24"/>
          <w:u w:val="single"/>
        </w:rPr>
      </w:pPr>
      <w:r w:rsidRPr="00E526BD">
        <w:rPr>
          <w:sz w:val="24"/>
          <w:u w:val="single"/>
        </w:rPr>
        <w:t>Operations</w:t>
      </w:r>
    </w:p>
    <w:p w:rsidR="00041AAD" w:rsidRPr="00E526BD" w:rsidP="009336CD">
      <w:pPr>
        <w:autoSpaceDE w:val="0"/>
        <w:autoSpaceDN w:val="0"/>
        <w:adjustRightInd w:val="0"/>
        <w:jc w:val="both"/>
        <w:rPr>
          <w:sz w:val="24"/>
          <w:szCs w:val="24"/>
        </w:rPr>
      </w:pPr>
      <w:r w:rsidRPr="00E526BD">
        <w:rPr>
          <w:sz w:val="24"/>
        </w:rPr>
        <w:t>It is also to be noted that the criteria of ‘significance’ and ‘safety relevance,’ which are not specified more precisely in the CSM risk evaluation and leave the undertakings considerable leeway in their handling of the process. Even the Federal Railway A</w:t>
      </w:r>
      <w:r w:rsidRPr="00E526BD">
        <w:rPr>
          <w:sz w:val="24"/>
        </w:rPr>
        <w:t>uthority can also only intervene in rare cases to correct administrative action, because these two legal terms cannot be interpreted as they are not sufficiently unambiguous for enforcement. An example for this is the integration of new transport activitie</w:t>
      </w:r>
      <w:r w:rsidRPr="00E526BD">
        <w:rPr>
          <w:sz w:val="24"/>
        </w:rPr>
        <w:t>s or the initial operation of an undertaking into the method, including all possible scenarios for vehicle deployment, having them run on the network, and for operative duties during operation. Increasing practicability and safe actions e.g. by the corresp</w:t>
      </w:r>
      <w:r w:rsidRPr="00E526BD">
        <w:rPr>
          <w:sz w:val="24"/>
        </w:rPr>
        <w:t>onding training for undertakings and the authorities should be in the focus of the activities of the European Union Agency for Railways in relation to CSM risk evaluation in the future.</w:t>
      </w:r>
    </w:p>
    <w:p w:rsidR="00AE7A1F" w:rsidRPr="00E526BD" w:rsidP="00AE7A1F">
      <w:pPr>
        <w:autoSpaceDE w:val="0"/>
        <w:autoSpaceDN w:val="0"/>
        <w:adjustRightInd w:val="0"/>
        <w:jc w:val="both"/>
        <w:rPr>
          <w:sz w:val="24"/>
          <w:szCs w:val="24"/>
        </w:rPr>
      </w:pPr>
    </w:p>
    <w:p w:rsidR="00F21572" w:rsidRPr="00E526BD">
      <w:pPr>
        <w:rPr>
          <w:sz w:val="24"/>
          <w:szCs w:val="24"/>
          <w:u w:val="single"/>
        </w:rPr>
      </w:pPr>
      <w:r w:rsidRPr="00E526BD">
        <w:br w:type="page"/>
      </w:r>
    </w:p>
    <w:p w:rsidR="00AE7A1F" w:rsidRPr="00E526BD" w:rsidP="00AE7A1F">
      <w:pPr>
        <w:autoSpaceDE w:val="0"/>
        <w:autoSpaceDN w:val="0"/>
        <w:adjustRightInd w:val="0"/>
        <w:jc w:val="both"/>
        <w:rPr>
          <w:sz w:val="24"/>
          <w:szCs w:val="24"/>
          <w:u w:val="single"/>
        </w:rPr>
      </w:pPr>
      <w:r w:rsidRPr="00E526BD">
        <w:rPr>
          <w:sz w:val="24"/>
          <w:u w:val="single"/>
        </w:rPr>
        <w:t>Vehicle licensing</w:t>
      </w:r>
    </w:p>
    <w:p w:rsidR="00AE7A1F" w:rsidRPr="00E526BD" w:rsidP="00AE7A1F">
      <w:pPr>
        <w:autoSpaceDE w:val="0"/>
        <w:autoSpaceDN w:val="0"/>
        <w:adjustRightInd w:val="0"/>
        <w:jc w:val="both"/>
        <w:rPr>
          <w:sz w:val="24"/>
          <w:szCs w:val="24"/>
        </w:rPr>
      </w:pPr>
      <w:r w:rsidRPr="00E526BD">
        <w:rPr>
          <w:sz w:val="24"/>
        </w:rPr>
        <w:t>The situation has not changed as regards the lice</w:t>
      </w:r>
      <w:r w:rsidRPr="00E526BD">
        <w:rPr>
          <w:sz w:val="24"/>
        </w:rPr>
        <w:t>nsing of vehicles. The framework is determined by the Administrative Regulation on Authorisation for Placing Railway Rolling Stock in Service (</w:t>
      </w:r>
      <w:r w:rsidRPr="00E526BD">
        <w:rPr>
          <w:sz w:val="24"/>
        </w:rPr>
        <w:t>Verwaltungsvorschrift</w:t>
      </w:r>
      <w:r w:rsidRPr="00E526BD">
        <w:rPr>
          <w:sz w:val="24"/>
        </w:rPr>
        <w:t xml:space="preserve"> </w:t>
      </w:r>
      <w:r w:rsidRPr="00E526BD">
        <w:rPr>
          <w:sz w:val="24"/>
        </w:rPr>
        <w:t>für</w:t>
      </w:r>
      <w:r w:rsidRPr="00E526BD">
        <w:rPr>
          <w:sz w:val="24"/>
        </w:rPr>
        <w:t xml:space="preserve"> die </w:t>
      </w:r>
      <w:r w:rsidRPr="00E526BD">
        <w:rPr>
          <w:sz w:val="24"/>
        </w:rPr>
        <w:t>Inbetriebnahmegenehmigung</w:t>
      </w:r>
      <w:r w:rsidRPr="00E526BD">
        <w:rPr>
          <w:sz w:val="24"/>
        </w:rPr>
        <w:t xml:space="preserve"> von </w:t>
      </w:r>
      <w:r w:rsidRPr="00E526BD">
        <w:rPr>
          <w:sz w:val="24"/>
        </w:rPr>
        <w:t>Eisenbahnfahrzeugen</w:t>
      </w:r>
      <w:r w:rsidRPr="00E526BD">
        <w:rPr>
          <w:sz w:val="24"/>
        </w:rPr>
        <w:t xml:space="preserve"> - VV IBG), the guideline on CSM R</w:t>
      </w:r>
      <w:r w:rsidRPr="00E526BD">
        <w:rPr>
          <w:sz w:val="24"/>
        </w:rPr>
        <w:t>isk Evaluation and Assessment and Rolling Stock Safety Regulations (</w:t>
      </w:r>
      <w:r w:rsidRPr="00E526BD">
        <w:rPr>
          <w:sz w:val="24"/>
        </w:rPr>
        <w:t>Sicherheits-Regelwerk</w:t>
      </w:r>
      <w:r w:rsidRPr="00E526BD">
        <w:rPr>
          <w:sz w:val="24"/>
        </w:rPr>
        <w:t xml:space="preserve"> </w:t>
      </w:r>
      <w:r w:rsidRPr="00E526BD">
        <w:rPr>
          <w:sz w:val="24"/>
        </w:rPr>
        <w:t>Fahrzeuge</w:t>
      </w:r>
      <w:r w:rsidRPr="00E526BD">
        <w:rPr>
          <w:sz w:val="24"/>
        </w:rPr>
        <w:t xml:space="preserve"> - SIRF). The VV IBG has annexes, which may serve as a template for the safety assessment report in accordance with the CSM. The procedure outlined therein i</w:t>
      </w:r>
      <w:r w:rsidRPr="00E526BD">
        <w:rPr>
          <w:sz w:val="24"/>
        </w:rPr>
        <w:t>s used for authorisations to place new vehicles in service and for notifications/authorisations for placing in service of modifications to existing vehicles. In addition to the use of the risk assessment when placing vehicles into service within the framew</w:t>
      </w:r>
      <w:r w:rsidRPr="00E526BD">
        <w:rPr>
          <w:sz w:val="24"/>
        </w:rPr>
        <w:t>ork of the VV IBG, the ‘Sector Agreement MoU on Vehicle Licensing’ also stipulates the use of the CSM risk assessment when licensing vehicles. As a rule, the applicants submit the documents envisaged in the ‘MoU on Vehicle Licensing’ (result of safety asse</w:t>
      </w:r>
      <w:r w:rsidRPr="00E526BD">
        <w:rPr>
          <w:sz w:val="24"/>
        </w:rPr>
        <w:t>ssment report and related declaration): for all significant changes, a risk management procedure must be applied and a declaration must be given that the result of the safety assessment report confirm that the relevant risks have been identified by all sui</w:t>
      </w:r>
      <w:r w:rsidRPr="00E526BD">
        <w:rPr>
          <w:sz w:val="24"/>
        </w:rPr>
        <w:t>table methods and the implemented measures for verification sufficiently cover all risks arising from the significant change. Where Regulation (EU) No 402/2013 is applied, this is done in the proposer’s written declaration under Article 16 of that Regulati</w:t>
      </w:r>
      <w:r w:rsidRPr="00E526BD">
        <w:rPr>
          <w:sz w:val="24"/>
        </w:rPr>
        <w:t>on.</w:t>
      </w:r>
    </w:p>
    <w:p w:rsidR="00BF5FE8" w:rsidRPr="00E526BD" w:rsidP="005C78AA">
      <w:pPr>
        <w:autoSpaceDE w:val="0"/>
        <w:autoSpaceDN w:val="0"/>
        <w:adjustRightInd w:val="0"/>
        <w:jc w:val="both"/>
        <w:rPr>
          <w:sz w:val="24"/>
          <w:szCs w:val="24"/>
          <w:u w:val="single"/>
        </w:rPr>
      </w:pPr>
    </w:p>
    <w:p w:rsidR="005450C7" w:rsidRPr="00E526BD" w:rsidP="005C78AA">
      <w:pPr>
        <w:autoSpaceDE w:val="0"/>
        <w:autoSpaceDN w:val="0"/>
        <w:adjustRightInd w:val="0"/>
        <w:jc w:val="both"/>
        <w:rPr>
          <w:sz w:val="24"/>
          <w:szCs w:val="24"/>
          <w:u w:val="single"/>
        </w:rPr>
      </w:pPr>
      <w:r w:rsidRPr="00E526BD">
        <w:rPr>
          <w:sz w:val="24"/>
          <w:u w:val="single"/>
        </w:rPr>
        <w:t>Vehicle monitoring</w:t>
      </w:r>
    </w:p>
    <w:p w:rsidR="00E17010" w:rsidRPr="00E526BD" w:rsidP="00910AA0">
      <w:pPr>
        <w:autoSpaceDE w:val="0"/>
        <w:autoSpaceDN w:val="0"/>
        <w:adjustRightInd w:val="0"/>
        <w:jc w:val="both"/>
        <w:rPr>
          <w:sz w:val="24"/>
          <w:szCs w:val="24"/>
        </w:rPr>
      </w:pPr>
      <w:r w:rsidRPr="00E526BD">
        <w:rPr>
          <w:sz w:val="24"/>
        </w:rPr>
        <w:t xml:space="preserve">When carrying out vehicle monitoring, the German Federal Railway Authority also considers the way in which the CSM applies risk assessment. In doing so, uncertainty continues to arise with regard to the correct procedure. </w:t>
      </w:r>
      <w:r w:rsidRPr="00E526BD">
        <w:rPr>
          <w:sz w:val="24"/>
        </w:rPr>
        <w:t>As in previous years, the basic obligation to apply risk assessment in the case of a number of actors is not supported by appropriate processes. As a result, these actors only applied the CSM and identified the necessity to incorporate it into their proces</w:t>
      </w:r>
      <w:r w:rsidRPr="00E526BD">
        <w:rPr>
          <w:sz w:val="24"/>
        </w:rPr>
        <w:t>ses when asked to do so by the Federal Railway Authority.</w:t>
      </w:r>
    </w:p>
    <w:p w:rsidR="00700DA0" w:rsidRPr="00E526BD" w:rsidP="005C78AA">
      <w:pPr>
        <w:autoSpaceDE w:val="0"/>
        <w:autoSpaceDN w:val="0"/>
        <w:adjustRightInd w:val="0"/>
        <w:jc w:val="both"/>
        <w:rPr>
          <w:rFonts w:cs="Arial"/>
          <w:b/>
          <w:sz w:val="24"/>
          <w:szCs w:val="24"/>
        </w:rPr>
      </w:pPr>
    </w:p>
    <w:p w:rsidR="008B5687" w:rsidRPr="00E526BD" w:rsidP="005C78AA">
      <w:pPr>
        <w:pStyle w:val="Heading2"/>
        <w:spacing w:before="0" w:after="0"/>
      </w:pPr>
      <w:bookmarkStart w:id="28" w:name="_Toc530579247"/>
      <w:r w:rsidRPr="00E526BD">
        <w:t xml:space="preserve">G.2 </w:t>
      </w:r>
      <w:r w:rsidRPr="00E526BD">
        <w:t>Feedback from providers</w:t>
      </w:r>
      <w:bookmarkEnd w:id="28"/>
    </w:p>
    <w:p w:rsidR="008B5687" w:rsidRPr="00E526BD" w:rsidP="005C78AA">
      <w:pPr>
        <w:rPr>
          <w:b/>
          <w:sz w:val="24"/>
          <w:szCs w:val="24"/>
        </w:rPr>
      </w:pPr>
    </w:p>
    <w:p w:rsidR="00BF5FE8" w:rsidRPr="00E526BD" w:rsidP="005C78AA">
      <w:pPr>
        <w:autoSpaceDE w:val="0"/>
        <w:autoSpaceDN w:val="0"/>
        <w:adjustRightInd w:val="0"/>
        <w:jc w:val="both"/>
        <w:rPr>
          <w:sz w:val="24"/>
          <w:szCs w:val="24"/>
        </w:rPr>
      </w:pPr>
      <w:r w:rsidRPr="00E526BD">
        <w:rPr>
          <w:sz w:val="24"/>
        </w:rPr>
        <w:t>A formal feedback procedure has still not been introduced (e.g. use of questionnaires). The affected undertakings did not report directly to the EBA on any experience w</w:t>
      </w:r>
      <w:r w:rsidRPr="00E526BD">
        <w:rPr>
          <w:sz w:val="24"/>
        </w:rPr>
        <w:t>ith the application of CSM for the evaluation and assessment of risks. A survey of the undertakings in the form of interviews still shows that they do not have a unified understanding of the method and its management.</w:t>
      </w:r>
    </w:p>
    <w:p w:rsidR="00EA7CDC" w:rsidRPr="00E526BD" w:rsidP="005C78AA">
      <w:pPr>
        <w:autoSpaceDE w:val="0"/>
        <w:autoSpaceDN w:val="0"/>
        <w:adjustRightInd w:val="0"/>
        <w:jc w:val="both"/>
        <w:rPr>
          <w:sz w:val="24"/>
          <w:szCs w:val="24"/>
        </w:rPr>
      </w:pPr>
    </w:p>
    <w:p w:rsidR="008C2D4A" w:rsidRPr="00E526BD" w:rsidP="00E526BD">
      <w:pPr>
        <w:pStyle w:val="Heading2"/>
        <w:spacing w:before="0" w:after="0"/>
        <w:jc w:val="both"/>
      </w:pPr>
      <w:bookmarkStart w:id="29" w:name="_Toc530579248"/>
      <w:r w:rsidRPr="00E526BD">
        <w:t xml:space="preserve">G.3 </w:t>
      </w:r>
      <w:r w:rsidRPr="00E526BD">
        <w:t>Revision of national safety regu</w:t>
      </w:r>
      <w:r w:rsidRPr="00E526BD">
        <w:t>lations to take account of the Commission Regulation on CSM for risk evaluation and assessment</w:t>
      </w:r>
      <w:bookmarkEnd w:id="29"/>
    </w:p>
    <w:p w:rsidR="008C2D4A" w:rsidRPr="00E526BD" w:rsidP="005C78AA">
      <w:pPr>
        <w:autoSpaceDE w:val="0"/>
        <w:autoSpaceDN w:val="0"/>
        <w:adjustRightInd w:val="0"/>
        <w:jc w:val="both"/>
        <w:rPr>
          <w:i/>
          <w:iCs/>
          <w:sz w:val="24"/>
        </w:rPr>
      </w:pPr>
    </w:p>
    <w:p w:rsidR="00171963" w:rsidRPr="00E526BD" w:rsidP="005C78AA">
      <w:pPr>
        <w:jc w:val="both"/>
        <w:rPr>
          <w:sz w:val="24"/>
          <w:szCs w:val="24"/>
        </w:rPr>
      </w:pPr>
      <w:r w:rsidRPr="00E526BD">
        <w:rPr>
          <w:sz w:val="24"/>
        </w:rPr>
        <w:t>No special national safety regulations to take account of the Commission Regulation on CSM for risk evaluation and assessment have been enacted in Germany. This</w:t>
      </w:r>
      <w:r w:rsidRPr="00E526BD">
        <w:rPr>
          <w:sz w:val="24"/>
        </w:rPr>
        <w:t xml:space="preserve"> was not necessary.  Instead, the current EU Regulation is being directly applied.</w:t>
      </w:r>
    </w:p>
    <w:p w:rsidR="00D56D98" w:rsidRPr="00E526BD" w:rsidP="005C78AA">
      <w:pPr>
        <w:pStyle w:val="Heading1"/>
        <w:spacing w:before="0" w:after="0"/>
      </w:pPr>
      <w:r w:rsidRPr="00E526BD">
        <w:br w:type="page"/>
      </w:r>
      <w:bookmarkStart w:id="30" w:name="_Toc530579249"/>
      <w:r w:rsidRPr="00E526BD">
        <w:t xml:space="preserve">H. </w:t>
      </w:r>
      <w:r w:rsidRPr="00E526BD">
        <w:t>Application of CSM monitoring</w:t>
      </w:r>
      <w:bookmarkEnd w:id="30"/>
    </w:p>
    <w:p w:rsidR="005C78AA" w:rsidRPr="00E526BD" w:rsidP="00D56D98">
      <w:pPr>
        <w:jc w:val="both"/>
        <w:rPr>
          <w:rFonts w:cs="Arial"/>
          <w:sz w:val="24"/>
          <w:szCs w:val="24"/>
        </w:rPr>
      </w:pPr>
    </w:p>
    <w:p w:rsidR="005C78AA" w:rsidRPr="00E526BD" w:rsidP="00D56D98">
      <w:pPr>
        <w:jc w:val="both"/>
        <w:rPr>
          <w:rFonts w:cs="Arial"/>
          <w:sz w:val="24"/>
          <w:szCs w:val="24"/>
        </w:rPr>
      </w:pPr>
    </w:p>
    <w:p w:rsidR="00C464A7" w:rsidRPr="00E526BD" w:rsidP="00171963">
      <w:pPr>
        <w:jc w:val="both"/>
        <w:rPr>
          <w:rFonts w:cs="Arial"/>
          <w:sz w:val="24"/>
          <w:szCs w:val="24"/>
        </w:rPr>
      </w:pPr>
      <w:r w:rsidRPr="00E526BD">
        <w:rPr>
          <w:sz w:val="24"/>
        </w:rPr>
        <w:t>Regulation (EU) No 1078/2012 of 16 November 2012 on a common safety method for monitoring to be applied by railway undertakings, infrastructure managers after receiving a safety certificate or safety authorisation and by entities in charge of maintenance (</w:t>
      </w:r>
      <w:r w:rsidRPr="00E526BD">
        <w:rPr>
          <w:sz w:val="24"/>
        </w:rPr>
        <w:t>‘CSM Monitoring’) entered into force on 7 June 2013. The Regulation describes the requirements for the internal monitoring of the safety management system by the undertakings themselves.</w:t>
      </w:r>
    </w:p>
    <w:p w:rsidR="00C464A7" w:rsidRPr="00E526BD" w:rsidP="00D56D98">
      <w:pPr>
        <w:jc w:val="both"/>
        <w:rPr>
          <w:rFonts w:cs="Arial"/>
          <w:sz w:val="24"/>
          <w:szCs w:val="24"/>
        </w:rPr>
      </w:pPr>
    </w:p>
    <w:p w:rsidR="004C0893" w:rsidRPr="00E526BD" w:rsidP="004C0893">
      <w:pPr>
        <w:jc w:val="both"/>
        <w:rPr>
          <w:sz w:val="24"/>
          <w:szCs w:val="24"/>
          <w:u w:val="single"/>
        </w:rPr>
      </w:pPr>
      <w:r w:rsidRPr="00E526BD">
        <w:rPr>
          <w:sz w:val="24"/>
          <w:u w:val="single"/>
        </w:rPr>
        <w:t>Infrastructure</w:t>
      </w:r>
    </w:p>
    <w:p w:rsidR="004C0893" w:rsidRPr="00E526BD" w:rsidP="004C0893">
      <w:pPr>
        <w:jc w:val="both"/>
        <w:rPr>
          <w:sz w:val="24"/>
          <w:szCs w:val="24"/>
        </w:rPr>
      </w:pPr>
      <w:r w:rsidRPr="00E526BD">
        <w:rPr>
          <w:sz w:val="24"/>
        </w:rPr>
        <w:t xml:space="preserve">The EBA monitors the establishment and effectiveness </w:t>
      </w:r>
      <w:r w:rsidRPr="00E526BD">
        <w:rPr>
          <w:sz w:val="24"/>
        </w:rPr>
        <w:t>of internal monitoring procedures which are generally a component of the SMS by, on the basis of random sampling,</w:t>
      </w:r>
    </w:p>
    <w:p w:rsidR="004C0893" w:rsidRPr="00E526BD" w:rsidP="004C0893">
      <w:pPr>
        <w:numPr>
          <w:ilvl w:val="0"/>
          <w:numId w:val="33"/>
        </w:numPr>
        <w:jc w:val="both"/>
        <w:rPr>
          <w:sz w:val="24"/>
          <w:szCs w:val="24"/>
        </w:rPr>
      </w:pPr>
      <w:r w:rsidRPr="00E526BD">
        <w:rPr>
          <w:sz w:val="24"/>
        </w:rPr>
        <w:t>comparing the results of internal audits that the railway operations managers (EBL) carry out with the findings from the supervision activitie</w:t>
      </w:r>
      <w:r w:rsidRPr="00E526BD">
        <w:rPr>
          <w:sz w:val="24"/>
        </w:rPr>
        <w:t>s of the EBA pursuant to Regulation (EU) No 1077/2012;</w:t>
      </w:r>
    </w:p>
    <w:p w:rsidR="004C0893" w:rsidRPr="00E526BD" w:rsidP="004C0893">
      <w:pPr>
        <w:numPr>
          <w:ilvl w:val="0"/>
          <w:numId w:val="33"/>
        </w:numPr>
        <w:jc w:val="both"/>
        <w:rPr>
          <w:sz w:val="24"/>
          <w:szCs w:val="24"/>
        </w:rPr>
      </w:pPr>
      <w:r w:rsidRPr="00E526BD">
        <w:rPr>
          <w:sz w:val="24"/>
        </w:rPr>
        <w:t>participating</w:t>
      </w:r>
      <w:r w:rsidRPr="00E526BD">
        <w:rPr>
          <w:sz w:val="24"/>
        </w:rPr>
        <w:t xml:space="preserve"> in the railway operations managers' (EBL) audits at the bodies performing the maintenance.</w:t>
      </w:r>
    </w:p>
    <w:p w:rsidR="004C0893" w:rsidRPr="00E526BD" w:rsidP="004C0893">
      <w:pPr>
        <w:jc w:val="both"/>
        <w:rPr>
          <w:sz w:val="24"/>
          <w:szCs w:val="24"/>
        </w:rPr>
      </w:pPr>
      <w:r w:rsidRPr="00E526BD">
        <w:rPr>
          <w:sz w:val="24"/>
        </w:rPr>
        <w:t xml:space="preserve">As in the previous year, the findings of the EBA fundamentally correspond to those of the EBLs. </w:t>
      </w:r>
      <w:r w:rsidRPr="00E526BD">
        <w:rPr>
          <w:sz w:val="24"/>
        </w:rPr>
        <w:t>Accordingly, there are no negative findings as regards the manner of functioning of the monitoring procedures of the EIUs.</w:t>
      </w:r>
    </w:p>
    <w:p w:rsidR="004C0893" w:rsidRPr="00E526BD" w:rsidP="004C0893">
      <w:pPr>
        <w:jc w:val="both"/>
        <w:rPr>
          <w:sz w:val="24"/>
          <w:szCs w:val="24"/>
        </w:rPr>
      </w:pPr>
      <w:r w:rsidRPr="00E526BD">
        <w:rPr>
          <w:sz w:val="24"/>
        </w:rPr>
        <w:t>As the internal monitoring procedure generally forms part of the SMS, a check also takes place on the basis of the criteria set out i</w:t>
      </w:r>
      <w:r w:rsidRPr="00E526BD">
        <w:rPr>
          <w:sz w:val="24"/>
        </w:rPr>
        <w:t>n Regulation (EU) No 1169/2011 in the context of the granting of the safety authorisation pursuant to Section 7(c) AEG. Where deficits are identified, the EBA reports these to the undertaking concerned in the context of the authorisation procedure. However</w:t>
      </w:r>
      <w:r w:rsidRPr="00E526BD">
        <w:rPr>
          <w:sz w:val="24"/>
        </w:rPr>
        <w:t>, a complete substantive review of all processes does not take place, since the examination is generally limited to the existence of processes and, in certain cases, fundamental plausibility.</w:t>
      </w:r>
    </w:p>
    <w:p w:rsidR="00C464A7" w:rsidRPr="00E526BD" w:rsidP="00D56D98">
      <w:pPr>
        <w:jc w:val="both"/>
        <w:rPr>
          <w:rFonts w:cs="Arial"/>
          <w:sz w:val="24"/>
          <w:szCs w:val="24"/>
        </w:rPr>
      </w:pPr>
    </w:p>
    <w:p w:rsidR="004C0893" w:rsidRPr="00E526BD" w:rsidP="00D56D98">
      <w:pPr>
        <w:jc w:val="both"/>
        <w:rPr>
          <w:rFonts w:cs="Arial"/>
          <w:sz w:val="24"/>
          <w:szCs w:val="24"/>
          <w:u w:val="single"/>
        </w:rPr>
      </w:pPr>
      <w:r w:rsidRPr="00E526BD">
        <w:rPr>
          <w:sz w:val="24"/>
          <w:u w:val="single"/>
        </w:rPr>
        <w:t>Rolling stock / Operations</w:t>
      </w:r>
    </w:p>
    <w:p w:rsidR="00801FA2" w:rsidRPr="00E526BD" w:rsidP="00801FA2">
      <w:pPr>
        <w:jc w:val="both"/>
        <w:rPr>
          <w:rFonts w:cs="Arial"/>
          <w:sz w:val="24"/>
          <w:szCs w:val="24"/>
        </w:rPr>
      </w:pPr>
      <w:r w:rsidRPr="00E526BD">
        <w:rPr>
          <w:sz w:val="24"/>
        </w:rPr>
        <w:t>Experience from monitoring shows that application of this shared safety method still remains difficult for undertakings. First, this involves the technical integration of the method in relation to the SMS and its scheduling as individual tasks in the manag</w:t>
      </w:r>
      <w:r w:rsidRPr="00E526BD">
        <w:rPr>
          <w:sz w:val="24"/>
        </w:rPr>
        <w:t>ement. The undertakings require corresponding competence for this in order to abstractly handle managerial duties. Second, the appropriate consideration to and the regular work with the method also requires appropriate resources.</w:t>
      </w:r>
    </w:p>
    <w:p w:rsidR="00171963" w:rsidRPr="00E526BD" w:rsidP="00801FA2">
      <w:pPr>
        <w:jc w:val="both"/>
        <w:rPr>
          <w:rFonts w:cs="Arial"/>
          <w:b/>
          <w:bCs/>
          <w:kern w:val="32"/>
          <w:sz w:val="32"/>
          <w:szCs w:val="32"/>
        </w:rPr>
      </w:pPr>
      <w:r w:rsidRPr="00E526BD">
        <w:rPr>
          <w:sz w:val="24"/>
        </w:rPr>
        <w:t>In part, the EBA had issue</w:t>
      </w:r>
      <w:r w:rsidRPr="00E526BD">
        <w:rPr>
          <w:sz w:val="24"/>
        </w:rPr>
        <w:t xml:space="preserve">d decisions which, where there were known to be a cluster of certain shortcomings, required the companies to draw up and implement action plans in accordance with Article 3 of Regulation 1078/2012. This demonstrated some success in 2017. </w:t>
      </w:r>
      <w:r w:rsidRPr="00E526BD">
        <w:br w:type="page"/>
      </w:r>
    </w:p>
    <w:p w:rsidR="00C464A7" w:rsidRPr="00E526BD" w:rsidP="00C464A7">
      <w:pPr>
        <w:pStyle w:val="Heading1"/>
        <w:spacing w:before="0" w:after="0"/>
      </w:pPr>
      <w:bookmarkStart w:id="31" w:name="_Toc530579250"/>
      <w:r w:rsidRPr="00E526BD">
        <w:t xml:space="preserve">I. </w:t>
      </w:r>
      <w:r w:rsidRPr="00E526BD">
        <w:t>Exceptions to</w:t>
      </w:r>
      <w:r w:rsidRPr="00E526BD">
        <w:t xml:space="preserve"> the ECM certification system</w:t>
      </w:r>
      <w:bookmarkEnd w:id="31"/>
    </w:p>
    <w:p w:rsidR="00C464A7" w:rsidRPr="00E526BD" w:rsidP="00C464A7">
      <w:pPr>
        <w:jc w:val="both"/>
        <w:rPr>
          <w:rFonts w:cs="Arial"/>
          <w:sz w:val="24"/>
          <w:szCs w:val="24"/>
        </w:rPr>
      </w:pPr>
    </w:p>
    <w:p w:rsidR="00C464A7" w:rsidRPr="00E526BD" w:rsidP="00C464A7">
      <w:pPr>
        <w:jc w:val="both"/>
        <w:rPr>
          <w:rFonts w:cs="Arial"/>
          <w:sz w:val="24"/>
          <w:szCs w:val="24"/>
        </w:rPr>
      </w:pPr>
    </w:p>
    <w:p w:rsidR="00C464A7" w:rsidRPr="00E526BD" w:rsidP="00C464A7">
      <w:pPr>
        <w:jc w:val="both"/>
        <w:rPr>
          <w:rFonts w:cs="Arial"/>
          <w:sz w:val="24"/>
          <w:szCs w:val="24"/>
        </w:rPr>
      </w:pPr>
      <w:r w:rsidRPr="00E526BD">
        <w:rPr>
          <w:sz w:val="24"/>
        </w:rPr>
        <w:t>In this reporting year, the EBA has issued no exceptions pursuant to Article 14(a</w:t>
      </w:r>
      <w:r w:rsidRPr="00E526BD">
        <w:rPr>
          <w:sz w:val="24"/>
        </w:rPr>
        <w:t>)(</w:t>
      </w:r>
      <w:r w:rsidRPr="00E526BD">
        <w:rPr>
          <w:sz w:val="24"/>
        </w:rPr>
        <w:t>8) of Directive 2004/49/EC regarding the method for certifying the entity in charge of maintenance (ECM). Therefore, there was no need to def</w:t>
      </w:r>
      <w:r w:rsidRPr="00E526BD">
        <w:rPr>
          <w:sz w:val="24"/>
        </w:rPr>
        <w:t>ine alternative measures.</w:t>
      </w:r>
    </w:p>
    <w:p w:rsidR="00EF3FE6" w:rsidRPr="00E526BD" w:rsidP="005941BC">
      <w:pPr>
        <w:pStyle w:val="Heading1"/>
      </w:pPr>
      <w:r w:rsidRPr="00E526BD">
        <w:br w:type="page"/>
      </w:r>
    </w:p>
    <w:p w:rsidR="00580A06" w:rsidRPr="00E526BD" w:rsidP="00313D31">
      <w:pPr>
        <w:pStyle w:val="Heading1"/>
      </w:pPr>
      <w:bookmarkStart w:id="32" w:name="_A.2._Listen_der"/>
      <w:bookmarkStart w:id="33" w:name="_B.2._Diagramm:_Verbindung"/>
      <w:bookmarkStart w:id="34" w:name="_B.3._Diagramm:_Zusammenarbeit"/>
      <w:bookmarkStart w:id="35" w:name="_ANHANG_C:_CSI"/>
      <w:bookmarkStart w:id="36" w:name="_ANHANG_A:_Gemeinsame"/>
      <w:bookmarkStart w:id="37" w:name="_Toc530579251"/>
      <w:bookmarkEnd w:id="32"/>
      <w:bookmarkEnd w:id="33"/>
      <w:bookmarkEnd w:id="34"/>
      <w:bookmarkEnd w:id="35"/>
      <w:bookmarkEnd w:id="36"/>
      <w:r w:rsidRPr="00E526BD">
        <w:t>ANNEX A: Common Safety Indicators</w:t>
      </w:r>
      <w:bookmarkEnd w:id="37"/>
    </w:p>
    <w:p w:rsidR="005C1360" w:rsidRPr="00E526BD" w:rsidP="00EF3FE6"/>
    <w:p w:rsidR="00007EA5" w:rsidRPr="00E526BD" w:rsidP="00EF3FE6"/>
    <w:p w:rsidR="00765F11" w:rsidRPr="00E526BD" w:rsidP="00765F11">
      <w:pPr>
        <w:spacing w:before="87"/>
        <w:ind w:left="109"/>
        <w:rPr>
          <w:b/>
          <w:sz w:val="19"/>
        </w:rPr>
      </w:pPr>
      <w:r w:rsidRPr="00E526BD">
        <w:rPr>
          <w:b/>
          <w:w w:val="105"/>
          <w:sz w:val="19"/>
        </w:rPr>
        <w:t>Safety indicators in accordance with Annex I to the Railway Safety Directive (Directive 2004/49/EC)</w:t>
      </w:r>
    </w:p>
    <w:p w:rsidR="00765F11" w:rsidRPr="00E526BD" w:rsidP="00765F11">
      <w:pPr>
        <w:spacing w:before="8"/>
        <w:rPr>
          <w:b/>
          <w:sz w:val="17"/>
        </w:rPr>
      </w:pPr>
    </w:p>
    <w:p w:rsidR="00765F11" w:rsidRPr="00E526BD" w:rsidP="005B7DBD">
      <w:pPr>
        <w:pStyle w:val="Style1"/>
        <w:ind w:left="284" w:hanging="176"/>
        <w:outlineLvl w:val="9"/>
      </w:pPr>
      <w:r w:rsidRPr="00E526BD">
        <w:t>Indicators relating to accidents</w:t>
      </w:r>
    </w:p>
    <w:p w:rsidR="00765F11" w:rsidRPr="00E526BD" w:rsidP="00765F11">
      <w:pPr>
        <w:spacing w:before="3"/>
        <w:rPr>
          <w:b/>
          <w:sz w:val="9"/>
        </w:rPr>
      </w:pPr>
    </w:p>
    <w:p w:rsidR="00765F11" w:rsidRPr="00E526BD" w:rsidP="00765F11">
      <w:pPr>
        <w:pStyle w:val="ListParagraph"/>
        <w:widowControl w:val="0"/>
        <w:numPr>
          <w:ilvl w:val="1"/>
          <w:numId w:val="43"/>
        </w:numPr>
        <w:tabs>
          <w:tab w:val="left" w:pos="630"/>
        </w:tabs>
        <w:autoSpaceDE w:val="0"/>
        <w:autoSpaceDN w:val="0"/>
        <w:spacing w:before="101" w:line="283" w:lineRule="auto"/>
        <w:ind w:right="273" w:firstLine="0"/>
        <w:contextualSpacing w:val="0"/>
        <w:rPr>
          <w:b/>
          <w:sz w:val="13"/>
        </w:rPr>
      </w:pPr>
      <w:r w:rsidRPr="00E526BD">
        <w:rPr>
          <w:b/>
          <w:w w:val="105"/>
          <w:sz w:val="13"/>
        </w:rPr>
        <w:t xml:space="preserve">Total number of significant accidents and average number </w:t>
      </w:r>
      <w:r w:rsidRPr="00E526BD">
        <w:rPr>
          <w:b/>
          <w:w w:val="105"/>
          <w:sz w:val="13"/>
        </w:rPr>
        <w:t>of significant accidents (per million train-kilometres), broken down into the following types of accident</w:t>
      </w:r>
    </w:p>
    <w:p w:rsidR="00765F11" w:rsidRPr="00E526BD" w:rsidP="00765F11">
      <w:pPr>
        <w:spacing w:before="4" w:after="1"/>
        <w:rPr>
          <w:b/>
          <w:sz w:val="13"/>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7"/>
        <w:gridCol w:w="873"/>
        <w:gridCol w:w="873"/>
        <w:gridCol w:w="873"/>
        <w:gridCol w:w="873"/>
        <w:gridCol w:w="873"/>
        <w:gridCol w:w="873"/>
        <w:gridCol w:w="873"/>
        <w:gridCol w:w="873"/>
      </w:tblGrid>
      <w:tr w:rsidTr="00765F11">
        <w:tblPrEx>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28"/>
        </w:trPr>
        <w:tc>
          <w:tcPr>
            <w:tcW w:w="1787" w:type="dxa"/>
            <w:tcBorders>
              <w:top w:val="nil"/>
              <w:left w:val="nil"/>
            </w:tcBorders>
          </w:tcPr>
          <w:p w:rsidR="00765F11" w:rsidRPr="00E526BD" w:rsidP="00765F11">
            <w:pPr>
              <w:pStyle w:val="TableParagraph"/>
              <w:jc w:val="left"/>
              <w:rPr>
                <w:rFonts w:ascii="Times New Roman"/>
                <w:sz w:val="10"/>
              </w:rPr>
            </w:pPr>
          </w:p>
        </w:tc>
        <w:tc>
          <w:tcPr>
            <w:tcW w:w="873" w:type="dxa"/>
            <w:vAlign w:val="center"/>
          </w:tcPr>
          <w:p w:rsidR="00765F11" w:rsidRPr="00E526BD" w:rsidP="00E526BD">
            <w:pPr>
              <w:pStyle w:val="TableParagraph"/>
              <w:spacing w:before="55"/>
              <w:ind w:left="57"/>
              <w:rPr>
                <w:sz w:val="8"/>
              </w:rPr>
            </w:pPr>
            <w:r w:rsidRPr="00E526BD">
              <w:rPr>
                <w:w w:val="105"/>
                <w:sz w:val="8"/>
              </w:rPr>
              <w:t>All types of accident</w:t>
            </w:r>
          </w:p>
        </w:tc>
        <w:tc>
          <w:tcPr>
            <w:tcW w:w="873" w:type="dxa"/>
            <w:vAlign w:val="center"/>
          </w:tcPr>
          <w:p w:rsidR="00765F11" w:rsidRPr="00E526BD" w:rsidP="00E526BD">
            <w:pPr>
              <w:pStyle w:val="TableParagraph"/>
              <w:spacing w:line="297" w:lineRule="auto"/>
              <w:ind w:left="57"/>
              <w:rPr>
                <w:sz w:val="8"/>
              </w:rPr>
            </w:pPr>
            <w:r w:rsidRPr="00E526BD">
              <w:rPr>
                <w:w w:val="105"/>
                <w:sz w:val="8"/>
              </w:rPr>
              <w:t>Collisions of trains with a rail vehicle</w:t>
            </w:r>
          </w:p>
        </w:tc>
        <w:tc>
          <w:tcPr>
            <w:tcW w:w="873" w:type="dxa"/>
            <w:vAlign w:val="center"/>
          </w:tcPr>
          <w:p w:rsidR="00765F11" w:rsidRPr="00E526BD" w:rsidP="00E526BD">
            <w:pPr>
              <w:pStyle w:val="TableParagraph"/>
              <w:spacing w:line="297" w:lineRule="auto"/>
              <w:ind w:left="57" w:hanging="28"/>
              <w:rPr>
                <w:sz w:val="8"/>
              </w:rPr>
            </w:pPr>
            <w:r w:rsidRPr="00E526BD">
              <w:rPr>
                <w:w w:val="105"/>
                <w:sz w:val="8"/>
              </w:rPr>
              <w:t>Collisions of trains with an obstacle within the</w:t>
            </w:r>
            <w:r>
              <w:rPr>
                <w:w w:val="105"/>
                <w:sz w:val="8"/>
              </w:rPr>
              <w:t xml:space="preserve"> </w:t>
            </w:r>
            <w:r w:rsidRPr="00E526BD">
              <w:rPr>
                <w:w w:val="105"/>
                <w:sz w:val="8"/>
              </w:rPr>
              <w:t>clearance gauge</w:t>
            </w:r>
          </w:p>
        </w:tc>
        <w:tc>
          <w:tcPr>
            <w:tcW w:w="873" w:type="dxa"/>
            <w:vAlign w:val="center"/>
          </w:tcPr>
          <w:p w:rsidR="00765F11" w:rsidRPr="00E526BD" w:rsidP="00E526BD">
            <w:pPr>
              <w:pStyle w:val="TableParagraph"/>
              <w:spacing w:before="55"/>
              <w:ind w:left="57"/>
              <w:rPr>
                <w:sz w:val="8"/>
              </w:rPr>
            </w:pPr>
            <w:r w:rsidRPr="00E526BD">
              <w:rPr>
                <w:w w:val="105"/>
                <w:sz w:val="8"/>
              </w:rPr>
              <w:t>T</w:t>
            </w:r>
            <w:r w:rsidRPr="00E526BD">
              <w:rPr>
                <w:w w:val="105"/>
                <w:sz w:val="8"/>
              </w:rPr>
              <w:t>rain derailments</w:t>
            </w:r>
          </w:p>
        </w:tc>
        <w:tc>
          <w:tcPr>
            <w:tcW w:w="873" w:type="dxa"/>
            <w:vAlign w:val="center"/>
          </w:tcPr>
          <w:p w:rsidR="00765F11" w:rsidRPr="00E526BD" w:rsidP="00E526BD">
            <w:pPr>
              <w:pStyle w:val="TableParagraph"/>
              <w:spacing w:line="297" w:lineRule="auto"/>
              <w:ind w:left="57" w:hanging="6"/>
              <w:rPr>
                <w:sz w:val="8"/>
              </w:rPr>
            </w:pPr>
            <w:r w:rsidRPr="00E526BD">
              <w:rPr>
                <w:sz w:val="8"/>
              </w:rPr>
              <w:t>Level crossing accidents including accidents involving pedestrians</w:t>
            </w:r>
          </w:p>
        </w:tc>
        <w:tc>
          <w:tcPr>
            <w:tcW w:w="873" w:type="dxa"/>
            <w:vAlign w:val="center"/>
          </w:tcPr>
          <w:p w:rsidR="00765F11" w:rsidRPr="00E526BD" w:rsidP="00E526BD">
            <w:pPr>
              <w:pStyle w:val="TableParagraph"/>
              <w:spacing w:before="6" w:line="297" w:lineRule="auto"/>
              <w:ind w:left="57" w:hanging="8"/>
              <w:rPr>
                <w:sz w:val="8"/>
              </w:rPr>
            </w:pPr>
            <w:r w:rsidRPr="00E526BD">
              <w:rPr>
                <w:w w:val="105"/>
                <w:sz w:val="8"/>
              </w:rPr>
              <w:t>Accidents resulting in injury, in which a moving train</w:t>
            </w:r>
            <w:r>
              <w:rPr>
                <w:w w:val="105"/>
                <w:sz w:val="8"/>
              </w:rPr>
              <w:t xml:space="preserve"> </w:t>
            </w:r>
            <w:r w:rsidRPr="00E526BD">
              <w:rPr>
                <w:w w:val="105"/>
                <w:sz w:val="8"/>
              </w:rPr>
              <w:t>is involved, with the exception of suicides and</w:t>
            </w:r>
            <w:r>
              <w:rPr>
                <w:w w:val="105"/>
                <w:sz w:val="8"/>
              </w:rPr>
              <w:t xml:space="preserve"> </w:t>
            </w:r>
            <w:r w:rsidRPr="00E526BD">
              <w:rPr>
                <w:w w:val="105"/>
                <w:sz w:val="8"/>
              </w:rPr>
              <w:t>suicide attempts.</w:t>
            </w:r>
          </w:p>
        </w:tc>
        <w:tc>
          <w:tcPr>
            <w:tcW w:w="873" w:type="dxa"/>
            <w:vAlign w:val="center"/>
          </w:tcPr>
          <w:p w:rsidR="00765F11" w:rsidRPr="00E526BD" w:rsidP="00E526BD">
            <w:pPr>
              <w:pStyle w:val="TableParagraph"/>
              <w:spacing w:before="55"/>
              <w:ind w:left="57"/>
              <w:rPr>
                <w:sz w:val="8"/>
              </w:rPr>
            </w:pPr>
            <w:r w:rsidRPr="00E526BD">
              <w:rPr>
                <w:w w:val="105"/>
                <w:sz w:val="8"/>
              </w:rPr>
              <w:t>V</w:t>
            </w:r>
            <w:r w:rsidRPr="00E526BD">
              <w:rPr>
                <w:w w:val="105"/>
                <w:sz w:val="8"/>
              </w:rPr>
              <w:t>ehicle fires</w:t>
            </w:r>
          </w:p>
        </w:tc>
        <w:tc>
          <w:tcPr>
            <w:tcW w:w="873" w:type="dxa"/>
            <w:vAlign w:val="center"/>
          </w:tcPr>
          <w:p w:rsidR="00765F11" w:rsidRPr="00E526BD" w:rsidP="00E526BD">
            <w:pPr>
              <w:pStyle w:val="TableParagraph"/>
              <w:spacing w:before="55"/>
              <w:ind w:left="57"/>
              <w:rPr>
                <w:sz w:val="8"/>
              </w:rPr>
            </w:pPr>
            <w:r w:rsidRPr="00E526BD">
              <w:rPr>
                <w:w w:val="105"/>
                <w:sz w:val="8"/>
              </w:rPr>
              <w:t>Other accidents</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Total</w:t>
            </w:r>
          </w:p>
        </w:tc>
        <w:tc>
          <w:tcPr>
            <w:tcW w:w="873" w:type="dxa"/>
          </w:tcPr>
          <w:p w:rsidR="00765F11" w:rsidRPr="00E526BD" w:rsidP="00765F11">
            <w:pPr>
              <w:pStyle w:val="TableParagraph"/>
              <w:spacing w:before="44"/>
              <w:ind w:left="20"/>
              <w:rPr>
                <w:sz w:val="15"/>
              </w:rPr>
            </w:pPr>
            <w:r w:rsidRPr="00E526BD">
              <w:rPr>
                <w:w w:val="105"/>
                <w:sz w:val="15"/>
              </w:rPr>
              <w:t>346</w:t>
            </w:r>
          </w:p>
        </w:tc>
        <w:tc>
          <w:tcPr>
            <w:tcW w:w="873" w:type="dxa"/>
          </w:tcPr>
          <w:p w:rsidR="00765F11" w:rsidRPr="00E526BD" w:rsidP="00765F11">
            <w:pPr>
              <w:pStyle w:val="TableParagraph"/>
              <w:spacing w:before="44"/>
              <w:ind w:left="23"/>
              <w:rPr>
                <w:sz w:val="15"/>
              </w:rPr>
            </w:pPr>
            <w:r w:rsidRPr="00E526BD">
              <w:rPr>
                <w:w w:val="103"/>
                <w:sz w:val="15"/>
              </w:rPr>
              <w:t>3</w:t>
            </w:r>
          </w:p>
        </w:tc>
        <w:tc>
          <w:tcPr>
            <w:tcW w:w="873" w:type="dxa"/>
          </w:tcPr>
          <w:p w:rsidR="00765F11" w:rsidRPr="00E526BD" w:rsidP="00765F11">
            <w:pPr>
              <w:pStyle w:val="TableParagraph"/>
              <w:spacing w:before="44"/>
              <w:ind w:left="18"/>
              <w:rPr>
                <w:sz w:val="15"/>
              </w:rPr>
            </w:pPr>
            <w:r w:rsidRPr="00E526BD">
              <w:rPr>
                <w:w w:val="105"/>
                <w:sz w:val="15"/>
              </w:rPr>
              <w:t>35</w:t>
            </w:r>
          </w:p>
        </w:tc>
        <w:tc>
          <w:tcPr>
            <w:tcW w:w="873" w:type="dxa"/>
          </w:tcPr>
          <w:p w:rsidR="00765F11" w:rsidRPr="00E526BD" w:rsidP="00765F11">
            <w:pPr>
              <w:pStyle w:val="TableParagraph"/>
              <w:spacing w:before="44"/>
              <w:ind w:left="21"/>
              <w:rPr>
                <w:sz w:val="15"/>
              </w:rPr>
            </w:pPr>
            <w:r w:rsidRPr="00E526BD">
              <w:rPr>
                <w:w w:val="103"/>
                <w:sz w:val="15"/>
              </w:rPr>
              <w:t>8</w:t>
            </w:r>
          </w:p>
        </w:tc>
        <w:tc>
          <w:tcPr>
            <w:tcW w:w="873" w:type="dxa"/>
          </w:tcPr>
          <w:p w:rsidR="00765F11" w:rsidRPr="00E526BD" w:rsidP="00765F11">
            <w:pPr>
              <w:pStyle w:val="TableParagraph"/>
              <w:spacing w:before="44"/>
              <w:ind w:left="17"/>
              <w:rPr>
                <w:sz w:val="15"/>
              </w:rPr>
            </w:pPr>
            <w:r w:rsidRPr="00E526BD">
              <w:rPr>
                <w:w w:val="105"/>
                <w:sz w:val="15"/>
              </w:rPr>
              <w:t>73</w:t>
            </w:r>
          </w:p>
        </w:tc>
        <w:tc>
          <w:tcPr>
            <w:tcW w:w="873" w:type="dxa"/>
          </w:tcPr>
          <w:p w:rsidR="00765F11" w:rsidRPr="00E526BD" w:rsidP="00765F11">
            <w:pPr>
              <w:pStyle w:val="TableParagraph"/>
              <w:spacing w:before="44"/>
              <w:ind w:right="294"/>
              <w:jc w:val="right"/>
              <w:rPr>
                <w:sz w:val="15"/>
              </w:rPr>
            </w:pPr>
            <w:r w:rsidRPr="00E526BD">
              <w:rPr>
                <w:sz w:val="15"/>
              </w:rPr>
              <w:t>198</w:t>
            </w:r>
          </w:p>
        </w:tc>
        <w:tc>
          <w:tcPr>
            <w:tcW w:w="873" w:type="dxa"/>
          </w:tcPr>
          <w:p w:rsidR="00765F11" w:rsidRPr="00E526BD" w:rsidP="00765F11">
            <w:pPr>
              <w:pStyle w:val="TableParagraph"/>
              <w:spacing w:before="44"/>
              <w:ind w:left="19"/>
              <w:rPr>
                <w:sz w:val="15"/>
              </w:rPr>
            </w:pPr>
            <w:r w:rsidRPr="00E526BD">
              <w:rPr>
                <w:w w:val="103"/>
                <w:sz w:val="15"/>
              </w:rPr>
              <w:t>0</w:t>
            </w:r>
          </w:p>
        </w:tc>
        <w:tc>
          <w:tcPr>
            <w:tcW w:w="873" w:type="dxa"/>
          </w:tcPr>
          <w:p w:rsidR="00765F11" w:rsidRPr="00E526BD" w:rsidP="00765F11">
            <w:pPr>
              <w:pStyle w:val="TableParagraph"/>
              <w:spacing w:before="44"/>
              <w:ind w:left="15"/>
              <w:rPr>
                <w:sz w:val="15"/>
              </w:rPr>
            </w:pPr>
            <w:r w:rsidRPr="00E526BD">
              <w:rPr>
                <w:w w:val="105"/>
                <w:sz w:val="15"/>
              </w:rPr>
              <w:t>29</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Average</w:t>
            </w:r>
            <w:r w:rsidRPr="00E526BD">
              <w:rPr>
                <w:w w:val="105"/>
                <w:sz w:val="8"/>
              </w:rPr>
              <w:t xml:space="preserve"> number</w:t>
            </w:r>
          </w:p>
        </w:tc>
        <w:tc>
          <w:tcPr>
            <w:tcW w:w="873" w:type="dxa"/>
          </w:tcPr>
          <w:p w:rsidR="00765F11" w:rsidRPr="00E526BD" w:rsidP="00765F11">
            <w:pPr>
              <w:pStyle w:val="TableParagraph"/>
              <w:spacing w:before="44"/>
              <w:ind w:left="19"/>
              <w:rPr>
                <w:sz w:val="15"/>
              </w:rPr>
            </w:pPr>
            <w:r w:rsidRPr="00E526BD">
              <w:rPr>
                <w:w w:val="105"/>
                <w:sz w:val="15"/>
              </w:rPr>
              <w:t>0.323</w:t>
            </w:r>
          </w:p>
        </w:tc>
        <w:tc>
          <w:tcPr>
            <w:tcW w:w="873" w:type="dxa"/>
          </w:tcPr>
          <w:p w:rsidR="00765F11" w:rsidRPr="00E526BD" w:rsidP="00765F11">
            <w:pPr>
              <w:pStyle w:val="TableParagraph"/>
              <w:spacing w:before="44"/>
              <w:ind w:left="18"/>
              <w:rPr>
                <w:sz w:val="15"/>
              </w:rPr>
            </w:pPr>
            <w:r w:rsidRPr="00E526BD">
              <w:rPr>
                <w:w w:val="105"/>
                <w:sz w:val="15"/>
              </w:rPr>
              <w:t>0.003</w:t>
            </w:r>
          </w:p>
        </w:tc>
        <w:tc>
          <w:tcPr>
            <w:tcW w:w="873" w:type="dxa"/>
          </w:tcPr>
          <w:p w:rsidR="00765F11" w:rsidRPr="00E526BD" w:rsidP="00765F11">
            <w:pPr>
              <w:pStyle w:val="TableParagraph"/>
              <w:spacing w:before="44"/>
              <w:ind w:left="18"/>
              <w:rPr>
                <w:sz w:val="15"/>
              </w:rPr>
            </w:pPr>
            <w:r w:rsidRPr="00E526BD">
              <w:rPr>
                <w:w w:val="105"/>
                <w:sz w:val="15"/>
              </w:rPr>
              <w:t>0.033</w:t>
            </w:r>
          </w:p>
        </w:tc>
        <w:tc>
          <w:tcPr>
            <w:tcW w:w="873" w:type="dxa"/>
          </w:tcPr>
          <w:p w:rsidR="00765F11" w:rsidRPr="00E526BD" w:rsidP="00765F11">
            <w:pPr>
              <w:pStyle w:val="TableParagraph"/>
              <w:spacing w:before="44"/>
              <w:ind w:left="17"/>
              <w:rPr>
                <w:sz w:val="15"/>
              </w:rPr>
            </w:pPr>
            <w:r w:rsidRPr="00E526BD">
              <w:rPr>
                <w:w w:val="105"/>
                <w:sz w:val="15"/>
              </w:rPr>
              <w:t>0.007</w:t>
            </w:r>
          </w:p>
        </w:tc>
        <w:tc>
          <w:tcPr>
            <w:tcW w:w="873" w:type="dxa"/>
          </w:tcPr>
          <w:p w:rsidR="00765F11" w:rsidRPr="00E526BD" w:rsidP="00765F11">
            <w:pPr>
              <w:pStyle w:val="TableParagraph"/>
              <w:spacing w:before="44"/>
              <w:ind w:left="17"/>
              <w:rPr>
                <w:sz w:val="15"/>
              </w:rPr>
            </w:pPr>
            <w:r w:rsidRPr="00E526BD">
              <w:rPr>
                <w:w w:val="105"/>
                <w:sz w:val="15"/>
              </w:rPr>
              <w:t>0.068</w:t>
            </w:r>
          </w:p>
        </w:tc>
        <w:tc>
          <w:tcPr>
            <w:tcW w:w="873" w:type="dxa"/>
          </w:tcPr>
          <w:p w:rsidR="00765F11" w:rsidRPr="00E526BD" w:rsidP="00765F11">
            <w:pPr>
              <w:pStyle w:val="TableParagraph"/>
              <w:spacing w:before="44"/>
              <w:ind w:right="231"/>
              <w:jc w:val="right"/>
              <w:rPr>
                <w:sz w:val="15"/>
              </w:rPr>
            </w:pPr>
            <w:r w:rsidRPr="00E526BD">
              <w:rPr>
                <w:sz w:val="15"/>
              </w:rPr>
              <w:t>0.185</w:t>
            </w:r>
          </w:p>
        </w:tc>
        <w:tc>
          <w:tcPr>
            <w:tcW w:w="873" w:type="dxa"/>
          </w:tcPr>
          <w:p w:rsidR="00765F11" w:rsidRPr="00E526BD" w:rsidP="00765F11">
            <w:pPr>
              <w:pStyle w:val="TableParagraph"/>
              <w:spacing w:before="44"/>
              <w:ind w:left="15"/>
              <w:rPr>
                <w:sz w:val="15"/>
              </w:rPr>
            </w:pPr>
            <w:r w:rsidRPr="00E526BD">
              <w:rPr>
                <w:w w:val="105"/>
                <w:sz w:val="15"/>
              </w:rPr>
              <w:t>0.000</w:t>
            </w:r>
          </w:p>
        </w:tc>
        <w:tc>
          <w:tcPr>
            <w:tcW w:w="873" w:type="dxa"/>
          </w:tcPr>
          <w:p w:rsidR="00765F11" w:rsidRPr="00E526BD" w:rsidP="00765F11">
            <w:pPr>
              <w:pStyle w:val="TableParagraph"/>
              <w:spacing w:before="44"/>
              <w:ind w:left="15"/>
              <w:rPr>
                <w:sz w:val="15"/>
              </w:rPr>
            </w:pPr>
            <w:r w:rsidRPr="00E526BD">
              <w:rPr>
                <w:w w:val="105"/>
                <w:sz w:val="15"/>
              </w:rPr>
              <w:t>0.027</w:t>
            </w:r>
          </w:p>
        </w:tc>
      </w:tr>
    </w:tbl>
    <w:p w:rsidR="00765F11" w:rsidRPr="00E526BD" w:rsidP="00765F11">
      <w:pPr>
        <w:spacing w:before="5"/>
        <w:rPr>
          <w:b/>
          <w:sz w:val="16"/>
        </w:rPr>
      </w:pPr>
    </w:p>
    <w:p w:rsidR="00765F11" w:rsidRPr="00E526BD" w:rsidP="00765F11">
      <w:pPr>
        <w:pStyle w:val="BodyText"/>
        <w:spacing w:before="1" w:line="283" w:lineRule="auto"/>
        <w:ind w:left="358"/>
      </w:pPr>
      <w:r w:rsidRPr="00E526BD">
        <w:t>Level crossing accidents including accidents involving pedestrians and average number of these accidents (per million train-kilometres), broken down into the following types of accident</w:t>
      </w:r>
    </w:p>
    <w:p w:rsidR="00765F11" w:rsidRPr="00E526BD" w:rsidP="00765F11">
      <w:pPr>
        <w:spacing w:before="4"/>
        <w:rPr>
          <w:b/>
          <w:sz w:val="13"/>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7"/>
        <w:gridCol w:w="873"/>
        <w:gridCol w:w="873"/>
        <w:gridCol w:w="873"/>
        <w:gridCol w:w="873"/>
        <w:gridCol w:w="873"/>
      </w:tblGrid>
      <w:tr w:rsidTr="00765F11">
        <w:tblPrEx>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28"/>
        </w:trPr>
        <w:tc>
          <w:tcPr>
            <w:tcW w:w="1787" w:type="dxa"/>
            <w:tcBorders>
              <w:top w:val="nil"/>
              <w:left w:val="nil"/>
            </w:tcBorders>
          </w:tcPr>
          <w:p w:rsidR="00765F11" w:rsidRPr="00E526BD" w:rsidP="00765F11">
            <w:pPr>
              <w:pStyle w:val="TableParagraph"/>
              <w:jc w:val="left"/>
              <w:rPr>
                <w:rFonts w:ascii="Times New Roman"/>
                <w:sz w:val="10"/>
              </w:rPr>
            </w:pPr>
          </w:p>
        </w:tc>
        <w:tc>
          <w:tcPr>
            <w:tcW w:w="873" w:type="dxa"/>
            <w:vAlign w:val="center"/>
          </w:tcPr>
          <w:p w:rsidR="00765F11" w:rsidRPr="00E526BD" w:rsidP="00E526BD">
            <w:pPr>
              <w:pStyle w:val="TableParagraph"/>
              <w:spacing w:line="297" w:lineRule="auto"/>
              <w:ind w:left="57"/>
              <w:rPr>
                <w:sz w:val="8"/>
              </w:rPr>
            </w:pPr>
            <w:r w:rsidRPr="00E526BD">
              <w:rPr>
                <w:w w:val="105"/>
                <w:sz w:val="8"/>
              </w:rPr>
              <w:t xml:space="preserve">passively </w:t>
            </w:r>
            <w:r w:rsidRPr="00E526BD">
              <w:rPr>
                <w:w w:val="105"/>
                <w:sz w:val="8"/>
              </w:rPr>
              <w:t>protected level crossing [6.2 a)]</w:t>
            </w:r>
          </w:p>
        </w:tc>
        <w:tc>
          <w:tcPr>
            <w:tcW w:w="873" w:type="dxa"/>
            <w:vAlign w:val="center"/>
          </w:tcPr>
          <w:p w:rsidR="00765F11" w:rsidRPr="00E526BD" w:rsidP="00E526BD">
            <w:pPr>
              <w:pStyle w:val="TableParagraph"/>
              <w:spacing w:line="297" w:lineRule="auto"/>
              <w:ind w:left="57"/>
              <w:rPr>
                <w:sz w:val="8"/>
              </w:rPr>
            </w:pPr>
            <w:r w:rsidRPr="00E526BD">
              <w:rPr>
                <w:w w:val="105"/>
                <w:sz w:val="8"/>
              </w:rPr>
              <w:t>active level crossing, manual</w:t>
            </w:r>
          </w:p>
          <w:p w:rsidR="00765F11" w:rsidRPr="00E526BD" w:rsidP="00E526BD">
            <w:pPr>
              <w:pStyle w:val="TableParagraph"/>
              <w:spacing w:before="1"/>
              <w:ind w:left="57"/>
              <w:rPr>
                <w:sz w:val="8"/>
              </w:rPr>
            </w:pPr>
            <w:r w:rsidRPr="00E526BD">
              <w:rPr>
                <w:w w:val="105"/>
                <w:sz w:val="8"/>
              </w:rPr>
              <w:t xml:space="preserve">[6.2 b) </w:t>
            </w:r>
            <w:r w:rsidRPr="00E526BD">
              <w:rPr>
                <w:w w:val="105"/>
                <w:sz w:val="8"/>
              </w:rPr>
              <w:t>i</w:t>
            </w:r>
            <w:r w:rsidRPr="00E526BD">
              <w:rPr>
                <w:w w:val="105"/>
                <w:sz w:val="8"/>
              </w:rPr>
              <w:t>)]</w:t>
            </w:r>
          </w:p>
        </w:tc>
        <w:tc>
          <w:tcPr>
            <w:tcW w:w="873" w:type="dxa"/>
            <w:vAlign w:val="center"/>
          </w:tcPr>
          <w:p w:rsidR="00765F11" w:rsidRPr="00E526BD" w:rsidP="00E526BD">
            <w:pPr>
              <w:pStyle w:val="TableParagraph"/>
              <w:spacing w:before="50" w:line="297" w:lineRule="auto"/>
              <w:ind w:left="57"/>
              <w:rPr>
                <w:sz w:val="8"/>
              </w:rPr>
            </w:pPr>
            <w:r w:rsidRPr="00E526BD">
              <w:rPr>
                <w:w w:val="105"/>
                <w:sz w:val="8"/>
              </w:rPr>
              <w:t>actively protected level crossing, automatic with user-side warning</w:t>
            </w:r>
          </w:p>
          <w:p w:rsidR="00765F11" w:rsidRPr="00E526BD" w:rsidP="00E526BD">
            <w:pPr>
              <w:pStyle w:val="TableParagraph"/>
              <w:spacing w:before="1"/>
              <w:ind w:left="57"/>
              <w:rPr>
                <w:sz w:val="8"/>
              </w:rPr>
            </w:pPr>
            <w:r w:rsidRPr="00E526BD">
              <w:rPr>
                <w:w w:val="105"/>
                <w:sz w:val="8"/>
              </w:rPr>
              <w:t>[6.2 b) ii)]</w:t>
            </w:r>
          </w:p>
        </w:tc>
        <w:tc>
          <w:tcPr>
            <w:tcW w:w="873" w:type="dxa"/>
            <w:vAlign w:val="center"/>
          </w:tcPr>
          <w:p w:rsidR="00765F11" w:rsidRPr="00E526BD" w:rsidP="00E526BD">
            <w:pPr>
              <w:pStyle w:val="TableParagraph"/>
              <w:spacing w:before="50" w:line="297" w:lineRule="auto"/>
              <w:ind w:left="57" w:hanging="7"/>
              <w:rPr>
                <w:sz w:val="8"/>
              </w:rPr>
            </w:pPr>
            <w:r w:rsidRPr="00E526BD">
              <w:rPr>
                <w:w w:val="105"/>
                <w:sz w:val="8"/>
              </w:rPr>
              <w:t>actively protected level crossing, automatic with user-side protection</w:t>
            </w:r>
          </w:p>
          <w:p w:rsidR="00765F11" w:rsidRPr="00E526BD" w:rsidP="00E526BD">
            <w:pPr>
              <w:pStyle w:val="TableParagraph"/>
              <w:spacing w:before="1"/>
              <w:ind w:left="57"/>
              <w:rPr>
                <w:sz w:val="8"/>
              </w:rPr>
            </w:pPr>
            <w:r w:rsidRPr="00E526BD">
              <w:rPr>
                <w:w w:val="105"/>
                <w:sz w:val="8"/>
              </w:rPr>
              <w:t>[6.2 b) iii)]</w:t>
            </w:r>
          </w:p>
        </w:tc>
        <w:tc>
          <w:tcPr>
            <w:tcW w:w="873" w:type="dxa"/>
            <w:vAlign w:val="center"/>
          </w:tcPr>
          <w:p w:rsidR="00765F11" w:rsidRPr="00E526BD" w:rsidP="00E526BD">
            <w:pPr>
              <w:pStyle w:val="TableParagraph"/>
              <w:spacing w:line="297" w:lineRule="auto"/>
              <w:ind w:left="57" w:hanging="21"/>
              <w:rPr>
                <w:sz w:val="8"/>
              </w:rPr>
            </w:pPr>
            <w:r w:rsidRPr="00E526BD">
              <w:rPr>
                <w:w w:val="105"/>
                <w:sz w:val="8"/>
              </w:rPr>
              <w:t xml:space="preserve">actively </w:t>
            </w:r>
            <w:r w:rsidRPr="00E526BD">
              <w:rPr>
                <w:w w:val="105"/>
                <w:sz w:val="8"/>
              </w:rPr>
              <w:t>protected level crossing with trackside protection [6.2 b) iv)]</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Total</w:t>
            </w:r>
          </w:p>
        </w:tc>
        <w:tc>
          <w:tcPr>
            <w:tcW w:w="873" w:type="dxa"/>
          </w:tcPr>
          <w:p w:rsidR="00765F11" w:rsidRPr="00E526BD" w:rsidP="00765F11">
            <w:pPr>
              <w:pStyle w:val="TableParagraph"/>
              <w:spacing w:before="44"/>
              <w:ind w:left="20"/>
              <w:rPr>
                <w:sz w:val="15"/>
              </w:rPr>
            </w:pPr>
            <w:r w:rsidRPr="00E526BD">
              <w:rPr>
                <w:w w:val="105"/>
                <w:sz w:val="15"/>
              </w:rPr>
              <w:t>17</w:t>
            </w:r>
          </w:p>
        </w:tc>
        <w:tc>
          <w:tcPr>
            <w:tcW w:w="873" w:type="dxa"/>
          </w:tcPr>
          <w:p w:rsidR="00765F11" w:rsidRPr="00E526BD" w:rsidP="00765F11">
            <w:pPr>
              <w:pStyle w:val="TableParagraph"/>
              <w:spacing w:before="44"/>
              <w:ind w:left="23"/>
              <w:rPr>
                <w:sz w:val="15"/>
              </w:rPr>
            </w:pPr>
            <w:r w:rsidRPr="00E526BD">
              <w:rPr>
                <w:w w:val="103"/>
                <w:sz w:val="15"/>
              </w:rPr>
              <w:t>3</w:t>
            </w:r>
          </w:p>
        </w:tc>
        <w:tc>
          <w:tcPr>
            <w:tcW w:w="873" w:type="dxa"/>
          </w:tcPr>
          <w:p w:rsidR="00765F11" w:rsidRPr="00E526BD" w:rsidP="00765F11">
            <w:pPr>
              <w:pStyle w:val="TableParagraph"/>
              <w:spacing w:before="44"/>
              <w:ind w:left="18"/>
              <w:rPr>
                <w:sz w:val="15"/>
              </w:rPr>
            </w:pPr>
            <w:r w:rsidRPr="00E526BD">
              <w:rPr>
                <w:w w:val="105"/>
                <w:sz w:val="15"/>
              </w:rPr>
              <w:t>13</w:t>
            </w:r>
          </w:p>
        </w:tc>
        <w:tc>
          <w:tcPr>
            <w:tcW w:w="873" w:type="dxa"/>
          </w:tcPr>
          <w:p w:rsidR="00765F11" w:rsidRPr="00E526BD" w:rsidP="00765F11">
            <w:pPr>
              <w:pStyle w:val="TableParagraph"/>
              <w:spacing w:before="44"/>
              <w:ind w:left="18"/>
              <w:rPr>
                <w:sz w:val="15"/>
              </w:rPr>
            </w:pPr>
            <w:r w:rsidRPr="00E526BD">
              <w:rPr>
                <w:w w:val="105"/>
                <w:sz w:val="15"/>
              </w:rPr>
              <w:t>34</w:t>
            </w:r>
          </w:p>
        </w:tc>
        <w:tc>
          <w:tcPr>
            <w:tcW w:w="873" w:type="dxa"/>
          </w:tcPr>
          <w:p w:rsidR="00765F11" w:rsidRPr="00E526BD" w:rsidP="00765F11">
            <w:pPr>
              <w:pStyle w:val="TableParagraph"/>
              <w:spacing w:before="44"/>
              <w:ind w:left="21"/>
              <w:rPr>
                <w:sz w:val="15"/>
              </w:rPr>
            </w:pPr>
            <w:r w:rsidRPr="00E526BD">
              <w:rPr>
                <w:w w:val="103"/>
                <w:sz w:val="15"/>
              </w:rPr>
              <w:t>6</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Average number</w:t>
            </w:r>
          </w:p>
        </w:tc>
        <w:tc>
          <w:tcPr>
            <w:tcW w:w="873" w:type="dxa"/>
          </w:tcPr>
          <w:p w:rsidR="00765F11" w:rsidRPr="00E526BD" w:rsidP="00765F11">
            <w:pPr>
              <w:pStyle w:val="TableParagraph"/>
              <w:spacing w:before="44"/>
              <w:ind w:left="20"/>
              <w:rPr>
                <w:sz w:val="15"/>
              </w:rPr>
            </w:pPr>
            <w:r w:rsidRPr="00E526BD">
              <w:rPr>
                <w:w w:val="105"/>
                <w:sz w:val="15"/>
              </w:rPr>
              <w:t>0.016</w:t>
            </w:r>
          </w:p>
        </w:tc>
        <w:tc>
          <w:tcPr>
            <w:tcW w:w="873" w:type="dxa"/>
          </w:tcPr>
          <w:p w:rsidR="00765F11" w:rsidRPr="00E526BD" w:rsidP="00765F11">
            <w:pPr>
              <w:pStyle w:val="TableParagraph"/>
              <w:spacing w:before="44"/>
              <w:ind w:left="19"/>
              <w:rPr>
                <w:sz w:val="15"/>
              </w:rPr>
            </w:pPr>
            <w:r w:rsidRPr="00E526BD">
              <w:rPr>
                <w:w w:val="105"/>
                <w:sz w:val="15"/>
              </w:rPr>
              <w:t>0.003</w:t>
            </w:r>
          </w:p>
        </w:tc>
        <w:tc>
          <w:tcPr>
            <w:tcW w:w="873" w:type="dxa"/>
          </w:tcPr>
          <w:p w:rsidR="00765F11" w:rsidRPr="00E526BD" w:rsidP="00765F11">
            <w:pPr>
              <w:pStyle w:val="TableParagraph"/>
              <w:spacing w:before="44"/>
              <w:ind w:left="19"/>
              <w:rPr>
                <w:sz w:val="15"/>
              </w:rPr>
            </w:pPr>
            <w:r w:rsidRPr="00E526BD">
              <w:rPr>
                <w:w w:val="105"/>
                <w:sz w:val="15"/>
              </w:rPr>
              <w:t>0.012</w:t>
            </w:r>
          </w:p>
        </w:tc>
        <w:tc>
          <w:tcPr>
            <w:tcW w:w="873" w:type="dxa"/>
          </w:tcPr>
          <w:p w:rsidR="00765F11" w:rsidRPr="00E526BD" w:rsidP="00765F11">
            <w:pPr>
              <w:pStyle w:val="TableParagraph"/>
              <w:spacing w:before="44"/>
              <w:ind w:left="18"/>
              <w:rPr>
                <w:sz w:val="15"/>
              </w:rPr>
            </w:pPr>
            <w:r w:rsidRPr="00E526BD">
              <w:rPr>
                <w:w w:val="105"/>
                <w:sz w:val="15"/>
              </w:rPr>
              <w:t>0.032</w:t>
            </w:r>
          </w:p>
        </w:tc>
        <w:tc>
          <w:tcPr>
            <w:tcW w:w="873" w:type="dxa"/>
          </w:tcPr>
          <w:p w:rsidR="00765F11" w:rsidRPr="00E526BD" w:rsidP="00765F11">
            <w:pPr>
              <w:pStyle w:val="TableParagraph"/>
              <w:spacing w:before="44"/>
              <w:ind w:left="17"/>
              <w:rPr>
                <w:sz w:val="15"/>
              </w:rPr>
            </w:pPr>
            <w:r w:rsidRPr="00E526BD">
              <w:rPr>
                <w:w w:val="105"/>
                <w:sz w:val="15"/>
              </w:rPr>
              <w:t>0.006</w:t>
            </w:r>
          </w:p>
        </w:tc>
      </w:tr>
    </w:tbl>
    <w:p w:rsidR="00765F11" w:rsidRPr="00E526BD" w:rsidP="00765F11">
      <w:pPr>
        <w:spacing w:before="5"/>
        <w:rPr>
          <w:b/>
          <w:sz w:val="16"/>
        </w:rPr>
      </w:pPr>
    </w:p>
    <w:p w:rsidR="00765F11" w:rsidRPr="00E526BD" w:rsidP="00765F11">
      <w:pPr>
        <w:pStyle w:val="ListParagraph"/>
        <w:widowControl w:val="0"/>
        <w:numPr>
          <w:ilvl w:val="1"/>
          <w:numId w:val="43"/>
        </w:numPr>
        <w:tabs>
          <w:tab w:val="left" w:pos="630"/>
        </w:tabs>
        <w:autoSpaceDE w:val="0"/>
        <w:autoSpaceDN w:val="0"/>
        <w:spacing w:before="1" w:line="283" w:lineRule="auto"/>
        <w:ind w:right="447" w:firstLine="0"/>
        <w:contextualSpacing w:val="0"/>
        <w:rPr>
          <w:b/>
          <w:sz w:val="13"/>
        </w:rPr>
      </w:pPr>
      <w:r w:rsidRPr="00E526BD">
        <w:rPr>
          <w:b/>
          <w:w w:val="105"/>
          <w:sz w:val="13"/>
        </w:rPr>
        <w:t xml:space="preserve">Total number and average number (per million train-kilometres) of serious injuries and fatalities by type of accident, </w:t>
      </w:r>
      <w:r w:rsidRPr="00E526BD">
        <w:rPr>
          <w:b/>
          <w:w w:val="105"/>
          <w:sz w:val="13"/>
        </w:rPr>
        <w:t>broken down into the following categories</w:t>
      </w:r>
    </w:p>
    <w:p w:rsidR="00765F11" w:rsidRPr="00E526BD" w:rsidP="00765F11">
      <w:pPr>
        <w:spacing w:before="4"/>
        <w:rPr>
          <w:b/>
          <w:sz w:val="15"/>
        </w:rPr>
      </w:pPr>
    </w:p>
    <w:p w:rsidR="00765F11" w:rsidRPr="00E526BD" w:rsidP="00765F11">
      <w:pPr>
        <w:pStyle w:val="ListParagraph"/>
        <w:widowControl w:val="0"/>
        <w:numPr>
          <w:ilvl w:val="2"/>
          <w:numId w:val="43"/>
        </w:numPr>
        <w:tabs>
          <w:tab w:val="left" w:pos="744"/>
        </w:tabs>
        <w:autoSpaceDE w:val="0"/>
        <w:autoSpaceDN w:val="0"/>
        <w:spacing w:after="4"/>
        <w:contextualSpacing w:val="0"/>
        <w:rPr>
          <w:sz w:val="13"/>
        </w:rPr>
      </w:pPr>
      <w:r w:rsidRPr="00E526BD">
        <w:rPr>
          <w:w w:val="105"/>
          <w:sz w:val="13"/>
        </w:rPr>
        <w:t>Seriously injured persons</w:t>
      </w: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7"/>
        <w:gridCol w:w="873"/>
        <w:gridCol w:w="873"/>
        <w:gridCol w:w="873"/>
        <w:gridCol w:w="873"/>
        <w:gridCol w:w="873"/>
        <w:gridCol w:w="873"/>
        <w:gridCol w:w="873"/>
        <w:gridCol w:w="873"/>
      </w:tblGrid>
      <w:tr w:rsidTr="00765F11">
        <w:tblPrEx>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28"/>
        </w:trPr>
        <w:tc>
          <w:tcPr>
            <w:tcW w:w="1787" w:type="dxa"/>
            <w:tcBorders>
              <w:top w:val="nil"/>
              <w:left w:val="nil"/>
            </w:tcBorders>
          </w:tcPr>
          <w:p w:rsidR="00765F11" w:rsidRPr="00E526BD" w:rsidP="00765F11">
            <w:pPr>
              <w:pStyle w:val="TableParagraph"/>
              <w:jc w:val="left"/>
              <w:rPr>
                <w:rFonts w:ascii="Times New Roman"/>
                <w:sz w:val="10"/>
              </w:rPr>
            </w:pPr>
          </w:p>
        </w:tc>
        <w:tc>
          <w:tcPr>
            <w:tcW w:w="873" w:type="dxa"/>
            <w:vAlign w:val="center"/>
          </w:tcPr>
          <w:p w:rsidR="00765F11" w:rsidRPr="00E526BD" w:rsidP="00E526BD">
            <w:pPr>
              <w:pStyle w:val="TableParagraph"/>
              <w:spacing w:before="55"/>
              <w:ind w:left="57"/>
              <w:rPr>
                <w:sz w:val="8"/>
              </w:rPr>
            </w:pPr>
            <w:r w:rsidRPr="00E526BD">
              <w:rPr>
                <w:w w:val="105"/>
                <w:sz w:val="8"/>
              </w:rPr>
              <w:t>All types of accident</w:t>
            </w:r>
          </w:p>
        </w:tc>
        <w:tc>
          <w:tcPr>
            <w:tcW w:w="873" w:type="dxa"/>
            <w:vAlign w:val="center"/>
          </w:tcPr>
          <w:p w:rsidR="00765F11" w:rsidRPr="00E526BD" w:rsidP="00E526BD">
            <w:pPr>
              <w:pStyle w:val="TableParagraph"/>
              <w:spacing w:line="297" w:lineRule="auto"/>
              <w:ind w:left="57"/>
              <w:rPr>
                <w:sz w:val="8"/>
              </w:rPr>
            </w:pPr>
            <w:r w:rsidRPr="00E526BD">
              <w:rPr>
                <w:w w:val="105"/>
                <w:sz w:val="8"/>
              </w:rPr>
              <w:t>Collisions of trains with a rail vehicle</w:t>
            </w:r>
          </w:p>
        </w:tc>
        <w:tc>
          <w:tcPr>
            <w:tcW w:w="873" w:type="dxa"/>
            <w:vAlign w:val="center"/>
          </w:tcPr>
          <w:p w:rsidR="00765F11" w:rsidRPr="00E526BD" w:rsidP="00E526BD">
            <w:pPr>
              <w:pStyle w:val="TableParagraph"/>
              <w:spacing w:line="297" w:lineRule="auto"/>
              <w:ind w:left="57" w:hanging="28"/>
              <w:rPr>
                <w:sz w:val="8"/>
              </w:rPr>
            </w:pPr>
            <w:r w:rsidRPr="00E526BD">
              <w:rPr>
                <w:w w:val="105"/>
                <w:sz w:val="8"/>
              </w:rPr>
              <w:t>Collisions of trains with an obstacle within the</w:t>
            </w:r>
            <w:r>
              <w:rPr>
                <w:w w:val="105"/>
                <w:sz w:val="8"/>
              </w:rPr>
              <w:t xml:space="preserve"> </w:t>
            </w:r>
            <w:r w:rsidRPr="00E526BD">
              <w:rPr>
                <w:w w:val="105"/>
                <w:sz w:val="8"/>
              </w:rPr>
              <w:t>clearance gauge</w:t>
            </w:r>
          </w:p>
        </w:tc>
        <w:tc>
          <w:tcPr>
            <w:tcW w:w="873" w:type="dxa"/>
            <w:vAlign w:val="center"/>
          </w:tcPr>
          <w:p w:rsidR="00765F11" w:rsidRPr="00E526BD" w:rsidP="00E526BD">
            <w:pPr>
              <w:pStyle w:val="TableParagraph"/>
              <w:spacing w:before="55"/>
              <w:ind w:left="57"/>
              <w:rPr>
                <w:sz w:val="8"/>
              </w:rPr>
            </w:pPr>
            <w:r w:rsidRPr="00E526BD">
              <w:rPr>
                <w:w w:val="105"/>
                <w:sz w:val="8"/>
              </w:rPr>
              <w:t>T</w:t>
            </w:r>
            <w:r w:rsidRPr="00E526BD">
              <w:rPr>
                <w:w w:val="105"/>
                <w:sz w:val="8"/>
              </w:rPr>
              <w:t>rain derailments</w:t>
            </w:r>
          </w:p>
        </w:tc>
        <w:tc>
          <w:tcPr>
            <w:tcW w:w="873" w:type="dxa"/>
            <w:vAlign w:val="center"/>
          </w:tcPr>
          <w:p w:rsidR="00765F11" w:rsidRPr="00E526BD" w:rsidP="00E526BD">
            <w:pPr>
              <w:pStyle w:val="TableParagraph"/>
              <w:spacing w:line="297" w:lineRule="auto"/>
              <w:ind w:left="57" w:hanging="6"/>
              <w:rPr>
                <w:sz w:val="8"/>
              </w:rPr>
            </w:pPr>
            <w:r w:rsidRPr="00E526BD">
              <w:rPr>
                <w:sz w:val="8"/>
              </w:rPr>
              <w:t xml:space="preserve">Level crossing accidents including </w:t>
            </w:r>
            <w:r w:rsidRPr="00E526BD">
              <w:rPr>
                <w:sz w:val="8"/>
              </w:rPr>
              <w:t>accidents involving pedestrians</w:t>
            </w:r>
          </w:p>
        </w:tc>
        <w:tc>
          <w:tcPr>
            <w:tcW w:w="873" w:type="dxa"/>
            <w:vAlign w:val="center"/>
          </w:tcPr>
          <w:p w:rsidR="00765F11" w:rsidRPr="00E526BD" w:rsidP="00E526BD">
            <w:pPr>
              <w:pStyle w:val="TableParagraph"/>
              <w:spacing w:before="5" w:line="297" w:lineRule="auto"/>
              <w:ind w:left="57" w:hanging="42"/>
              <w:rPr>
                <w:sz w:val="8"/>
              </w:rPr>
            </w:pPr>
            <w:r w:rsidRPr="00E526BD">
              <w:rPr>
                <w:w w:val="105"/>
                <w:sz w:val="8"/>
              </w:rPr>
              <w:t>Accidents resulting in injury, in which a moving train</w:t>
            </w:r>
            <w:r>
              <w:rPr>
                <w:w w:val="105"/>
                <w:sz w:val="8"/>
              </w:rPr>
              <w:t xml:space="preserve"> </w:t>
            </w:r>
            <w:r w:rsidRPr="00E526BD">
              <w:rPr>
                <w:w w:val="105"/>
                <w:sz w:val="8"/>
              </w:rPr>
              <w:t>is involved, with the exception of suicides and</w:t>
            </w:r>
            <w:r>
              <w:rPr>
                <w:w w:val="105"/>
                <w:sz w:val="8"/>
              </w:rPr>
              <w:t xml:space="preserve"> </w:t>
            </w:r>
            <w:r w:rsidRPr="00E526BD">
              <w:rPr>
                <w:w w:val="105"/>
                <w:sz w:val="8"/>
              </w:rPr>
              <w:t>suicide attempts.</w:t>
            </w:r>
          </w:p>
        </w:tc>
        <w:tc>
          <w:tcPr>
            <w:tcW w:w="873" w:type="dxa"/>
            <w:vAlign w:val="center"/>
          </w:tcPr>
          <w:p w:rsidR="00765F11" w:rsidRPr="00E526BD" w:rsidP="00E526BD">
            <w:pPr>
              <w:pStyle w:val="TableParagraph"/>
              <w:spacing w:before="55"/>
              <w:ind w:left="57"/>
              <w:rPr>
                <w:sz w:val="8"/>
              </w:rPr>
            </w:pPr>
            <w:r w:rsidRPr="00E526BD">
              <w:rPr>
                <w:w w:val="105"/>
                <w:sz w:val="8"/>
              </w:rPr>
              <w:t>V</w:t>
            </w:r>
            <w:r w:rsidRPr="00E526BD">
              <w:rPr>
                <w:w w:val="105"/>
                <w:sz w:val="8"/>
              </w:rPr>
              <w:t>ehicle fires</w:t>
            </w:r>
          </w:p>
        </w:tc>
        <w:tc>
          <w:tcPr>
            <w:tcW w:w="873" w:type="dxa"/>
            <w:vAlign w:val="center"/>
          </w:tcPr>
          <w:p w:rsidR="00765F11" w:rsidRPr="00E526BD" w:rsidP="00E526BD">
            <w:pPr>
              <w:pStyle w:val="TableParagraph"/>
              <w:spacing w:before="55"/>
              <w:ind w:left="57"/>
              <w:rPr>
                <w:sz w:val="8"/>
              </w:rPr>
            </w:pPr>
            <w:r w:rsidRPr="00E526BD">
              <w:rPr>
                <w:w w:val="105"/>
                <w:sz w:val="8"/>
              </w:rPr>
              <w:t>Other accidents</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 xml:space="preserve">Total number of seriously injured persons </w:t>
            </w:r>
          </w:p>
        </w:tc>
        <w:tc>
          <w:tcPr>
            <w:tcW w:w="873" w:type="dxa"/>
          </w:tcPr>
          <w:p w:rsidR="00765F11" w:rsidRPr="00E526BD" w:rsidP="00765F11">
            <w:pPr>
              <w:pStyle w:val="TableParagraph"/>
              <w:spacing w:before="44"/>
              <w:ind w:left="20"/>
              <w:rPr>
                <w:sz w:val="15"/>
              </w:rPr>
            </w:pPr>
            <w:r w:rsidRPr="00E526BD">
              <w:rPr>
                <w:w w:val="105"/>
                <w:sz w:val="15"/>
              </w:rPr>
              <w:t>165</w:t>
            </w:r>
          </w:p>
        </w:tc>
        <w:tc>
          <w:tcPr>
            <w:tcW w:w="873" w:type="dxa"/>
          </w:tcPr>
          <w:p w:rsidR="00765F11" w:rsidRPr="00E526BD" w:rsidP="00765F11">
            <w:pPr>
              <w:pStyle w:val="TableParagraph"/>
              <w:spacing w:before="44"/>
              <w:ind w:left="19"/>
              <w:rPr>
                <w:sz w:val="15"/>
              </w:rPr>
            </w:pPr>
            <w:r w:rsidRPr="00E526BD">
              <w:rPr>
                <w:w w:val="105"/>
                <w:sz w:val="15"/>
              </w:rPr>
              <w:t>37</w:t>
            </w:r>
          </w:p>
        </w:tc>
        <w:tc>
          <w:tcPr>
            <w:tcW w:w="873" w:type="dxa"/>
          </w:tcPr>
          <w:p w:rsidR="00765F11" w:rsidRPr="00E526BD" w:rsidP="00765F11">
            <w:pPr>
              <w:pStyle w:val="TableParagraph"/>
              <w:spacing w:before="44"/>
              <w:ind w:left="22"/>
              <w:rPr>
                <w:sz w:val="15"/>
              </w:rPr>
            </w:pPr>
            <w:r w:rsidRPr="00E526BD">
              <w:rPr>
                <w:w w:val="103"/>
                <w:sz w:val="15"/>
              </w:rPr>
              <w:t>3</w:t>
            </w:r>
          </w:p>
        </w:tc>
        <w:tc>
          <w:tcPr>
            <w:tcW w:w="873" w:type="dxa"/>
          </w:tcPr>
          <w:p w:rsidR="00765F11" w:rsidRPr="00E526BD" w:rsidP="00765F11">
            <w:pPr>
              <w:pStyle w:val="TableParagraph"/>
              <w:spacing w:before="44"/>
              <w:ind w:left="21"/>
              <w:rPr>
                <w:sz w:val="15"/>
              </w:rPr>
            </w:pPr>
            <w:r w:rsidRPr="00E526BD">
              <w:rPr>
                <w:w w:val="103"/>
                <w:sz w:val="15"/>
              </w:rPr>
              <w:t>1</w:t>
            </w:r>
          </w:p>
        </w:tc>
        <w:tc>
          <w:tcPr>
            <w:tcW w:w="873" w:type="dxa"/>
          </w:tcPr>
          <w:p w:rsidR="00765F11" w:rsidRPr="00E526BD" w:rsidP="00765F11">
            <w:pPr>
              <w:pStyle w:val="TableParagraph"/>
              <w:spacing w:before="44"/>
              <w:ind w:left="17"/>
              <w:rPr>
                <w:sz w:val="15"/>
              </w:rPr>
            </w:pPr>
            <w:r w:rsidRPr="00E526BD">
              <w:rPr>
                <w:w w:val="105"/>
                <w:sz w:val="15"/>
              </w:rPr>
              <w:t>34</w:t>
            </w:r>
          </w:p>
        </w:tc>
        <w:tc>
          <w:tcPr>
            <w:tcW w:w="873" w:type="dxa"/>
          </w:tcPr>
          <w:p w:rsidR="00765F11" w:rsidRPr="00E526BD" w:rsidP="00765F11">
            <w:pPr>
              <w:pStyle w:val="TableParagraph"/>
              <w:spacing w:before="44"/>
              <w:ind w:left="16"/>
              <w:rPr>
                <w:sz w:val="15"/>
              </w:rPr>
            </w:pPr>
            <w:r w:rsidRPr="00E526BD">
              <w:rPr>
                <w:w w:val="105"/>
                <w:sz w:val="15"/>
              </w:rPr>
              <w:t>88</w:t>
            </w:r>
          </w:p>
        </w:tc>
        <w:tc>
          <w:tcPr>
            <w:tcW w:w="873" w:type="dxa"/>
          </w:tcPr>
          <w:p w:rsidR="00765F11" w:rsidRPr="00E526BD" w:rsidP="00765F11">
            <w:pPr>
              <w:pStyle w:val="TableParagraph"/>
              <w:spacing w:before="44"/>
              <w:ind w:left="19"/>
              <w:rPr>
                <w:sz w:val="15"/>
              </w:rPr>
            </w:pPr>
            <w:r w:rsidRPr="00E526BD">
              <w:rPr>
                <w:w w:val="103"/>
                <w:sz w:val="15"/>
              </w:rPr>
              <w:t>0</w:t>
            </w:r>
          </w:p>
        </w:tc>
        <w:tc>
          <w:tcPr>
            <w:tcW w:w="873" w:type="dxa"/>
          </w:tcPr>
          <w:p w:rsidR="00765F11" w:rsidRPr="00E526BD" w:rsidP="00765F11">
            <w:pPr>
              <w:pStyle w:val="TableParagraph"/>
              <w:spacing w:before="44"/>
              <w:ind w:left="19"/>
              <w:rPr>
                <w:sz w:val="15"/>
              </w:rPr>
            </w:pPr>
            <w:r w:rsidRPr="00E526BD">
              <w:rPr>
                <w:w w:val="103"/>
                <w:sz w:val="15"/>
              </w:rPr>
              <w:t>2</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Average</w:t>
            </w:r>
            <w:r w:rsidRPr="00E526BD">
              <w:rPr>
                <w:w w:val="105"/>
                <w:sz w:val="8"/>
              </w:rPr>
              <w:t xml:space="preserve"> number of seriously injured persons</w:t>
            </w:r>
          </w:p>
        </w:tc>
        <w:tc>
          <w:tcPr>
            <w:tcW w:w="873" w:type="dxa"/>
          </w:tcPr>
          <w:p w:rsidR="00765F11" w:rsidRPr="00E526BD" w:rsidP="00765F11">
            <w:pPr>
              <w:pStyle w:val="TableParagraph"/>
              <w:spacing w:before="44"/>
              <w:ind w:left="20"/>
              <w:rPr>
                <w:sz w:val="15"/>
              </w:rPr>
            </w:pPr>
            <w:r w:rsidRPr="00E526BD">
              <w:rPr>
                <w:w w:val="105"/>
                <w:sz w:val="15"/>
              </w:rPr>
              <w:t>0.154</w:t>
            </w:r>
          </w:p>
        </w:tc>
        <w:tc>
          <w:tcPr>
            <w:tcW w:w="873" w:type="dxa"/>
          </w:tcPr>
          <w:p w:rsidR="00765F11" w:rsidRPr="00E526BD" w:rsidP="00765F11">
            <w:pPr>
              <w:pStyle w:val="TableParagraph"/>
              <w:spacing w:before="44"/>
              <w:ind w:left="19"/>
              <w:rPr>
                <w:sz w:val="15"/>
              </w:rPr>
            </w:pPr>
            <w:r w:rsidRPr="00E526BD">
              <w:rPr>
                <w:w w:val="105"/>
                <w:sz w:val="15"/>
              </w:rPr>
              <w:t>0.034</w:t>
            </w:r>
          </w:p>
        </w:tc>
        <w:tc>
          <w:tcPr>
            <w:tcW w:w="873" w:type="dxa"/>
          </w:tcPr>
          <w:p w:rsidR="00765F11" w:rsidRPr="00E526BD" w:rsidP="00765F11">
            <w:pPr>
              <w:pStyle w:val="TableParagraph"/>
              <w:spacing w:before="44"/>
              <w:ind w:left="18"/>
              <w:rPr>
                <w:sz w:val="15"/>
              </w:rPr>
            </w:pPr>
            <w:r w:rsidRPr="00E526BD">
              <w:rPr>
                <w:w w:val="105"/>
                <w:sz w:val="15"/>
              </w:rPr>
              <w:t>0.003</w:t>
            </w:r>
          </w:p>
        </w:tc>
        <w:tc>
          <w:tcPr>
            <w:tcW w:w="873" w:type="dxa"/>
          </w:tcPr>
          <w:p w:rsidR="00765F11" w:rsidRPr="00E526BD" w:rsidP="00765F11">
            <w:pPr>
              <w:pStyle w:val="TableParagraph"/>
              <w:spacing w:before="44"/>
              <w:ind w:left="18"/>
              <w:rPr>
                <w:sz w:val="15"/>
              </w:rPr>
            </w:pPr>
            <w:r w:rsidRPr="00E526BD">
              <w:rPr>
                <w:w w:val="105"/>
                <w:sz w:val="15"/>
              </w:rPr>
              <w:t>0.001</w:t>
            </w:r>
          </w:p>
        </w:tc>
        <w:tc>
          <w:tcPr>
            <w:tcW w:w="873" w:type="dxa"/>
          </w:tcPr>
          <w:p w:rsidR="00765F11" w:rsidRPr="00E526BD" w:rsidP="00765F11">
            <w:pPr>
              <w:pStyle w:val="TableParagraph"/>
              <w:spacing w:before="44"/>
              <w:ind w:left="17"/>
              <w:rPr>
                <w:sz w:val="15"/>
              </w:rPr>
            </w:pPr>
            <w:r w:rsidRPr="00E526BD">
              <w:rPr>
                <w:w w:val="105"/>
                <w:sz w:val="15"/>
              </w:rPr>
              <w:t>0.032</w:t>
            </w:r>
          </w:p>
        </w:tc>
        <w:tc>
          <w:tcPr>
            <w:tcW w:w="873" w:type="dxa"/>
          </w:tcPr>
          <w:p w:rsidR="00765F11" w:rsidRPr="00E526BD" w:rsidP="00765F11">
            <w:pPr>
              <w:pStyle w:val="TableParagraph"/>
              <w:spacing w:before="44"/>
              <w:ind w:left="16"/>
              <w:rPr>
                <w:sz w:val="15"/>
              </w:rPr>
            </w:pPr>
            <w:r w:rsidRPr="00E526BD">
              <w:rPr>
                <w:w w:val="105"/>
                <w:sz w:val="15"/>
              </w:rPr>
              <w:t>0.082</w:t>
            </w:r>
          </w:p>
        </w:tc>
        <w:tc>
          <w:tcPr>
            <w:tcW w:w="873" w:type="dxa"/>
          </w:tcPr>
          <w:p w:rsidR="00765F11" w:rsidRPr="00E526BD" w:rsidP="00765F11">
            <w:pPr>
              <w:pStyle w:val="TableParagraph"/>
              <w:spacing w:before="44"/>
              <w:ind w:left="16"/>
              <w:rPr>
                <w:sz w:val="15"/>
              </w:rPr>
            </w:pPr>
            <w:r w:rsidRPr="00E526BD">
              <w:rPr>
                <w:w w:val="105"/>
                <w:sz w:val="15"/>
              </w:rPr>
              <w:t>0.000</w:t>
            </w:r>
          </w:p>
        </w:tc>
        <w:tc>
          <w:tcPr>
            <w:tcW w:w="873" w:type="dxa"/>
          </w:tcPr>
          <w:p w:rsidR="00765F11" w:rsidRPr="00E526BD" w:rsidP="00765F11">
            <w:pPr>
              <w:pStyle w:val="TableParagraph"/>
              <w:spacing w:before="44"/>
              <w:ind w:left="15"/>
              <w:rPr>
                <w:sz w:val="15"/>
              </w:rPr>
            </w:pPr>
            <w:r w:rsidRPr="00E526BD">
              <w:rPr>
                <w:w w:val="105"/>
                <w:sz w:val="15"/>
              </w:rPr>
              <w:t>0.002</w:t>
            </w:r>
          </w:p>
        </w:tc>
      </w:tr>
    </w:tbl>
    <w:p w:rsidR="00765F11" w:rsidRPr="00E526BD" w:rsidP="00765F11">
      <w:pPr>
        <w:spacing w:before="70" w:after="25"/>
        <w:ind w:left="358"/>
        <w:rPr>
          <w:sz w:val="8"/>
        </w:rPr>
      </w:pPr>
      <w:r w:rsidRPr="00E526BD">
        <w:rPr>
          <w:w w:val="105"/>
          <w:sz w:val="8"/>
        </w:rPr>
        <w:t>Of which:</w:t>
      </w: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7"/>
        <w:gridCol w:w="873"/>
        <w:gridCol w:w="873"/>
        <w:gridCol w:w="873"/>
        <w:gridCol w:w="873"/>
        <w:gridCol w:w="873"/>
        <w:gridCol w:w="873"/>
        <w:gridCol w:w="873"/>
        <w:gridCol w:w="873"/>
      </w:tblGrid>
      <w:tr w:rsidTr="00765F11">
        <w:tblPrEx>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Passengers</w:t>
            </w:r>
          </w:p>
        </w:tc>
        <w:tc>
          <w:tcPr>
            <w:tcW w:w="873" w:type="dxa"/>
          </w:tcPr>
          <w:p w:rsidR="00765F11" w:rsidRPr="00E526BD" w:rsidP="00765F11">
            <w:pPr>
              <w:pStyle w:val="TableParagraph"/>
              <w:spacing w:before="44"/>
              <w:ind w:left="20"/>
              <w:rPr>
                <w:sz w:val="15"/>
              </w:rPr>
            </w:pPr>
            <w:r w:rsidRPr="00E526BD">
              <w:rPr>
                <w:w w:val="105"/>
                <w:sz w:val="15"/>
              </w:rPr>
              <w:t>41</w:t>
            </w:r>
          </w:p>
        </w:tc>
        <w:tc>
          <w:tcPr>
            <w:tcW w:w="873" w:type="dxa"/>
          </w:tcPr>
          <w:p w:rsidR="00765F11" w:rsidRPr="00E526BD" w:rsidP="00765F11">
            <w:pPr>
              <w:pStyle w:val="TableParagraph"/>
              <w:spacing w:before="44"/>
              <w:ind w:left="19"/>
              <w:rPr>
                <w:sz w:val="15"/>
              </w:rPr>
            </w:pPr>
            <w:r w:rsidRPr="00E526BD">
              <w:rPr>
                <w:w w:val="105"/>
                <w:sz w:val="15"/>
              </w:rPr>
              <w:t>35</w:t>
            </w:r>
          </w:p>
        </w:tc>
        <w:tc>
          <w:tcPr>
            <w:tcW w:w="873" w:type="dxa"/>
          </w:tcPr>
          <w:p w:rsidR="00765F11" w:rsidRPr="00E526BD" w:rsidP="00765F11">
            <w:pPr>
              <w:pStyle w:val="TableParagraph"/>
              <w:spacing w:before="44"/>
              <w:ind w:left="22"/>
              <w:rPr>
                <w:sz w:val="15"/>
              </w:rPr>
            </w:pPr>
            <w:r w:rsidRPr="00E526BD">
              <w:rPr>
                <w:w w:val="103"/>
                <w:sz w:val="15"/>
              </w:rPr>
              <w:t>0</w:t>
            </w:r>
          </w:p>
        </w:tc>
        <w:tc>
          <w:tcPr>
            <w:tcW w:w="873" w:type="dxa"/>
          </w:tcPr>
          <w:p w:rsidR="00765F11" w:rsidRPr="00E526BD" w:rsidP="00765F11">
            <w:pPr>
              <w:pStyle w:val="TableParagraph"/>
              <w:spacing w:before="44"/>
              <w:ind w:left="21"/>
              <w:rPr>
                <w:sz w:val="15"/>
              </w:rPr>
            </w:pPr>
            <w:r w:rsidRPr="00E526BD">
              <w:rPr>
                <w:w w:val="103"/>
                <w:sz w:val="15"/>
              </w:rPr>
              <w:t>0</w:t>
            </w:r>
          </w:p>
        </w:tc>
        <w:tc>
          <w:tcPr>
            <w:tcW w:w="873" w:type="dxa"/>
          </w:tcPr>
          <w:p w:rsidR="00765F11" w:rsidRPr="00E526BD" w:rsidP="00765F11">
            <w:pPr>
              <w:pStyle w:val="TableParagraph"/>
              <w:spacing w:before="44"/>
              <w:ind w:left="21"/>
              <w:rPr>
                <w:sz w:val="15"/>
              </w:rPr>
            </w:pPr>
            <w:r w:rsidRPr="00E526BD">
              <w:rPr>
                <w:w w:val="103"/>
                <w:sz w:val="15"/>
              </w:rPr>
              <w:t>0</w:t>
            </w:r>
          </w:p>
        </w:tc>
        <w:tc>
          <w:tcPr>
            <w:tcW w:w="873" w:type="dxa"/>
          </w:tcPr>
          <w:p w:rsidR="00765F11" w:rsidRPr="00E526BD" w:rsidP="00765F11">
            <w:pPr>
              <w:pStyle w:val="TableParagraph"/>
              <w:spacing w:before="44"/>
              <w:ind w:left="20"/>
              <w:rPr>
                <w:sz w:val="15"/>
              </w:rPr>
            </w:pPr>
            <w:r w:rsidRPr="00E526BD">
              <w:rPr>
                <w:w w:val="103"/>
                <w:sz w:val="15"/>
              </w:rPr>
              <w:t>6</w:t>
            </w:r>
          </w:p>
        </w:tc>
        <w:tc>
          <w:tcPr>
            <w:tcW w:w="873" w:type="dxa"/>
          </w:tcPr>
          <w:p w:rsidR="00765F11" w:rsidRPr="00E526BD" w:rsidP="00765F11">
            <w:pPr>
              <w:pStyle w:val="TableParagraph"/>
              <w:spacing w:before="44"/>
              <w:ind w:left="19"/>
              <w:rPr>
                <w:sz w:val="15"/>
              </w:rPr>
            </w:pPr>
            <w:r w:rsidRPr="00E526BD">
              <w:rPr>
                <w:w w:val="103"/>
                <w:sz w:val="15"/>
              </w:rPr>
              <w:t>0</w:t>
            </w:r>
          </w:p>
        </w:tc>
        <w:tc>
          <w:tcPr>
            <w:tcW w:w="873" w:type="dxa"/>
          </w:tcPr>
          <w:p w:rsidR="00765F11" w:rsidRPr="00E526BD" w:rsidP="00765F11">
            <w:pPr>
              <w:pStyle w:val="TableParagraph"/>
              <w:spacing w:before="44"/>
              <w:ind w:left="19"/>
              <w:rPr>
                <w:sz w:val="15"/>
              </w:rPr>
            </w:pPr>
            <w:r w:rsidRPr="00E526BD">
              <w:rPr>
                <w:w w:val="103"/>
                <w:sz w:val="15"/>
              </w:rPr>
              <w:t>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Average number of seriously injured passengers</w:t>
            </w:r>
          </w:p>
        </w:tc>
        <w:tc>
          <w:tcPr>
            <w:tcW w:w="873" w:type="dxa"/>
          </w:tcPr>
          <w:p w:rsidR="00765F11" w:rsidRPr="00E526BD" w:rsidP="00765F11">
            <w:pPr>
              <w:pStyle w:val="TableParagraph"/>
              <w:spacing w:before="44"/>
              <w:ind w:left="20"/>
              <w:rPr>
                <w:sz w:val="15"/>
              </w:rPr>
            </w:pPr>
            <w:r w:rsidRPr="00E526BD">
              <w:rPr>
                <w:w w:val="105"/>
                <w:sz w:val="15"/>
              </w:rPr>
              <w:t>0.038</w:t>
            </w:r>
          </w:p>
        </w:tc>
        <w:tc>
          <w:tcPr>
            <w:tcW w:w="873" w:type="dxa"/>
          </w:tcPr>
          <w:p w:rsidR="00765F11" w:rsidRPr="00E526BD" w:rsidP="00765F11">
            <w:pPr>
              <w:pStyle w:val="TableParagraph"/>
              <w:spacing w:before="44"/>
              <w:ind w:left="19"/>
              <w:rPr>
                <w:sz w:val="15"/>
              </w:rPr>
            </w:pPr>
            <w:r w:rsidRPr="00E526BD">
              <w:rPr>
                <w:w w:val="105"/>
                <w:sz w:val="15"/>
              </w:rPr>
              <w:t>0.033</w:t>
            </w:r>
          </w:p>
        </w:tc>
        <w:tc>
          <w:tcPr>
            <w:tcW w:w="873" w:type="dxa"/>
          </w:tcPr>
          <w:p w:rsidR="00765F11" w:rsidRPr="00E526BD" w:rsidP="00765F11">
            <w:pPr>
              <w:pStyle w:val="TableParagraph"/>
              <w:spacing w:before="44"/>
              <w:ind w:left="18"/>
              <w:rPr>
                <w:sz w:val="15"/>
              </w:rPr>
            </w:pPr>
            <w:r w:rsidRPr="00E526BD">
              <w:rPr>
                <w:w w:val="105"/>
                <w:sz w:val="15"/>
              </w:rPr>
              <w:t>0.000</w:t>
            </w:r>
          </w:p>
        </w:tc>
        <w:tc>
          <w:tcPr>
            <w:tcW w:w="873" w:type="dxa"/>
          </w:tcPr>
          <w:p w:rsidR="00765F11" w:rsidRPr="00E526BD" w:rsidP="00765F11">
            <w:pPr>
              <w:pStyle w:val="TableParagraph"/>
              <w:spacing w:before="44"/>
              <w:ind w:left="18"/>
              <w:rPr>
                <w:sz w:val="15"/>
              </w:rPr>
            </w:pPr>
            <w:r w:rsidRPr="00E526BD">
              <w:rPr>
                <w:w w:val="105"/>
                <w:sz w:val="15"/>
              </w:rPr>
              <w:t>0.000</w:t>
            </w:r>
          </w:p>
        </w:tc>
        <w:tc>
          <w:tcPr>
            <w:tcW w:w="873" w:type="dxa"/>
          </w:tcPr>
          <w:p w:rsidR="00765F11" w:rsidRPr="00E526BD" w:rsidP="00765F11">
            <w:pPr>
              <w:pStyle w:val="TableParagraph"/>
              <w:spacing w:before="44"/>
              <w:ind w:left="17"/>
              <w:rPr>
                <w:sz w:val="15"/>
              </w:rPr>
            </w:pPr>
            <w:r w:rsidRPr="00E526BD">
              <w:rPr>
                <w:w w:val="105"/>
                <w:sz w:val="15"/>
              </w:rPr>
              <w:t>0.000</w:t>
            </w:r>
          </w:p>
        </w:tc>
        <w:tc>
          <w:tcPr>
            <w:tcW w:w="873" w:type="dxa"/>
          </w:tcPr>
          <w:p w:rsidR="00765F11" w:rsidRPr="00E526BD" w:rsidP="00765F11">
            <w:pPr>
              <w:pStyle w:val="TableParagraph"/>
              <w:spacing w:before="44"/>
              <w:ind w:left="16"/>
              <w:rPr>
                <w:sz w:val="15"/>
              </w:rPr>
            </w:pPr>
            <w:r w:rsidRPr="00E526BD">
              <w:rPr>
                <w:w w:val="105"/>
                <w:sz w:val="15"/>
              </w:rPr>
              <w:t>0.006</w:t>
            </w:r>
          </w:p>
        </w:tc>
        <w:tc>
          <w:tcPr>
            <w:tcW w:w="873" w:type="dxa"/>
          </w:tcPr>
          <w:p w:rsidR="00765F11" w:rsidRPr="00E526BD" w:rsidP="00765F11">
            <w:pPr>
              <w:pStyle w:val="TableParagraph"/>
              <w:spacing w:before="44"/>
              <w:ind w:left="16"/>
              <w:rPr>
                <w:sz w:val="15"/>
              </w:rPr>
            </w:pPr>
            <w:r w:rsidRPr="00E526BD">
              <w:rPr>
                <w:w w:val="105"/>
                <w:sz w:val="15"/>
              </w:rPr>
              <w:t>0.000</w:t>
            </w:r>
          </w:p>
        </w:tc>
        <w:tc>
          <w:tcPr>
            <w:tcW w:w="873" w:type="dxa"/>
          </w:tcPr>
          <w:p w:rsidR="00765F11" w:rsidRPr="00E526BD" w:rsidP="00765F11">
            <w:pPr>
              <w:pStyle w:val="TableParagraph"/>
              <w:spacing w:before="44"/>
              <w:ind w:left="15"/>
              <w:rPr>
                <w:sz w:val="15"/>
              </w:rPr>
            </w:pPr>
            <w:r w:rsidRPr="00E526BD">
              <w:rPr>
                <w:w w:val="105"/>
                <w:sz w:val="15"/>
              </w:rPr>
              <w:t>0.000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 xml:space="preserve">Average number of seriously </w:t>
            </w:r>
            <w:r w:rsidRPr="00E526BD">
              <w:rPr>
                <w:w w:val="105"/>
                <w:sz w:val="8"/>
              </w:rPr>
              <w:t>injured passengers per billion passenger-kilometres</w:t>
            </w:r>
          </w:p>
        </w:tc>
        <w:tc>
          <w:tcPr>
            <w:tcW w:w="873" w:type="dxa"/>
          </w:tcPr>
          <w:p w:rsidR="00765F11" w:rsidRPr="00E526BD" w:rsidP="00765F11">
            <w:pPr>
              <w:pStyle w:val="TableParagraph"/>
              <w:spacing w:before="44"/>
              <w:ind w:left="20"/>
              <w:rPr>
                <w:sz w:val="15"/>
              </w:rPr>
            </w:pPr>
            <w:r w:rsidRPr="00E526BD">
              <w:rPr>
                <w:w w:val="105"/>
                <w:sz w:val="15"/>
              </w:rPr>
              <w:t>0.431</w:t>
            </w:r>
          </w:p>
        </w:tc>
        <w:tc>
          <w:tcPr>
            <w:tcW w:w="873" w:type="dxa"/>
          </w:tcPr>
          <w:p w:rsidR="00765F11" w:rsidRPr="00E526BD" w:rsidP="00765F11">
            <w:pPr>
              <w:pStyle w:val="TableParagraph"/>
              <w:spacing w:before="44"/>
              <w:ind w:left="19"/>
              <w:rPr>
                <w:sz w:val="15"/>
              </w:rPr>
            </w:pPr>
            <w:r w:rsidRPr="00E526BD">
              <w:rPr>
                <w:w w:val="105"/>
                <w:sz w:val="15"/>
              </w:rPr>
              <w:t>0.368</w:t>
            </w:r>
          </w:p>
        </w:tc>
        <w:tc>
          <w:tcPr>
            <w:tcW w:w="873" w:type="dxa"/>
          </w:tcPr>
          <w:p w:rsidR="00765F11" w:rsidRPr="00E526BD" w:rsidP="00765F11">
            <w:pPr>
              <w:pStyle w:val="TableParagraph"/>
              <w:spacing w:before="44"/>
              <w:ind w:left="18"/>
              <w:rPr>
                <w:sz w:val="15"/>
              </w:rPr>
            </w:pPr>
            <w:r w:rsidRPr="00E526BD">
              <w:rPr>
                <w:w w:val="105"/>
                <w:sz w:val="15"/>
              </w:rPr>
              <w:t>0.000</w:t>
            </w:r>
          </w:p>
        </w:tc>
        <w:tc>
          <w:tcPr>
            <w:tcW w:w="873" w:type="dxa"/>
          </w:tcPr>
          <w:p w:rsidR="00765F11" w:rsidRPr="00E526BD" w:rsidP="00765F11">
            <w:pPr>
              <w:pStyle w:val="TableParagraph"/>
              <w:spacing w:before="44"/>
              <w:ind w:left="18"/>
              <w:rPr>
                <w:sz w:val="15"/>
              </w:rPr>
            </w:pPr>
            <w:r w:rsidRPr="00E526BD">
              <w:rPr>
                <w:w w:val="105"/>
                <w:sz w:val="15"/>
              </w:rPr>
              <w:t>0.000</w:t>
            </w:r>
          </w:p>
        </w:tc>
        <w:tc>
          <w:tcPr>
            <w:tcW w:w="873" w:type="dxa"/>
          </w:tcPr>
          <w:p w:rsidR="00765F11" w:rsidRPr="00E526BD" w:rsidP="00765F11">
            <w:pPr>
              <w:pStyle w:val="TableParagraph"/>
              <w:spacing w:before="44"/>
              <w:ind w:left="17"/>
              <w:rPr>
                <w:sz w:val="15"/>
              </w:rPr>
            </w:pPr>
            <w:r w:rsidRPr="00E526BD">
              <w:rPr>
                <w:w w:val="105"/>
                <w:sz w:val="15"/>
              </w:rPr>
              <w:t>0.000</w:t>
            </w:r>
          </w:p>
        </w:tc>
        <w:tc>
          <w:tcPr>
            <w:tcW w:w="873" w:type="dxa"/>
          </w:tcPr>
          <w:p w:rsidR="00765F11" w:rsidRPr="00E526BD" w:rsidP="00765F11">
            <w:pPr>
              <w:pStyle w:val="TableParagraph"/>
              <w:spacing w:before="44"/>
              <w:ind w:left="16"/>
              <w:rPr>
                <w:sz w:val="15"/>
              </w:rPr>
            </w:pPr>
            <w:r w:rsidRPr="00E526BD">
              <w:rPr>
                <w:w w:val="105"/>
                <w:sz w:val="15"/>
              </w:rPr>
              <w:t>0.063</w:t>
            </w:r>
          </w:p>
        </w:tc>
        <w:tc>
          <w:tcPr>
            <w:tcW w:w="873" w:type="dxa"/>
          </w:tcPr>
          <w:p w:rsidR="00765F11" w:rsidRPr="00E526BD" w:rsidP="00765F11">
            <w:pPr>
              <w:pStyle w:val="TableParagraph"/>
              <w:spacing w:before="44"/>
              <w:ind w:left="16"/>
              <w:rPr>
                <w:sz w:val="15"/>
              </w:rPr>
            </w:pPr>
            <w:r w:rsidRPr="00E526BD">
              <w:rPr>
                <w:w w:val="105"/>
                <w:sz w:val="15"/>
              </w:rPr>
              <w:t>0.000</w:t>
            </w:r>
          </w:p>
        </w:tc>
        <w:tc>
          <w:tcPr>
            <w:tcW w:w="873" w:type="dxa"/>
          </w:tcPr>
          <w:p w:rsidR="00765F11" w:rsidRPr="00E526BD" w:rsidP="00765F11">
            <w:pPr>
              <w:pStyle w:val="TableParagraph"/>
              <w:spacing w:before="44"/>
              <w:ind w:left="15"/>
              <w:rPr>
                <w:sz w:val="15"/>
              </w:rPr>
            </w:pPr>
            <w:r w:rsidRPr="00E526BD">
              <w:rPr>
                <w:w w:val="105"/>
                <w:sz w:val="15"/>
              </w:rPr>
              <w:t>0.000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Average number of seriously injured passengers per million passenger train-kilometres</w:t>
            </w:r>
          </w:p>
        </w:tc>
        <w:tc>
          <w:tcPr>
            <w:tcW w:w="873" w:type="dxa"/>
          </w:tcPr>
          <w:p w:rsidR="00765F11" w:rsidRPr="00E526BD" w:rsidP="00765F11">
            <w:pPr>
              <w:pStyle w:val="TableParagraph"/>
              <w:spacing w:before="44"/>
              <w:ind w:left="20"/>
              <w:rPr>
                <w:sz w:val="15"/>
              </w:rPr>
            </w:pPr>
            <w:r w:rsidRPr="00E526BD">
              <w:rPr>
                <w:w w:val="105"/>
                <w:sz w:val="15"/>
              </w:rPr>
              <w:t>0.051</w:t>
            </w:r>
          </w:p>
        </w:tc>
        <w:tc>
          <w:tcPr>
            <w:tcW w:w="873" w:type="dxa"/>
          </w:tcPr>
          <w:p w:rsidR="00765F11" w:rsidRPr="00E526BD" w:rsidP="00765F11">
            <w:pPr>
              <w:pStyle w:val="TableParagraph"/>
              <w:spacing w:before="44"/>
              <w:ind w:left="19"/>
              <w:rPr>
                <w:sz w:val="15"/>
              </w:rPr>
            </w:pPr>
            <w:r w:rsidRPr="00E526BD">
              <w:rPr>
                <w:w w:val="105"/>
                <w:sz w:val="15"/>
              </w:rPr>
              <w:t>0.044</w:t>
            </w:r>
          </w:p>
        </w:tc>
        <w:tc>
          <w:tcPr>
            <w:tcW w:w="873" w:type="dxa"/>
          </w:tcPr>
          <w:p w:rsidR="00765F11" w:rsidRPr="00E526BD" w:rsidP="00765F11">
            <w:pPr>
              <w:pStyle w:val="TableParagraph"/>
              <w:spacing w:before="44"/>
              <w:ind w:left="18"/>
              <w:rPr>
                <w:sz w:val="15"/>
              </w:rPr>
            </w:pPr>
            <w:r w:rsidRPr="00E526BD">
              <w:rPr>
                <w:w w:val="105"/>
                <w:sz w:val="15"/>
              </w:rPr>
              <w:t>0.000</w:t>
            </w:r>
          </w:p>
        </w:tc>
        <w:tc>
          <w:tcPr>
            <w:tcW w:w="873" w:type="dxa"/>
          </w:tcPr>
          <w:p w:rsidR="00765F11" w:rsidRPr="00E526BD" w:rsidP="00765F11">
            <w:pPr>
              <w:pStyle w:val="TableParagraph"/>
              <w:spacing w:before="44"/>
              <w:ind w:left="18"/>
              <w:rPr>
                <w:sz w:val="15"/>
              </w:rPr>
            </w:pPr>
            <w:r w:rsidRPr="00E526BD">
              <w:rPr>
                <w:w w:val="105"/>
                <w:sz w:val="15"/>
              </w:rPr>
              <w:t>0.000</w:t>
            </w:r>
          </w:p>
        </w:tc>
        <w:tc>
          <w:tcPr>
            <w:tcW w:w="873" w:type="dxa"/>
          </w:tcPr>
          <w:p w:rsidR="00765F11" w:rsidRPr="00E526BD" w:rsidP="00765F11">
            <w:pPr>
              <w:pStyle w:val="TableParagraph"/>
              <w:spacing w:before="44"/>
              <w:ind w:left="17"/>
              <w:rPr>
                <w:sz w:val="15"/>
              </w:rPr>
            </w:pPr>
            <w:r w:rsidRPr="00E526BD">
              <w:rPr>
                <w:w w:val="105"/>
                <w:sz w:val="15"/>
              </w:rPr>
              <w:t>0.000</w:t>
            </w:r>
          </w:p>
        </w:tc>
        <w:tc>
          <w:tcPr>
            <w:tcW w:w="873" w:type="dxa"/>
          </w:tcPr>
          <w:p w:rsidR="00765F11" w:rsidRPr="00E526BD" w:rsidP="00765F11">
            <w:pPr>
              <w:pStyle w:val="TableParagraph"/>
              <w:spacing w:before="44"/>
              <w:ind w:left="16"/>
              <w:rPr>
                <w:sz w:val="15"/>
              </w:rPr>
            </w:pPr>
            <w:r w:rsidRPr="00E526BD">
              <w:rPr>
                <w:w w:val="105"/>
                <w:sz w:val="15"/>
              </w:rPr>
              <w:t>0.007</w:t>
            </w:r>
          </w:p>
        </w:tc>
        <w:tc>
          <w:tcPr>
            <w:tcW w:w="873" w:type="dxa"/>
          </w:tcPr>
          <w:p w:rsidR="00765F11" w:rsidRPr="00E526BD" w:rsidP="00765F11">
            <w:pPr>
              <w:pStyle w:val="TableParagraph"/>
              <w:spacing w:before="44"/>
              <w:ind w:left="16"/>
              <w:rPr>
                <w:sz w:val="15"/>
              </w:rPr>
            </w:pPr>
            <w:r w:rsidRPr="00E526BD">
              <w:rPr>
                <w:w w:val="105"/>
                <w:sz w:val="15"/>
              </w:rPr>
              <w:t>0.000</w:t>
            </w:r>
          </w:p>
        </w:tc>
        <w:tc>
          <w:tcPr>
            <w:tcW w:w="873" w:type="dxa"/>
          </w:tcPr>
          <w:p w:rsidR="00765F11" w:rsidRPr="00E526BD" w:rsidP="00765F11">
            <w:pPr>
              <w:pStyle w:val="TableParagraph"/>
              <w:spacing w:before="44"/>
              <w:ind w:left="15"/>
              <w:rPr>
                <w:sz w:val="15"/>
              </w:rPr>
            </w:pPr>
            <w:r w:rsidRPr="00E526BD">
              <w:rPr>
                <w:w w:val="105"/>
                <w:sz w:val="15"/>
              </w:rPr>
              <w:t>0.000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 xml:space="preserve">Employees or </w:t>
            </w:r>
            <w:r w:rsidRPr="00E526BD">
              <w:rPr>
                <w:w w:val="105"/>
                <w:sz w:val="8"/>
              </w:rPr>
              <w:t>contractors</w:t>
            </w:r>
          </w:p>
        </w:tc>
        <w:tc>
          <w:tcPr>
            <w:tcW w:w="873" w:type="dxa"/>
          </w:tcPr>
          <w:p w:rsidR="00765F11" w:rsidRPr="00E526BD" w:rsidP="00765F11">
            <w:pPr>
              <w:pStyle w:val="TableParagraph"/>
              <w:spacing w:before="44"/>
              <w:ind w:left="20"/>
              <w:rPr>
                <w:sz w:val="15"/>
              </w:rPr>
            </w:pPr>
            <w:r w:rsidRPr="00E526BD">
              <w:rPr>
                <w:w w:val="105"/>
                <w:sz w:val="15"/>
              </w:rPr>
              <w:t>21</w:t>
            </w:r>
          </w:p>
        </w:tc>
        <w:tc>
          <w:tcPr>
            <w:tcW w:w="873" w:type="dxa"/>
          </w:tcPr>
          <w:p w:rsidR="00765F11" w:rsidRPr="00E526BD" w:rsidP="00765F11">
            <w:pPr>
              <w:pStyle w:val="TableParagraph"/>
              <w:spacing w:before="44"/>
              <w:ind w:left="23"/>
              <w:rPr>
                <w:sz w:val="15"/>
              </w:rPr>
            </w:pPr>
            <w:r w:rsidRPr="00E526BD">
              <w:rPr>
                <w:w w:val="103"/>
                <w:sz w:val="15"/>
              </w:rPr>
              <w:t>2</w:t>
            </w:r>
          </w:p>
        </w:tc>
        <w:tc>
          <w:tcPr>
            <w:tcW w:w="873" w:type="dxa"/>
          </w:tcPr>
          <w:p w:rsidR="00765F11" w:rsidRPr="00E526BD" w:rsidP="00765F11">
            <w:pPr>
              <w:pStyle w:val="TableParagraph"/>
              <w:spacing w:before="44"/>
              <w:ind w:left="22"/>
              <w:rPr>
                <w:sz w:val="15"/>
              </w:rPr>
            </w:pPr>
            <w:r w:rsidRPr="00E526BD">
              <w:rPr>
                <w:w w:val="103"/>
                <w:sz w:val="15"/>
              </w:rPr>
              <w:t>3</w:t>
            </w:r>
          </w:p>
        </w:tc>
        <w:tc>
          <w:tcPr>
            <w:tcW w:w="873" w:type="dxa"/>
          </w:tcPr>
          <w:p w:rsidR="00765F11" w:rsidRPr="00E526BD" w:rsidP="00765F11">
            <w:pPr>
              <w:pStyle w:val="TableParagraph"/>
              <w:spacing w:before="44"/>
              <w:ind w:left="22"/>
              <w:rPr>
                <w:sz w:val="15"/>
              </w:rPr>
            </w:pPr>
            <w:r w:rsidRPr="00E526BD">
              <w:rPr>
                <w:w w:val="103"/>
                <w:sz w:val="15"/>
              </w:rPr>
              <w:t>1</w:t>
            </w:r>
          </w:p>
        </w:tc>
        <w:tc>
          <w:tcPr>
            <w:tcW w:w="873" w:type="dxa"/>
          </w:tcPr>
          <w:p w:rsidR="00765F11" w:rsidRPr="00E526BD" w:rsidP="00765F11">
            <w:pPr>
              <w:pStyle w:val="TableParagraph"/>
              <w:spacing w:before="44"/>
              <w:ind w:left="21"/>
              <w:rPr>
                <w:sz w:val="15"/>
              </w:rPr>
            </w:pPr>
            <w:r w:rsidRPr="00E526BD">
              <w:rPr>
                <w:w w:val="103"/>
                <w:sz w:val="15"/>
              </w:rPr>
              <w:t>3</w:t>
            </w:r>
          </w:p>
        </w:tc>
        <w:tc>
          <w:tcPr>
            <w:tcW w:w="873" w:type="dxa"/>
          </w:tcPr>
          <w:p w:rsidR="00765F11" w:rsidRPr="00E526BD" w:rsidP="00765F11">
            <w:pPr>
              <w:pStyle w:val="TableParagraph"/>
              <w:spacing w:before="44"/>
              <w:ind w:left="17"/>
              <w:rPr>
                <w:sz w:val="15"/>
              </w:rPr>
            </w:pPr>
            <w:r w:rsidRPr="00E526BD">
              <w:rPr>
                <w:w w:val="105"/>
                <w:sz w:val="15"/>
              </w:rPr>
              <w:t>10</w:t>
            </w:r>
          </w:p>
        </w:tc>
        <w:tc>
          <w:tcPr>
            <w:tcW w:w="873" w:type="dxa"/>
          </w:tcPr>
          <w:p w:rsidR="00765F11" w:rsidRPr="00E526BD" w:rsidP="00765F11">
            <w:pPr>
              <w:pStyle w:val="TableParagraph"/>
              <w:spacing w:before="44"/>
              <w:ind w:left="20"/>
              <w:rPr>
                <w:sz w:val="15"/>
              </w:rPr>
            </w:pPr>
            <w:r w:rsidRPr="00E526BD">
              <w:rPr>
                <w:w w:val="103"/>
                <w:sz w:val="15"/>
              </w:rPr>
              <w:t>0</w:t>
            </w:r>
          </w:p>
        </w:tc>
        <w:tc>
          <w:tcPr>
            <w:tcW w:w="873" w:type="dxa"/>
          </w:tcPr>
          <w:p w:rsidR="00765F11" w:rsidRPr="00E526BD" w:rsidP="00765F11">
            <w:pPr>
              <w:pStyle w:val="TableParagraph"/>
              <w:spacing w:before="44"/>
              <w:ind w:left="19"/>
              <w:rPr>
                <w:sz w:val="15"/>
              </w:rPr>
            </w:pPr>
            <w:r w:rsidRPr="00E526BD">
              <w:rPr>
                <w:w w:val="103"/>
                <w:sz w:val="15"/>
              </w:rPr>
              <w:t>2</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Average number of seriously injured employees, including contractors</w:t>
            </w:r>
          </w:p>
        </w:tc>
        <w:tc>
          <w:tcPr>
            <w:tcW w:w="873" w:type="dxa"/>
          </w:tcPr>
          <w:p w:rsidR="00765F11" w:rsidRPr="00E526BD" w:rsidP="00765F11">
            <w:pPr>
              <w:pStyle w:val="TableParagraph"/>
              <w:spacing w:before="44"/>
              <w:ind w:left="20"/>
              <w:rPr>
                <w:sz w:val="15"/>
              </w:rPr>
            </w:pPr>
            <w:r w:rsidRPr="00E526BD">
              <w:rPr>
                <w:w w:val="105"/>
                <w:sz w:val="15"/>
              </w:rPr>
              <w:t>0.020</w:t>
            </w:r>
          </w:p>
        </w:tc>
        <w:tc>
          <w:tcPr>
            <w:tcW w:w="873" w:type="dxa"/>
          </w:tcPr>
          <w:p w:rsidR="00765F11" w:rsidRPr="00E526BD" w:rsidP="00765F11">
            <w:pPr>
              <w:pStyle w:val="TableParagraph"/>
              <w:spacing w:before="44"/>
              <w:ind w:left="19"/>
              <w:rPr>
                <w:sz w:val="15"/>
              </w:rPr>
            </w:pPr>
            <w:r w:rsidRPr="00E526BD">
              <w:rPr>
                <w:w w:val="105"/>
                <w:sz w:val="15"/>
              </w:rPr>
              <w:t>0.002</w:t>
            </w:r>
          </w:p>
        </w:tc>
        <w:tc>
          <w:tcPr>
            <w:tcW w:w="873" w:type="dxa"/>
          </w:tcPr>
          <w:p w:rsidR="00765F11" w:rsidRPr="00E526BD" w:rsidP="00765F11">
            <w:pPr>
              <w:pStyle w:val="TableParagraph"/>
              <w:spacing w:before="44"/>
              <w:ind w:left="19"/>
              <w:rPr>
                <w:sz w:val="15"/>
              </w:rPr>
            </w:pPr>
            <w:r w:rsidRPr="00E526BD">
              <w:rPr>
                <w:w w:val="105"/>
                <w:sz w:val="15"/>
              </w:rPr>
              <w:t>0.003</w:t>
            </w:r>
          </w:p>
        </w:tc>
        <w:tc>
          <w:tcPr>
            <w:tcW w:w="873" w:type="dxa"/>
          </w:tcPr>
          <w:p w:rsidR="00765F11" w:rsidRPr="00E526BD" w:rsidP="00765F11">
            <w:pPr>
              <w:pStyle w:val="TableParagraph"/>
              <w:spacing w:before="44"/>
              <w:ind w:left="18"/>
              <w:rPr>
                <w:sz w:val="15"/>
              </w:rPr>
            </w:pPr>
            <w:r w:rsidRPr="00E526BD">
              <w:rPr>
                <w:w w:val="105"/>
                <w:sz w:val="15"/>
              </w:rPr>
              <w:t>0.001</w:t>
            </w:r>
          </w:p>
        </w:tc>
        <w:tc>
          <w:tcPr>
            <w:tcW w:w="873" w:type="dxa"/>
          </w:tcPr>
          <w:p w:rsidR="00765F11" w:rsidRPr="00E526BD" w:rsidP="00765F11">
            <w:pPr>
              <w:pStyle w:val="TableParagraph"/>
              <w:spacing w:before="44"/>
              <w:ind w:left="17"/>
              <w:rPr>
                <w:sz w:val="15"/>
              </w:rPr>
            </w:pPr>
            <w:r w:rsidRPr="00E526BD">
              <w:rPr>
                <w:w w:val="105"/>
                <w:sz w:val="15"/>
              </w:rPr>
              <w:t>0.003</w:t>
            </w:r>
          </w:p>
        </w:tc>
        <w:tc>
          <w:tcPr>
            <w:tcW w:w="873" w:type="dxa"/>
          </w:tcPr>
          <w:p w:rsidR="00765F11" w:rsidRPr="00E526BD" w:rsidP="00765F11">
            <w:pPr>
              <w:pStyle w:val="TableParagraph"/>
              <w:spacing w:before="44"/>
              <w:ind w:left="17"/>
              <w:rPr>
                <w:sz w:val="15"/>
              </w:rPr>
            </w:pPr>
            <w:r w:rsidRPr="00E526BD">
              <w:rPr>
                <w:w w:val="105"/>
                <w:sz w:val="15"/>
              </w:rPr>
              <w:t>0.009</w:t>
            </w:r>
          </w:p>
        </w:tc>
        <w:tc>
          <w:tcPr>
            <w:tcW w:w="873" w:type="dxa"/>
          </w:tcPr>
          <w:p w:rsidR="00765F11" w:rsidRPr="00E526BD" w:rsidP="00765F11">
            <w:pPr>
              <w:pStyle w:val="TableParagraph"/>
              <w:spacing w:before="44"/>
              <w:ind w:left="16"/>
              <w:rPr>
                <w:sz w:val="15"/>
              </w:rPr>
            </w:pPr>
            <w:r w:rsidRPr="00E526BD">
              <w:rPr>
                <w:w w:val="105"/>
                <w:sz w:val="15"/>
              </w:rPr>
              <w:t>0.000</w:t>
            </w:r>
          </w:p>
        </w:tc>
        <w:tc>
          <w:tcPr>
            <w:tcW w:w="873" w:type="dxa"/>
          </w:tcPr>
          <w:p w:rsidR="00765F11" w:rsidRPr="00E526BD" w:rsidP="00765F11">
            <w:pPr>
              <w:pStyle w:val="TableParagraph"/>
              <w:spacing w:before="44"/>
              <w:ind w:left="16"/>
              <w:rPr>
                <w:sz w:val="15"/>
              </w:rPr>
            </w:pPr>
            <w:r w:rsidRPr="00E526BD">
              <w:rPr>
                <w:w w:val="105"/>
                <w:sz w:val="15"/>
              </w:rPr>
              <w:t>0.002</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Level crossing users</w:t>
            </w:r>
          </w:p>
        </w:tc>
        <w:tc>
          <w:tcPr>
            <w:tcW w:w="873" w:type="dxa"/>
          </w:tcPr>
          <w:p w:rsidR="00765F11" w:rsidRPr="00E526BD" w:rsidP="00765F11">
            <w:pPr>
              <w:pStyle w:val="TableParagraph"/>
              <w:spacing w:before="43"/>
              <w:ind w:left="20"/>
              <w:rPr>
                <w:sz w:val="15"/>
              </w:rPr>
            </w:pPr>
            <w:r w:rsidRPr="00E526BD">
              <w:rPr>
                <w:w w:val="105"/>
                <w:sz w:val="15"/>
              </w:rPr>
              <w:t>31</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2"/>
              <w:rPr>
                <w:sz w:val="15"/>
              </w:rPr>
            </w:pPr>
            <w:r w:rsidRPr="00E526BD">
              <w:rPr>
                <w:w w:val="103"/>
                <w:sz w:val="15"/>
              </w:rPr>
              <w:t>0</w:t>
            </w:r>
          </w:p>
        </w:tc>
        <w:tc>
          <w:tcPr>
            <w:tcW w:w="873" w:type="dxa"/>
          </w:tcPr>
          <w:p w:rsidR="00765F11" w:rsidRPr="00E526BD" w:rsidP="00765F11">
            <w:pPr>
              <w:pStyle w:val="TableParagraph"/>
              <w:spacing w:before="43"/>
              <w:ind w:left="18"/>
              <w:rPr>
                <w:sz w:val="15"/>
              </w:rPr>
            </w:pPr>
            <w:r w:rsidRPr="00E526BD">
              <w:rPr>
                <w:w w:val="105"/>
                <w:sz w:val="15"/>
              </w:rPr>
              <w:t>31</w:t>
            </w:r>
          </w:p>
        </w:tc>
        <w:tc>
          <w:tcPr>
            <w:tcW w:w="873" w:type="dxa"/>
          </w:tcPr>
          <w:p w:rsidR="00765F11" w:rsidRPr="00E526BD" w:rsidP="00765F11">
            <w:pPr>
              <w:pStyle w:val="TableParagraph"/>
              <w:spacing w:before="43"/>
              <w:ind w:left="21"/>
              <w:rPr>
                <w:sz w:val="15"/>
              </w:rPr>
            </w:pPr>
            <w:r w:rsidRPr="00E526BD">
              <w:rPr>
                <w:w w:val="103"/>
                <w:sz w:val="15"/>
              </w:rPr>
              <w:t>0</w:t>
            </w:r>
          </w:p>
        </w:tc>
        <w:tc>
          <w:tcPr>
            <w:tcW w:w="873" w:type="dxa"/>
          </w:tcPr>
          <w:p w:rsidR="00765F11" w:rsidRPr="00E526BD" w:rsidP="00765F11">
            <w:pPr>
              <w:pStyle w:val="TableParagraph"/>
              <w:spacing w:before="43"/>
              <w:ind w:left="20"/>
              <w:rPr>
                <w:sz w:val="15"/>
              </w:rPr>
            </w:pPr>
            <w:r w:rsidRPr="00E526BD">
              <w:rPr>
                <w:w w:val="103"/>
                <w:sz w:val="15"/>
              </w:rPr>
              <w:t>0</w:t>
            </w:r>
          </w:p>
        </w:tc>
        <w:tc>
          <w:tcPr>
            <w:tcW w:w="873" w:type="dxa"/>
          </w:tcPr>
          <w:p w:rsidR="00765F11" w:rsidRPr="00E526BD" w:rsidP="00765F11">
            <w:pPr>
              <w:pStyle w:val="TableParagraph"/>
              <w:spacing w:before="43"/>
              <w:ind w:left="19"/>
              <w:rPr>
                <w:sz w:val="15"/>
              </w:rPr>
            </w:pPr>
            <w:r w:rsidRPr="00E526BD">
              <w:rPr>
                <w:w w:val="103"/>
                <w:sz w:val="15"/>
              </w:rPr>
              <w:t>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Average number of seriously injured level crossing users</w:t>
            </w:r>
          </w:p>
        </w:tc>
        <w:tc>
          <w:tcPr>
            <w:tcW w:w="873" w:type="dxa"/>
          </w:tcPr>
          <w:p w:rsidR="00765F11" w:rsidRPr="00E526BD" w:rsidP="00765F11">
            <w:pPr>
              <w:pStyle w:val="TableParagraph"/>
              <w:spacing w:before="43"/>
              <w:ind w:left="20"/>
              <w:rPr>
                <w:sz w:val="15"/>
              </w:rPr>
            </w:pPr>
            <w:r w:rsidRPr="00E526BD">
              <w:rPr>
                <w:w w:val="105"/>
                <w:sz w:val="15"/>
              </w:rPr>
              <w:t>0.029</w:t>
            </w:r>
          </w:p>
        </w:tc>
        <w:tc>
          <w:tcPr>
            <w:tcW w:w="873" w:type="dxa"/>
          </w:tcPr>
          <w:p w:rsidR="00765F11" w:rsidRPr="00E526BD" w:rsidP="00765F11">
            <w:pPr>
              <w:pStyle w:val="TableParagraph"/>
              <w:spacing w:before="43"/>
              <w:ind w:left="20"/>
              <w:rPr>
                <w:sz w:val="15"/>
              </w:rPr>
            </w:pPr>
            <w:r w:rsidRPr="00E526BD">
              <w:rPr>
                <w:w w:val="105"/>
                <w:sz w:val="15"/>
              </w:rPr>
              <w:t>0.000</w:t>
            </w:r>
          </w:p>
        </w:tc>
        <w:tc>
          <w:tcPr>
            <w:tcW w:w="873" w:type="dxa"/>
          </w:tcPr>
          <w:p w:rsidR="00765F11" w:rsidRPr="00E526BD" w:rsidP="00765F11">
            <w:pPr>
              <w:pStyle w:val="TableParagraph"/>
              <w:spacing w:before="43"/>
              <w:ind w:left="19"/>
              <w:rPr>
                <w:sz w:val="15"/>
              </w:rPr>
            </w:pPr>
            <w:r w:rsidRPr="00E526BD">
              <w:rPr>
                <w:w w:val="105"/>
                <w:sz w:val="15"/>
              </w:rPr>
              <w:t>0.000</w:t>
            </w:r>
          </w:p>
        </w:tc>
        <w:tc>
          <w:tcPr>
            <w:tcW w:w="873" w:type="dxa"/>
          </w:tcPr>
          <w:p w:rsidR="00765F11" w:rsidRPr="00E526BD" w:rsidP="00765F11">
            <w:pPr>
              <w:pStyle w:val="TableParagraph"/>
              <w:spacing w:before="43"/>
              <w:ind w:left="18"/>
              <w:rPr>
                <w:sz w:val="15"/>
              </w:rPr>
            </w:pPr>
            <w:r w:rsidRPr="00E526BD">
              <w:rPr>
                <w:w w:val="105"/>
                <w:sz w:val="15"/>
              </w:rPr>
              <w:t>0.000</w:t>
            </w:r>
          </w:p>
        </w:tc>
        <w:tc>
          <w:tcPr>
            <w:tcW w:w="873" w:type="dxa"/>
          </w:tcPr>
          <w:p w:rsidR="00765F11" w:rsidRPr="00E526BD" w:rsidP="00765F11">
            <w:pPr>
              <w:pStyle w:val="TableParagraph"/>
              <w:spacing w:before="43"/>
              <w:ind w:left="18"/>
              <w:rPr>
                <w:sz w:val="15"/>
              </w:rPr>
            </w:pPr>
            <w:r w:rsidRPr="00E526BD">
              <w:rPr>
                <w:w w:val="105"/>
                <w:sz w:val="15"/>
              </w:rPr>
              <w:t>0.029</w:t>
            </w:r>
          </w:p>
        </w:tc>
        <w:tc>
          <w:tcPr>
            <w:tcW w:w="873" w:type="dxa"/>
          </w:tcPr>
          <w:p w:rsidR="00765F11" w:rsidRPr="00E526BD" w:rsidP="00765F11">
            <w:pPr>
              <w:pStyle w:val="TableParagraph"/>
              <w:spacing w:before="43"/>
              <w:ind w:left="17"/>
              <w:rPr>
                <w:sz w:val="15"/>
              </w:rPr>
            </w:pPr>
            <w:r w:rsidRPr="00E526BD">
              <w:rPr>
                <w:w w:val="105"/>
                <w:sz w:val="15"/>
              </w:rPr>
              <w:t>0.000</w:t>
            </w:r>
          </w:p>
        </w:tc>
        <w:tc>
          <w:tcPr>
            <w:tcW w:w="873" w:type="dxa"/>
          </w:tcPr>
          <w:p w:rsidR="00765F11" w:rsidRPr="00E526BD" w:rsidP="00765F11">
            <w:pPr>
              <w:pStyle w:val="TableParagraph"/>
              <w:spacing w:before="43"/>
              <w:ind w:left="16"/>
              <w:rPr>
                <w:sz w:val="15"/>
              </w:rPr>
            </w:pPr>
            <w:r w:rsidRPr="00E526BD">
              <w:rPr>
                <w:w w:val="105"/>
                <w:sz w:val="15"/>
              </w:rPr>
              <w:t>0.000</w:t>
            </w:r>
          </w:p>
        </w:tc>
        <w:tc>
          <w:tcPr>
            <w:tcW w:w="873" w:type="dxa"/>
          </w:tcPr>
          <w:p w:rsidR="00765F11" w:rsidRPr="00E526BD" w:rsidP="00765F11">
            <w:pPr>
              <w:pStyle w:val="TableParagraph"/>
              <w:spacing w:before="43"/>
              <w:ind w:left="16"/>
              <w:rPr>
                <w:sz w:val="15"/>
              </w:rPr>
            </w:pPr>
            <w:r w:rsidRPr="00E526BD">
              <w:rPr>
                <w:w w:val="105"/>
                <w:sz w:val="15"/>
              </w:rPr>
              <w:t>0.000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Trespassers</w:t>
            </w:r>
          </w:p>
        </w:tc>
        <w:tc>
          <w:tcPr>
            <w:tcW w:w="873" w:type="dxa"/>
          </w:tcPr>
          <w:p w:rsidR="00765F11" w:rsidRPr="00E526BD" w:rsidP="00765F11">
            <w:pPr>
              <w:pStyle w:val="TableParagraph"/>
              <w:spacing w:before="43"/>
              <w:ind w:left="20"/>
              <w:rPr>
                <w:sz w:val="15"/>
              </w:rPr>
            </w:pPr>
            <w:r w:rsidRPr="00E526BD">
              <w:rPr>
                <w:w w:val="105"/>
                <w:sz w:val="15"/>
              </w:rPr>
              <w:t>60</w:t>
            </w:r>
          </w:p>
        </w:tc>
        <w:tc>
          <w:tcPr>
            <w:tcW w:w="873" w:type="dxa"/>
          </w:tcPr>
          <w:p w:rsidR="00765F11" w:rsidRPr="00E526BD" w:rsidP="00765F11">
            <w:pPr>
              <w:pStyle w:val="TableParagraph"/>
              <w:spacing w:before="43"/>
              <w:ind w:left="24"/>
              <w:rPr>
                <w:sz w:val="15"/>
              </w:rPr>
            </w:pPr>
            <w:r w:rsidRPr="00E526BD">
              <w:rPr>
                <w:w w:val="103"/>
                <w:sz w:val="15"/>
              </w:rPr>
              <w:t>0</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2"/>
              <w:rPr>
                <w:sz w:val="15"/>
              </w:rPr>
            </w:pPr>
            <w:r w:rsidRPr="00E526BD">
              <w:rPr>
                <w:w w:val="103"/>
                <w:sz w:val="15"/>
              </w:rPr>
              <w:t>0</w:t>
            </w:r>
          </w:p>
        </w:tc>
        <w:tc>
          <w:tcPr>
            <w:tcW w:w="873" w:type="dxa"/>
          </w:tcPr>
          <w:p w:rsidR="00765F11" w:rsidRPr="00E526BD" w:rsidP="00765F11">
            <w:pPr>
              <w:pStyle w:val="TableParagraph"/>
              <w:spacing w:before="43"/>
              <w:ind w:left="22"/>
              <w:rPr>
                <w:sz w:val="15"/>
              </w:rPr>
            </w:pPr>
            <w:r w:rsidRPr="00E526BD">
              <w:rPr>
                <w:w w:val="103"/>
                <w:sz w:val="15"/>
              </w:rPr>
              <w:t>0</w:t>
            </w:r>
          </w:p>
        </w:tc>
        <w:tc>
          <w:tcPr>
            <w:tcW w:w="873" w:type="dxa"/>
          </w:tcPr>
          <w:p w:rsidR="00765F11" w:rsidRPr="00E526BD" w:rsidP="00765F11">
            <w:pPr>
              <w:pStyle w:val="TableParagraph"/>
              <w:spacing w:before="43"/>
              <w:ind w:left="17"/>
              <w:rPr>
                <w:sz w:val="15"/>
              </w:rPr>
            </w:pPr>
            <w:r w:rsidRPr="00E526BD">
              <w:rPr>
                <w:w w:val="105"/>
                <w:sz w:val="15"/>
              </w:rPr>
              <w:t>60</w:t>
            </w:r>
          </w:p>
        </w:tc>
        <w:tc>
          <w:tcPr>
            <w:tcW w:w="873" w:type="dxa"/>
          </w:tcPr>
          <w:p w:rsidR="00765F11" w:rsidRPr="00E526BD" w:rsidP="00765F11">
            <w:pPr>
              <w:pStyle w:val="TableParagraph"/>
              <w:spacing w:before="43"/>
              <w:ind w:left="20"/>
              <w:rPr>
                <w:sz w:val="15"/>
              </w:rPr>
            </w:pPr>
            <w:r w:rsidRPr="00E526BD">
              <w:rPr>
                <w:w w:val="103"/>
                <w:sz w:val="15"/>
              </w:rPr>
              <w:t>0</w:t>
            </w:r>
          </w:p>
        </w:tc>
        <w:tc>
          <w:tcPr>
            <w:tcW w:w="873" w:type="dxa"/>
          </w:tcPr>
          <w:p w:rsidR="00765F11" w:rsidRPr="00E526BD" w:rsidP="00765F11">
            <w:pPr>
              <w:pStyle w:val="TableParagraph"/>
              <w:spacing w:before="43"/>
              <w:ind w:left="20"/>
              <w:rPr>
                <w:sz w:val="15"/>
              </w:rPr>
            </w:pPr>
            <w:r w:rsidRPr="00E526BD">
              <w:rPr>
                <w:w w:val="103"/>
                <w:sz w:val="15"/>
              </w:rPr>
              <w:t>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Average number of seriously injured trespassers on railway premises</w:t>
            </w:r>
          </w:p>
        </w:tc>
        <w:tc>
          <w:tcPr>
            <w:tcW w:w="873" w:type="dxa"/>
          </w:tcPr>
          <w:p w:rsidR="00765F11" w:rsidRPr="00E526BD" w:rsidP="00765F11">
            <w:pPr>
              <w:pStyle w:val="TableParagraph"/>
              <w:spacing w:before="43"/>
              <w:ind w:left="21"/>
              <w:rPr>
                <w:sz w:val="15"/>
              </w:rPr>
            </w:pPr>
            <w:r w:rsidRPr="00E526BD">
              <w:rPr>
                <w:w w:val="105"/>
                <w:sz w:val="15"/>
              </w:rPr>
              <w:t>0.056</w:t>
            </w:r>
          </w:p>
        </w:tc>
        <w:tc>
          <w:tcPr>
            <w:tcW w:w="873" w:type="dxa"/>
          </w:tcPr>
          <w:p w:rsidR="00765F11" w:rsidRPr="00E526BD" w:rsidP="00765F11">
            <w:pPr>
              <w:pStyle w:val="TableParagraph"/>
              <w:spacing w:before="43"/>
              <w:ind w:left="20"/>
              <w:rPr>
                <w:sz w:val="15"/>
              </w:rPr>
            </w:pPr>
            <w:r w:rsidRPr="00E526BD">
              <w:rPr>
                <w:w w:val="105"/>
                <w:sz w:val="15"/>
              </w:rPr>
              <w:t>0.000</w:t>
            </w:r>
          </w:p>
        </w:tc>
        <w:tc>
          <w:tcPr>
            <w:tcW w:w="873" w:type="dxa"/>
          </w:tcPr>
          <w:p w:rsidR="00765F11" w:rsidRPr="00E526BD" w:rsidP="00765F11">
            <w:pPr>
              <w:pStyle w:val="TableParagraph"/>
              <w:spacing w:before="43"/>
              <w:ind w:left="19"/>
              <w:rPr>
                <w:sz w:val="15"/>
              </w:rPr>
            </w:pPr>
            <w:r w:rsidRPr="00E526BD">
              <w:rPr>
                <w:w w:val="105"/>
                <w:sz w:val="15"/>
              </w:rPr>
              <w:t>0.000</w:t>
            </w:r>
          </w:p>
        </w:tc>
        <w:tc>
          <w:tcPr>
            <w:tcW w:w="873" w:type="dxa"/>
          </w:tcPr>
          <w:p w:rsidR="00765F11" w:rsidRPr="00E526BD" w:rsidP="00765F11">
            <w:pPr>
              <w:pStyle w:val="TableParagraph"/>
              <w:spacing w:before="43"/>
              <w:ind w:left="19"/>
              <w:rPr>
                <w:sz w:val="15"/>
              </w:rPr>
            </w:pPr>
            <w:r w:rsidRPr="00E526BD">
              <w:rPr>
                <w:w w:val="105"/>
                <w:sz w:val="15"/>
              </w:rPr>
              <w:t>0.000</w:t>
            </w:r>
          </w:p>
        </w:tc>
        <w:tc>
          <w:tcPr>
            <w:tcW w:w="873" w:type="dxa"/>
          </w:tcPr>
          <w:p w:rsidR="00765F11" w:rsidRPr="00E526BD" w:rsidP="00765F11">
            <w:pPr>
              <w:pStyle w:val="TableParagraph"/>
              <w:spacing w:before="43"/>
              <w:ind w:left="18"/>
              <w:rPr>
                <w:sz w:val="15"/>
              </w:rPr>
            </w:pPr>
            <w:r w:rsidRPr="00E526BD">
              <w:rPr>
                <w:w w:val="105"/>
                <w:sz w:val="15"/>
              </w:rPr>
              <w:t>0.000</w:t>
            </w:r>
          </w:p>
        </w:tc>
        <w:tc>
          <w:tcPr>
            <w:tcW w:w="873" w:type="dxa"/>
          </w:tcPr>
          <w:p w:rsidR="00765F11" w:rsidRPr="00E526BD" w:rsidP="00765F11">
            <w:pPr>
              <w:pStyle w:val="TableParagraph"/>
              <w:spacing w:before="43"/>
              <w:ind w:left="17"/>
              <w:rPr>
                <w:sz w:val="15"/>
              </w:rPr>
            </w:pPr>
            <w:r w:rsidRPr="00E526BD">
              <w:rPr>
                <w:w w:val="105"/>
                <w:sz w:val="15"/>
              </w:rPr>
              <w:t>0.056</w:t>
            </w:r>
          </w:p>
        </w:tc>
        <w:tc>
          <w:tcPr>
            <w:tcW w:w="873" w:type="dxa"/>
          </w:tcPr>
          <w:p w:rsidR="00765F11" w:rsidRPr="00E526BD" w:rsidP="00765F11">
            <w:pPr>
              <w:pStyle w:val="TableParagraph"/>
              <w:spacing w:before="43"/>
              <w:ind w:left="17"/>
              <w:rPr>
                <w:sz w:val="15"/>
              </w:rPr>
            </w:pPr>
            <w:r w:rsidRPr="00E526BD">
              <w:rPr>
                <w:w w:val="105"/>
                <w:sz w:val="15"/>
              </w:rPr>
              <w:t>0.000</w:t>
            </w:r>
          </w:p>
        </w:tc>
        <w:tc>
          <w:tcPr>
            <w:tcW w:w="873" w:type="dxa"/>
          </w:tcPr>
          <w:p w:rsidR="00765F11" w:rsidRPr="00E526BD" w:rsidP="00765F11">
            <w:pPr>
              <w:pStyle w:val="TableParagraph"/>
              <w:spacing w:before="43"/>
              <w:ind w:left="16"/>
              <w:rPr>
                <w:sz w:val="15"/>
              </w:rPr>
            </w:pPr>
            <w:r w:rsidRPr="00E526BD">
              <w:rPr>
                <w:w w:val="105"/>
                <w:sz w:val="15"/>
              </w:rPr>
              <w:t>0.000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Other persons on platforms</w:t>
            </w:r>
          </w:p>
        </w:tc>
        <w:tc>
          <w:tcPr>
            <w:tcW w:w="873" w:type="dxa"/>
          </w:tcPr>
          <w:p w:rsidR="00765F11" w:rsidRPr="00E526BD" w:rsidP="00765F11">
            <w:pPr>
              <w:pStyle w:val="TableParagraph"/>
              <w:spacing w:before="43"/>
              <w:ind w:left="21"/>
              <w:rPr>
                <w:sz w:val="15"/>
              </w:rPr>
            </w:pPr>
            <w:r w:rsidRPr="00E526BD">
              <w:rPr>
                <w:w w:val="105"/>
                <w:sz w:val="15"/>
              </w:rPr>
              <w:t>10</w:t>
            </w:r>
          </w:p>
        </w:tc>
        <w:tc>
          <w:tcPr>
            <w:tcW w:w="873" w:type="dxa"/>
          </w:tcPr>
          <w:p w:rsidR="00765F11" w:rsidRPr="00E526BD" w:rsidP="00765F11">
            <w:pPr>
              <w:pStyle w:val="TableParagraph"/>
              <w:spacing w:before="43"/>
              <w:ind w:left="24"/>
              <w:rPr>
                <w:sz w:val="15"/>
              </w:rPr>
            </w:pPr>
            <w:r w:rsidRPr="00E526BD">
              <w:rPr>
                <w:w w:val="103"/>
                <w:sz w:val="15"/>
              </w:rPr>
              <w:t>0</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2"/>
              <w:rPr>
                <w:sz w:val="15"/>
              </w:rPr>
            </w:pPr>
            <w:r w:rsidRPr="00E526BD">
              <w:rPr>
                <w:w w:val="103"/>
                <w:sz w:val="15"/>
              </w:rPr>
              <w:t>0</w:t>
            </w:r>
          </w:p>
        </w:tc>
        <w:tc>
          <w:tcPr>
            <w:tcW w:w="873" w:type="dxa"/>
          </w:tcPr>
          <w:p w:rsidR="00765F11" w:rsidRPr="00E526BD" w:rsidP="00765F11">
            <w:pPr>
              <w:pStyle w:val="TableParagraph"/>
              <w:spacing w:before="43"/>
              <w:ind w:left="18"/>
              <w:rPr>
                <w:sz w:val="15"/>
              </w:rPr>
            </w:pPr>
            <w:r w:rsidRPr="00E526BD">
              <w:rPr>
                <w:w w:val="105"/>
                <w:sz w:val="15"/>
              </w:rPr>
              <w:t>10</w:t>
            </w:r>
          </w:p>
        </w:tc>
        <w:tc>
          <w:tcPr>
            <w:tcW w:w="873" w:type="dxa"/>
          </w:tcPr>
          <w:p w:rsidR="00765F11" w:rsidRPr="00E526BD" w:rsidP="00765F11">
            <w:pPr>
              <w:pStyle w:val="TableParagraph"/>
              <w:spacing w:before="43"/>
              <w:ind w:left="21"/>
              <w:rPr>
                <w:sz w:val="15"/>
              </w:rPr>
            </w:pPr>
            <w:r w:rsidRPr="00E526BD">
              <w:rPr>
                <w:w w:val="103"/>
                <w:sz w:val="15"/>
              </w:rPr>
              <w:t>0</w:t>
            </w:r>
          </w:p>
        </w:tc>
        <w:tc>
          <w:tcPr>
            <w:tcW w:w="873" w:type="dxa"/>
          </w:tcPr>
          <w:p w:rsidR="00765F11" w:rsidRPr="00E526BD" w:rsidP="00765F11">
            <w:pPr>
              <w:pStyle w:val="TableParagraph"/>
              <w:spacing w:before="43"/>
              <w:ind w:left="20"/>
              <w:rPr>
                <w:sz w:val="15"/>
              </w:rPr>
            </w:pPr>
            <w:r w:rsidRPr="00E526BD">
              <w:rPr>
                <w:w w:val="103"/>
                <w:sz w:val="15"/>
              </w:rPr>
              <w:t>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 xml:space="preserve">Average number of </w:t>
            </w:r>
            <w:r w:rsidRPr="00E526BD">
              <w:rPr>
                <w:w w:val="105"/>
                <w:sz w:val="8"/>
              </w:rPr>
              <w:t>seriously injured other persons on platforms</w:t>
            </w:r>
          </w:p>
        </w:tc>
        <w:tc>
          <w:tcPr>
            <w:tcW w:w="873" w:type="dxa"/>
          </w:tcPr>
          <w:p w:rsidR="00765F11" w:rsidRPr="00E526BD" w:rsidP="00765F11">
            <w:pPr>
              <w:pStyle w:val="TableParagraph"/>
              <w:spacing w:before="43"/>
              <w:ind w:left="21"/>
              <w:rPr>
                <w:sz w:val="15"/>
              </w:rPr>
            </w:pPr>
            <w:r w:rsidRPr="00E526BD">
              <w:rPr>
                <w:w w:val="105"/>
                <w:sz w:val="15"/>
              </w:rPr>
              <w:t>0.009</w:t>
            </w:r>
          </w:p>
        </w:tc>
        <w:tc>
          <w:tcPr>
            <w:tcW w:w="873" w:type="dxa"/>
          </w:tcPr>
          <w:p w:rsidR="00765F11" w:rsidRPr="00E526BD" w:rsidP="00765F11">
            <w:pPr>
              <w:pStyle w:val="TableParagraph"/>
              <w:spacing w:before="43"/>
              <w:ind w:left="20"/>
              <w:rPr>
                <w:sz w:val="15"/>
              </w:rPr>
            </w:pPr>
            <w:r w:rsidRPr="00E526BD">
              <w:rPr>
                <w:w w:val="105"/>
                <w:sz w:val="15"/>
              </w:rPr>
              <w:t>0.000</w:t>
            </w:r>
          </w:p>
        </w:tc>
        <w:tc>
          <w:tcPr>
            <w:tcW w:w="873" w:type="dxa"/>
          </w:tcPr>
          <w:p w:rsidR="00765F11" w:rsidRPr="00E526BD" w:rsidP="00765F11">
            <w:pPr>
              <w:pStyle w:val="TableParagraph"/>
              <w:spacing w:before="43"/>
              <w:ind w:left="20"/>
              <w:rPr>
                <w:sz w:val="15"/>
              </w:rPr>
            </w:pPr>
            <w:r w:rsidRPr="00E526BD">
              <w:rPr>
                <w:w w:val="105"/>
                <w:sz w:val="15"/>
              </w:rPr>
              <w:t>0.000</w:t>
            </w:r>
          </w:p>
        </w:tc>
        <w:tc>
          <w:tcPr>
            <w:tcW w:w="873" w:type="dxa"/>
          </w:tcPr>
          <w:p w:rsidR="00765F11" w:rsidRPr="00E526BD" w:rsidP="00765F11">
            <w:pPr>
              <w:pStyle w:val="TableParagraph"/>
              <w:spacing w:before="43"/>
              <w:ind w:left="19"/>
              <w:rPr>
                <w:sz w:val="15"/>
              </w:rPr>
            </w:pPr>
            <w:r w:rsidRPr="00E526BD">
              <w:rPr>
                <w:w w:val="105"/>
                <w:sz w:val="15"/>
              </w:rPr>
              <w:t>0.000</w:t>
            </w:r>
          </w:p>
        </w:tc>
        <w:tc>
          <w:tcPr>
            <w:tcW w:w="873" w:type="dxa"/>
          </w:tcPr>
          <w:p w:rsidR="00765F11" w:rsidRPr="00E526BD" w:rsidP="00765F11">
            <w:pPr>
              <w:pStyle w:val="TableParagraph"/>
              <w:spacing w:before="43"/>
              <w:ind w:left="18"/>
              <w:rPr>
                <w:sz w:val="15"/>
              </w:rPr>
            </w:pPr>
            <w:r w:rsidRPr="00E526BD">
              <w:rPr>
                <w:w w:val="105"/>
                <w:sz w:val="15"/>
              </w:rPr>
              <w:t>0.000</w:t>
            </w:r>
          </w:p>
        </w:tc>
        <w:tc>
          <w:tcPr>
            <w:tcW w:w="873" w:type="dxa"/>
          </w:tcPr>
          <w:p w:rsidR="00765F11" w:rsidRPr="00E526BD" w:rsidP="00765F11">
            <w:pPr>
              <w:pStyle w:val="TableParagraph"/>
              <w:spacing w:before="43"/>
              <w:ind w:left="18"/>
              <w:rPr>
                <w:sz w:val="15"/>
              </w:rPr>
            </w:pPr>
            <w:r w:rsidRPr="00E526BD">
              <w:rPr>
                <w:w w:val="105"/>
                <w:sz w:val="15"/>
              </w:rPr>
              <w:t>0.009</w:t>
            </w:r>
          </w:p>
        </w:tc>
        <w:tc>
          <w:tcPr>
            <w:tcW w:w="873" w:type="dxa"/>
          </w:tcPr>
          <w:p w:rsidR="00765F11" w:rsidRPr="00E526BD" w:rsidP="00765F11">
            <w:pPr>
              <w:pStyle w:val="TableParagraph"/>
              <w:spacing w:before="43"/>
              <w:ind w:left="17"/>
              <w:rPr>
                <w:sz w:val="15"/>
              </w:rPr>
            </w:pPr>
            <w:r w:rsidRPr="00E526BD">
              <w:rPr>
                <w:w w:val="105"/>
                <w:sz w:val="15"/>
              </w:rPr>
              <w:t>0.000</w:t>
            </w:r>
          </w:p>
        </w:tc>
        <w:tc>
          <w:tcPr>
            <w:tcW w:w="873" w:type="dxa"/>
          </w:tcPr>
          <w:p w:rsidR="00765F11" w:rsidRPr="00E526BD" w:rsidP="00765F11">
            <w:pPr>
              <w:pStyle w:val="TableParagraph"/>
              <w:spacing w:before="43"/>
              <w:ind w:left="16"/>
              <w:rPr>
                <w:sz w:val="15"/>
              </w:rPr>
            </w:pPr>
            <w:r w:rsidRPr="00E526BD">
              <w:rPr>
                <w:w w:val="105"/>
                <w:sz w:val="15"/>
              </w:rPr>
              <w:t>0.000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Other persons not on platforms</w:t>
            </w:r>
          </w:p>
        </w:tc>
        <w:tc>
          <w:tcPr>
            <w:tcW w:w="873" w:type="dxa"/>
          </w:tcPr>
          <w:p w:rsidR="00765F11" w:rsidRPr="00E526BD" w:rsidP="00765F11">
            <w:pPr>
              <w:pStyle w:val="TableParagraph"/>
              <w:spacing w:before="43"/>
              <w:ind w:left="25"/>
              <w:rPr>
                <w:sz w:val="15"/>
              </w:rPr>
            </w:pPr>
            <w:r w:rsidRPr="00E526BD">
              <w:rPr>
                <w:w w:val="103"/>
                <w:sz w:val="15"/>
              </w:rPr>
              <w:t>2</w:t>
            </w:r>
          </w:p>
        </w:tc>
        <w:tc>
          <w:tcPr>
            <w:tcW w:w="873" w:type="dxa"/>
          </w:tcPr>
          <w:p w:rsidR="00765F11" w:rsidRPr="00E526BD" w:rsidP="00765F11">
            <w:pPr>
              <w:pStyle w:val="TableParagraph"/>
              <w:spacing w:before="43"/>
              <w:ind w:left="24"/>
              <w:rPr>
                <w:sz w:val="15"/>
              </w:rPr>
            </w:pPr>
            <w:r w:rsidRPr="00E526BD">
              <w:rPr>
                <w:w w:val="103"/>
                <w:sz w:val="15"/>
              </w:rPr>
              <w:t>0</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2"/>
              <w:rPr>
                <w:sz w:val="15"/>
              </w:rPr>
            </w:pPr>
            <w:r w:rsidRPr="00E526BD">
              <w:rPr>
                <w:w w:val="103"/>
                <w:sz w:val="15"/>
              </w:rPr>
              <w:t>0</w:t>
            </w:r>
          </w:p>
        </w:tc>
        <w:tc>
          <w:tcPr>
            <w:tcW w:w="873" w:type="dxa"/>
          </w:tcPr>
          <w:p w:rsidR="00765F11" w:rsidRPr="00E526BD" w:rsidP="00765F11">
            <w:pPr>
              <w:pStyle w:val="TableParagraph"/>
              <w:spacing w:before="43"/>
              <w:ind w:left="21"/>
              <w:rPr>
                <w:sz w:val="15"/>
              </w:rPr>
            </w:pPr>
            <w:r w:rsidRPr="00E526BD">
              <w:rPr>
                <w:w w:val="103"/>
                <w:sz w:val="15"/>
              </w:rPr>
              <w:t>2</w:t>
            </w:r>
          </w:p>
        </w:tc>
        <w:tc>
          <w:tcPr>
            <w:tcW w:w="873" w:type="dxa"/>
          </w:tcPr>
          <w:p w:rsidR="00765F11" w:rsidRPr="00E526BD" w:rsidP="00765F11">
            <w:pPr>
              <w:pStyle w:val="TableParagraph"/>
              <w:spacing w:before="43"/>
              <w:ind w:left="21"/>
              <w:rPr>
                <w:sz w:val="15"/>
              </w:rPr>
            </w:pPr>
            <w:r w:rsidRPr="00E526BD">
              <w:rPr>
                <w:w w:val="103"/>
                <w:sz w:val="15"/>
              </w:rPr>
              <w:t>0</w:t>
            </w:r>
          </w:p>
        </w:tc>
        <w:tc>
          <w:tcPr>
            <w:tcW w:w="873" w:type="dxa"/>
          </w:tcPr>
          <w:p w:rsidR="00765F11" w:rsidRPr="00E526BD" w:rsidP="00765F11">
            <w:pPr>
              <w:pStyle w:val="TableParagraph"/>
              <w:spacing w:before="43"/>
              <w:ind w:left="20"/>
              <w:rPr>
                <w:sz w:val="15"/>
              </w:rPr>
            </w:pPr>
            <w:r w:rsidRPr="00E526BD">
              <w:rPr>
                <w:w w:val="103"/>
                <w:sz w:val="15"/>
              </w:rPr>
              <w:t>0</w:t>
            </w:r>
          </w:p>
        </w:tc>
      </w:tr>
      <w:tr w:rsidTr="00765F11">
        <w:tblPrEx>
          <w:tblW w:w="0" w:type="auto"/>
          <w:tblInd w:w="335" w:type="dxa"/>
          <w:tblLayout w:type="fixed"/>
          <w:tblCellMar>
            <w:left w:w="0" w:type="dxa"/>
            <w:right w:w="0" w:type="dxa"/>
          </w:tblCellMar>
          <w:tblLook w:val="01E0"/>
        </w:tblPrEx>
        <w:trPr>
          <w:trHeight w:val="359"/>
        </w:trPr>
        <w:tc>
          <w:tcPr>
            <w:tcW w:w="1787" w:type="dxa"/>
            <w:vAlign w:val="center"/>
          </w:tcPr>
          <w:p w:rsidR="00765F11" w:rsidRPr="00E526BD" w:rsidP="00765F11">
            <w:pPr>
              <w:pStyle w:val="TableParagraph"/>
              <w:spacing w:before="16"/>
              <w:ind w:left="23"/>
              <w:jc w:val="left"/>
              <w:rPr>
                <w:sz w:val="8"/>
              </w:rPr>
            </w:pPr>
            <w:r w:rsidRPr="00E526BD">
              <w:rPr>
                <w:w w:val="105"/>
                <w:sz w:val="8"/>
              </w:rPr>
              <w:t>Average number of seriously injured other persons not on platforms</w:t>
            </w:r>
          </w:p>
        </w:tc>
        <w:tc>
          <w:tcPr>
            <w:tcW w:w="873" w:type="dxa"/>
          </w:tcPr>
          <w:p w:rsidR="00765F11" w:rsidRPr="00E526BD" w:rsidP="00765F11">
            <w:pPr>
              <w:pStyle w:val="TableParagraph"/>
              <w:spacing w:before="95"/>
              <w:ind w:left="21"/>
              <w:rPr>
                <w:sz w:val="15"/>
              </w:rPr>
            </w:pPr>
            <w:r w:rsidRPr="00E526BD">
              <w:rPr>
                <w:w w:val="105"/>
                <w:sz w:val="15"/>
              </w:rPr>
              <w:t>0.002</w:t>
            </w:r>
          </w:p>
        </w:tc>
        <w:tc>
          <w:tcPr>
            <w:tcW w:w="873" w:type="dxa"/>
          </w:tcPr>
          <w:p w:rsidR="00765F11" w:rsidRPr="00E526BD" w:rsidP="00765F11">
            <w:pPr>
              <w:pStyle w:val="TableParagraph"/>
              <w:spacing w:before="95"/>
              <w:ind w:left="20"/>
              <w:rPr>
                <w:sz w:val="15"/>
              </w:rPr>
            </w:pPr>
            <w:r w:rsidRPr="00E526BD">
              <w:rPr>
                <w:w w:val="105"/>
                <w:sz w:val="15"/>
              </w:rPr>
              <w:t>0.000</w:t>
            </w:r>
          </w:p>
        </w:tc>
        <w:tc>
          <w:tcPr>
            <w:tcW w:w="873" w:type="dxa"/>
          </w:tcPr>
          <w:p w:rsidR="00765F11" w:rsidRPr="00E526BD" w:rsidP="00765F11">
            <w:pPr>
              <w:pStyle w:val="TableParagraph"/>
              <w:spacing w:before="95"/>
              <w:ind w:left="20"/>
              <w:rPr>
                <w:sz w:val="15"/>
              </w:rPr>
            </w:pPr>
            <w:r w:rsidRPr="00E526BD">
              <w:rPr>
                <w:w w:val="105"/>
                <w:sz w:val="15"/>
              </w:rPr>
              <w:t>0.000</w:t>
            </w:r>
          </w:p>
        </w:tc>
        <w:tc>
          <w:tcPr>
            <w:tcW w:w="873" w:type="dxa"/>
          </w:tcPr>
          <w:p w:rsidR="00765F11" w:rsidRPr="00E526BD" w:rsidP="00765F11">
            <w:pPr>
              <w:pStyle w:val="TableParagraph"/>
              <w:spacing w:before="95"/>
              <w:ind w:left="19"/>
              <w:rPr>
                <w:sz w:val="15"/>
              </w:rPr>
            </w:pPr>
            <w:r w:rsidRPr="00E526BD">
              <w:rPr>
                <w:w w:val="105"/>
                <w:sz w:val="15"/>
              </w:rPr>
              <w:t>0.000</w:t>
            </w:r>
          </w:p>
        </w:tc>
        <w:tc>
          <w:tcPr>
            <w:tcW w:w="873" w:type="dxa"/>
          </w:tcPr>
          <w:p w:rsidR="00765F11" w:rsidRPr="00E526BD" w:rsidP="00765F11">
            <w:pPr>
              <w:pStyle w:val="TableParagraph"/>
              <w:spacing w:before="95"/>
              <w:ind w:left="18"/>
              <w:rPr>
                <w:sz w:val="15"/>
              </w:rPr>
            </w:pPr>
            <w:r w:rsidRPr="00E526BD">
              <w:rPr>
                <w:w w:val="105"/>
                <w:sz w:val="15"/>
              </w:rPr>
              <w:t>0.000</w:t>
            </w:r>
          </w:p>
        </w:tc>
        <w:tc>
          <w:tcPr>
            <w:tcW w:w="873" w:type="dxa"/>
          </w:tcPr>
          <w:p w:rsidR="00765F11" w:rsidRPr="00E526BD" w:rsidP="00765F11">
            <w:pPr>
              <w:pStyle w:val="TableParagraph"/>
              <w:spacing w:before="95"/>
              <w:ind w:left="18"/>
              <w:rPr>
                <w:sz w:val="15"/>
              </w:rPr>
            </w:pPr>
            <w:r w:rsidRPr="00E526BD">
              <w:rPr>
                <w:w w:val="105"/>
                <w:sz w:val="15"/>
              </w:rPr>
              <w:t>0.002</w:t>
            </w:r>
          </w:p>
        </w:tc>
        <w:tc>
          <w:tcPr>
            <w:tcW w:w="873" w:type="dxa"/>
          </w:tcPr>
          <w:p w:rsidR="00765F11" w:rsidRPr="00E526BD" w:rsidP="00765F11">
            <w:pPr>
              <w:pStyle w:val="TableParagraph"/>
              <w:spacing w:before="95"/>
              <w:ind w:left="17"/>
              <w:rPr>
                <w:sz w:val="15"/>
              </w:rPr>
            </w:pPr>
            <w:r w:rsidRPr="00E526BD">
              <w:rPr>
                <w:w w:val="105"/>
                <w:sz w:val="15"/>
              </w:rPr>
              <w:t>0.000</w:t>
            </w:r>
          </w:p>
        </w:tc>
        <w:tc>
          <w:tcPr>
            <w:tcW w:w="873" w:type="dxa"/>
          </w:tcPr>
          <w:p w:rsidR="00765F11" w:rsidRPr="00E526BD" w:rsidP="00765F11">
            <w:pPr>
              <w:pStyle w:val="TableParagraph"/>
              <w:spacing w:before="95"/>
              <w:ind w:left="16"/>
              <w:rPr>
                <w:sz w:val="15"/>
              </w:rPr>
            </w:pPr>
            <w:r w:rsidRPr="00E526BD">
              <w:rPr>
                <w:w w:val="105"/>
                <w:sz w:val="15"/>
              </w:rPr>
              <w:t>0.000</w:t>
            </w:r>
          </w:p>
        </w:tc>
      </w:tr>
    </w:tbl>
    <w:p w:rsidR="00765F11" w:rsidRPr="00E526BD" w:rsidP="00765F11">
      <w:pPr>
        <w:rPr>
          <w:sz w:val="15"/>
        </w:rPr>
        <w:sectPr w:rsidSect="00765F11">
          <w:pgSz w:w="11910" w:h="16850"/>
          <w:pgMar w:top="1360" w:right="1160" w:bottom="280" w:left="1520" w:header="720" w:footer="720" w:gutter="0"/>
          <w:cols w:space="720"/>
        </w:sectPr>
      </w:pPr>
    </w:p>
    <w:p w:rsidR="00765F11" w:rsidRPr="00E526BD" w:rsidP="00566FE9">
      <w:pPr>
        <w:pStyle w:val="ListParagraph"/>
        <w:widowControl w:val="0"/>
        <w:numPr>
          <w:ilvl w:val="2"/>
          <w:numId w:val="43"/>
        </w:numPr>
        <w:tabs>
          <w:tab w:val="left" w:pos="744"/>
        </w:tabs>
        <w:autoSpaceDE w:val="0"/>
        <w:autoSpaceDN w:val="0"/>
        <w:spacing w:after="4"/>
        <w:contextualSpacing w:val="0"/>
        <w:rPr>
          <w:sz w:val="13"/>
        </w:rPr>
      </w:pPr>
      <w:r w:rsidRPr="00E526BD">
        <w:rPr>
          <w:w w:val="105"/>
          <w:sz w:val="13"/>
        </w:rPr>
        <w:t>Fatalities</w:t>
      </w: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7"/>
        <w:gridCol w:w="873"/>
        <w:gridCol w:w="873"/>
        <w:gridCol w:w="873"/>
        <w:gridCol w:w="873"/>
        <w:gridCol w:w="873"/>
        <w:gridCol w:w="873"/>
        <w:gridCol w:w="873"/>
        <w:gridCol w:w="873"/>
      </w:tblGrid>
      <w:tr w:rsidTr="00765F11">
        <w:tblPrEx>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28"/>
        </w:trPr>
        <w:tc>
          <w:tcPr>
            <w:tcW w:w="1787" w:type="dxa"/>
            <w:tcBorders>
              <w:top w:val="nil"/>
              <w:left w:val="nil"/>
            </w:tcBorders>
          </w:tcPr>
          <w:p w:rsidR="00765F11" w:rsidRPr="00E526BD" w:rsidP="00765F11">
            <w:pPr>
              <w:pStyle w:val="TableParagraph"/>
              <w:jc w:val="left"/>
              <w:rPr>
                <w:rFonts w:ascii="Times New Roman"/>
                <w:sz w:val="10"/>
              </w:rPr>
            </w:pPr>
          </w:p>
        </w:tc>
        <w:tc>
          <w:tcPr>
            <w:tcW w:w="873" w:type="dxa"/>
            <w:vAlign w:val="center"/>
          </w:tcPr>
          <w:p w:rsidR="00765F11" w:rsidRPr="00E526BD" w:rsidP="00E526BD">
            <w:pPr>
              <w:pStyle w:val="TableParagraph"/>
              <w:spacing w:before="55"/>
              <w:ind w:left="57"/>
              <w:rPr>
                <w:sz w:val="8"/>
              </w:rPr>
            </w:pPr>
            <w:r w:rsidRPr="00E526BD">
              <w:rPr>
                <w:w w:val="105"/>
                <w:sz w:val="8"/>
              </w:rPr>
              <w:t>All types of accident</w:t>
            </w:r>
          </w:p>
        </w:tc>
        <w:tc>
          <w:tcPr>
            <w:tcW w:w="873" w:type="dxa"/>
            <w:vAlign w:val="center"/>
          </w:tcPr>
          <w:p w:rsidR="00765F11" w:rsidRPr="00E526BD" w:rsidP="00E526BD">
            <w:pPr>
              <w:pStyle w:val="TableParagraph"/>
              <w:spacing w:line="297" w:lineRule="auto"/>
              <w:ind w:left="57"/>
              <w:rPr>
                <w:sz w:val="8"/>
              </w:rPr>
            </w:pPr>
            <w:r w:rsidRPr="00E526BD">
              <w:rPr>
                <w:w w:val="105"/>
                <w:sz w:val="8"/>
              </w:rPr>
              <w:t>Collisions of trains with a rail vehicle</w:t>
            </w:r>
          </w:p>
        </w:tc>
        <w:tc>
          <w:tcPr>
            <w:tcW w:w="873" w:type="dxa"/>
            <w:vAlign w:val="center"/>
          </w:tcPr>
          <w:p w:rsidR="00765F11" w:rsidRPr="00E526BD" w:rsidP="00E526BD">
            <w:pPr>
              <w:pStyle w:val="TableParagraph"/>
              <w:spacing w:line="297" w:lineRule="auto"/>
              <w:ind w:left="57" w:hanging="28"/>
              <w:rPr>
                <w:sz w:val="8"/>
              </w:rPr>
            </w:pPr>
            <w:r w:rsidRPr="00E526BD">
              <w:rPr>
                <w:w w:val="105"/>
                <w:sz w:val="8"/>
              </w:rPr>
              <w:t>Collisions of trains with an obstacle within the</w:t>
            </w:r>
            <w:r>
              <w:rPr>
                <w:w w:val="105"/>
                <w:sz w:val="8"/>
              </w:rPr>
              <w:t xml:space="preserve"> </w:t>
            </w:r>
            <w:r w:rsidRPr="00E526BD">
              <w:rPr>
                <w:w w:val="105"/>
                <w:sz w:val="8"/>
              </w:rPr>
              <w:t>clearance gauge</w:t>
            </w:r>
          </w:p>
        </w:tc>
        <w:tc>
          <w:tcPr>
            <w:tcW w:w="873" w:type="dxa"/>
            <w:vAlign w:val="center"/>
          </w:tcPr>
          <w:p w:rsidR="00765F11" w:rsidRPr="00E526BD" w:rsidP="00E526BD">
            <w:pPr>
              <w:pStyle w:val="TableParagraph"/>
              <w:spacing w:before="55"/>
              <w:ind w:left="57"/>
              <w:rPr>
                <w:sz w:val="8"/>
              </w:rPr>
            </w:pPr>
            <w:r w:rsidRPr="00E526BD">
              <w:rPr>
                <w:w w:val="105"/>
                <w:sz w:val="8"/>
              </w:rPr>
              <w:t>T</w:t>
            </w:r>
            <w:r w:rsidRPr="00E526BD">
              <w:rPr>
                <w:w w:val="105"/>
                <w:sz w:val="8"/>
              </w:rPr>
              <w:t>rain derailments</w:t>
            </w:r>
          </w:p>
        </w:tc>
        <w:tc>
          <w:tcPr>
            <w:tcW w:w="873" w:type="dxa"/>
            <w:vAlign w:val="center"/>
          </w:tcPr>
          <w:p w:rsidR="00765F11" w:rsidRPr="00E526BD" w:rsidP="00E526BD">
            <w:pPr>
              <w:pStyle w:val="TableParagraph"/>
              <w:spacing w:line="297" w:lineRule="auto"/>
              <w:ind w:left="57" w:hanging="6"/>
              <w:rPr>
                <w:sz w:val="8"/>
              </w:rPr>
            </w:pPr>
            <w:r w:rsidRPr="00E526BD">
              <w:rPr>
                <w:sz w:val="8"/>
              </w:rPr>
              <w:t>Level crossing accidents including accidents involving pedestrians</w:t>
            </w:r>
          </w:p>
        </w:tc>
        <w:tc>
          <w:tcPr>
            <w:tcW w:w="873" w:type="dxa"/>
            <w:vAlign w:val="center"/>
          </w:tcPr>
          <w:p w:rsidR="00765F11" w:rsidRPr="00E526BD" w:rsidP="00E526BD">
            <w:pPr>
              <w:pStyle w:val="TableParagraph"/>
              <w:spacing w:before="5" w:line="298" w:lineRule="auto"/>
              <w:ind w:left="57"/>
              <w:rPr>
                <w:sz w:val="8"/>
              </w:rPr>
            </w:pPr>
            <w:r w:rsidRPr="00E526BD">
              <w:rPr>
                <w:w w:val="105"/>
                <w:sz w:val="8"/>
              </w:rPr>
              <w:t xml:space="preserve">Accidents </w:t>
            </w:r>
            <w:r w:rsidRPr="00E526BD">
              <w:rPr>
                <w:w w:val="105"/>
                <w:sz w:val="8"/>
              </w:rPr>
              <w:t>leading to personal injury involving a moving railway vehicle, excluding suicide and suicide attempts</w:t>
            </w:r>
          </w:p>
        </w:tc>
        <w:tc>
          <w:tcPr>
            <w:tcW w:w="873" w:type="dxa"/>
            <w:vAlign w:val="center"/>
          </w:tcPr>
          <w:p w:rsidR="00765F11" w:rsidRPr="00E526BD" w:rsidP="00E526BD">
            <w:pPr>
              <w:pStyle w:val="TableParagraph"/>
              <w:spacing w:before="55"/>
              <w:ind w:left="57"/>
              <w:rPr>
                <w:sz w:val="8"/>
              </w:rPr>
            </w:pPr>
            <w:r w:rsidRPr="00E526BD">
              <w:rPr>
                <w:w w:val="105"/>
                <w:sz w:val="8"/>
              </w:rPr>
              <w:t>Vehicle fires</w:t>
            </w:r>
          </w:p>
        </w:tc>
        <w:tc>
          <w:tcPr>
            <w:tcW w:w="873" w:type="dxa"/>
            <w:vAlign w:val="center"/>
          </w:tcPr>
          <w:p w:rsidR="00765F11" w:rsidRPr="00E526BD" w:rsidP="00E526BD">
            <w:pPr>
              <w:pStyle w:val="TableParagraph"/>
              <w:spacing w:before="55"/>
              <w:ind w:left="57"/>
              <w:rPr>
                <w:sz w:val="8"/>
              </w:rPr>
            </w:pPr>
            <w:r w:rsidRPr="00E526BD">
              <w:rPr>
                <w:w w:val="105"/>
                <w:sz w:val="8"/>
              </w:rPr>
              <w:t>Other accidents</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Total number of fatalities</w:t>
            </w:r>
          </w:p>
        </w:tc>
        <w:tc>
          <w:tcPr>
            <w:tcW w:w="873" w:type="dxa"/>
          </w:tcPr>
          <w:p w:rsidR="00765F11" w:rsidRPr="00E526BD" w:rsidP="00765F11">
            <w:pPr>
              <w:pStyle w:val="TableParagraph"/>
              <w:spacing w:before="44"/>
              <w:ind w:left="19"/>
              <w:rPr>
                <w:sz w:val="15"/>
              </w:rPr>
            </w:pPr>
            <w:r w:rsidRPr="00E526BD">
              <w:rPr>
                <w:w w:val="105"/>
                <w:sz w:val="15"/>
              </w:rPr>
              <w:t>157</w:t>
            </w:r>
          </w:p>
        </w:tc>
        <w:tc>
          <w:tcPr>
            <w:tcW w:w="873" w:type="dxa"/>
          </w:tcPr>
          <w:p w:rsidR="00765F11" w:rsidRPr="00E526BD" w:rsidP="00765F11">
            <w:pPr>
              <w:pStyle w:val="TableParagraph"/>
              <w:spacing w:before="44"/>
              <w:ind w:left="22"/>
              <w:rPr>
                <w:sz w:val="15"/>
              </w:rPr>
            </w:pPr>
            <w:r w:rsidRPr="00E526BD">
              <w:rPr>
                <w:w w:val="103"/>
                <w:sz w:val="15"/>
              </w:rPr>
              <w:t>0</w:t>
            </w:r>
          </w:p>
        </w:tc>
        <w:tc>
          <w:tcPr>
            <w:tcW w:w="873" w:type="dxa"/>
          </w:tcPr>
          <w:p w:rsidR="00765F11" w:rsidRPr="00E526BD" w:rsidP="00765F11">
            <w:pPr>
              <w:pStyle w:val="TableParagraph"/>
              <w:spacing w:before="44"/>
              <w:ind w:left="22"/>
              <w:rPr>
                <w:sz w:val="15"/>
              </w:rPr>
            </w:pPr>
            <w:r w:rsidRPr="00E526BD">
              <w:rPr>
                <w:w w:val="103"/>
                <w:sz w:val="15"/>
              </w:rPr>
              <w:t>0</w:t>
            </w:r>
          </w:p>
        </w:tc>
        <w:tc>
          <w:tcPr>
            <w:tcW w:w="873" w:type="dxa"/>
          </w:tcPr>
          <w:p w:rsidR="00765F11" w:rsidRPr="00E526BD" w:rsidP="00765F11">
            <w:pPr>
              <w:pStyle w:val="TableParagraph"/>
              <w:spacing w:before="44"/>
              <w:ind w:left="21"/>
              <w:rPr>
                <w:sz w:val="15"/>
              </w:rPr>
            </w:pPr>
            <w:r w:rsidRPr="00E526BD">
              <w:rPr>
                <w:w w:val="103"/>
                <w:sz w:val="15"/>
              </w:rPr>
              <w:t>0</w:t>
            </w:r>
          </w:p>
        </w:tc>
        <w:tc>
          <w:tcPr>
            <w:tcW w:w="873" w:type="dxa"/>
          </w:tcPr>
          <w:p w:rsidR="00765F11" w:rsidRPr="00E526BD" w:rsidP="00765F11">
            <w:pPr>
              <w:pStyle w:val="TableParagraph"/>
              <w:spacing w:before="44"/>
              <w:ind w:left="16"/>
              <w:rPr>
                <w:sz w:val="15"/>
              </w:rPr>
            </w:pPr>
            <w:r w:rsidRPr="00E526BD">
              <w:rPr>
                <w:w w:val="105"/>
                <w:sz w:val="15"/>
              </w:rPr>
              <w:t>44</w:t>
            </w:r>
          </w:p>
        </w:tc>
        <w:tc>
          <w:tcPr>
            <w:tcW w:w="873" w:type="dxa"/>
          </w:tcPr>
          <w:p w:rsidR="00765F11" w:rsidRPr="00E526BD" w:rsidP="00765F11">
            <w:pPr>
              <w:pStyle w:val="TableParagraph"/>
              <w:spacing w:before="44"/>
              <w:ind w:left="312"/>
              <w:jc w:val="left"/>
              <w:rPr>
                <w:sz w:val="15"/>
              </w:rPr>
            </w:pPr>
            <w:r w:rsidRPr="00E526BD">
              <w:rPr>
                <w:w w:val="105"/>
                <w:sz w:val="15"/>
              </w:rPr>
              <w:t>113</w:t>
            </w:r>
          </w:p>
        </w:tc>
        <w:tc>
          <w:tcPr>
            <w:tcW w:w="873" w:type="dxa"/>
          </w:tcPr>
          <w:p w:rsidR="00765F11" w:rsidRPr="00E526BD" w:rsidP="00765F11">
            <w:pPr>
              <w:pStyle w:val="TableParagraph"/>
              <w:spacing w:before="44"/>
              <w:ind w:left="19"/>
              <w:rPr>
                <w:sz w:val="15"/>
              </w:rPr>
            </w:pPr>
            <w:r w:rsidRPr="00E526BD">
              <w:rPr>
                <w:w w:val="103"/>
                <w:sz w:val="15"/>
              </w:rPr>
              <w:t>0</w:t>
            </w:r>
          </w:p>
        </w:tc>
        <w:tc>
          <w:tcPr>
            <w:tcW w:w="873" w:type="dxa"/>
          </w:tcPr>
          <w:p w:rsidR="00765F11" w:rsidRPr="00E526BD" w:rsidP="00765F11">
            <w:pPr>
              <w:pStyle w:val="TableParagraph"/>
              <w:spacing w:before="44"/>
              <w:ind w:left="18"/>
              <w:rPr>
                <w:sz w:val="15"/>
              </w:rPr>
            </w:pPr>
            <w:r w:rsidRPr="00E526BD">
              <w:rPr>
                <w:w w:val="103"/>
                <w:sz w:val="15"/>
              </w:rPr>
              <w:t>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Average number of fatalities</w:t>
            </w:r>
          </w:p>
        </w:tc>
        <w:tc>
          <w:tcPr>
            <w:tcW w:w="873" w:type="dxa"/>
          </w:tcPr>
          <w:p w:rsidR="00765F11" w:rsidRPr="00E526BD" w:rsidP="00765F11">
            <w:pPr>
              <w:pStyle w:val="TableParagraph"/>
              <w:spacing w:before="44"/>
              <w:ind w:left="19"/>
              <w:rPr>
                <w:sz w:val="15"/>
              </w:rPr>
            </w:pPr>
            <w:r w:rsidRPr="00E526BD">
              <w:rPr>
                <w:w w:val="105"/>
                <w:sz w:val="15"/>
              </w:rPr>
              <w:t>0.146</w:t>
            </w:r>
          </w:p>
        </w:tc>
        <w:tc>
          <w:tcPr>
            <w:tcW w:w="873" w:type="dxa"/>
          </w:tcPr>
          <w:p w:rsidR="00765F11" w:rsidRPr="00E526BD" w:rsidP="00765F11">
            <w:pPr>
              <w:pStyle w:val="TableParagraph"/>
              <w:spacing w:before="44"/>
              <w:ind w:left="18"/>
              <w:rPr>
                <w:sz w:val="15"/>
              </w:rPr>
            </w:pPr>
            <w:r w:rsidRPr="00E526BD">
              <w:rPr>
                <w:w w:val="105"/>
                <w:sz w:val="15"/>
              </w:rPr>
              <w:t>0.000</w:t>
            </w:r>
          </w:p>
        </w:tc>
        <w:tc>
          <w:tcPr>
            <w:tcW w:w="873" w:type="dxa"/>
          </w:tcPr>
          <w:p w:rsidR="00765F11" w:rsidRPr="00E526BD" w:rsidP="00765F11">
            <w:pPr>
              <w:pStyle w:val="TableParagraph"/>
              <w:spacing w:before="44"/>
              <w:ind w:left="18"/>
              <w:rPr>
                <w:sz w:val="15"/>
              </w:rPr>
            </w:pPr>
            <w:r w:rsidRPr="00E526BD">
              <w:rPr>
                <w:w w:val="105"/>
                <w:sz w:val="15"/>
              </w:rPr>
              <w:t>0.000</w:t>
            </w:r>
          </w:p>
        </w:tc>
        <w:tc>
          <w:tcPr>
            <w:tcW w:w="873" w:type="dxa"/>
          </w:tcPr>
          <w:p w:rsidR="00765F11" w:rsidRPr="00E526BD" w:rsidP="00765F11">
            <w:pPr>
              <w:pStyle w:val="TableParagraph"/>
              <w:spacing w:before="44"/>
              <w:ind w:left="17"/>
              <w:rPr>
                <w:sz w:val="15"/>
              </w:rPr>
            </w:pPr>
            <w:r w:rsidRPr="00E526BD">
              <w:rPr>
                <w:w w:val="105"/>
                <w:sz w:val="15"/>
              </w:rPr>
              <w:t>0.000</w:t>
            </w:r>
          </w:p>
        </w:tc>
        <w:tc>
          <w:tcPr>
            <w:tcW w:w="873" w:type="dxa"/>
          </w:tcPr>
          <w:p w:rsidR="00765F11" w:rsidRPr="00E526BD" w:rsidP="00765F11">
            <w:pPr>
              <w:pStyle w:val="TableParagraph"/>
              <w:spacing w:before="44"/>
              <w:ind w:left="16"/>
              <w:rPr>
                <w:sz w:val="15"/>
              </w:rPr>
            </w:pPr>
            <w:r w:rsidRPr="00E526BD">
              <w:rPr>
                <w:w w:val="105"/>
                <w:sz w:val="15"/>
              </w:rPr>
              <w:t>0.041</w:t>
            </w:r>
          </w:p>
        </w:tc>
        <w:tc>
          <w:tcPr>
            <w:tcW w:w="873" w:type="dxa"/>
          </w:tcPr>
          <w:p w:rsidR="00765F11" w:rsidRPr="00E526BD" w:rsidP="00765F11">
            <w:pPr>
              <w:pStyle w:val="TableParagraph"/>
              <w:spacing w:before="44"/>
              <w:ind w:left="250"/>
              <w:jc w:val="left"/>
              <w:rPr>
                <w:sz w:val="15"/>
              </w:rPr>
            </w:pPr>
            <w:r w:rsidRPr="00E526BD">
              <w:rPr>
                <w:w w:val="105"/>
                <w:sz w:val="15"/>
              </w:rPr>
              <w:t>0.105</w:t>
            </w:r>
          </w:p>
        </w:tc>
        <w:tc>
          <w:tcPr>
            <w:tcW w:w="873" w:type="dxa"/>
          </w:tcPr>
          <w:p w:rsidR="00765F11" w:rsidRPr="00E526BD" w:rsidP="00765F11">
            <w:pPr>
              <w:pStyle w:val="TableParagraph"/>
              <w:spacing w:before="44"/>
              <w:ind w:left="15"/>
              <w:rPr>
                <w:sz w:val="15"/>
              </w:rPr>
            </w:pPr>
            <w:r w:rsidRPr="00E526BD">
              <w:rPr>
                <w:w w:val="105"/>
                <w:sz w:val="15"/>
              </w:rPr>
              <w:t>0.000</w:t>
            </w:r>
          </w:p>
        </w:tc>
        <w:tc>
          <w:tcPr>
            <w:tcW w:w="873" w:type="dxa"/>
          </w:tcPr>
          <w:p w:rsidR="00765F11" w:rsidRPr="00E526BD" w:rsidP="00765F11">
            <w:pPr>
              <w:pStyle w:val="TableParagraph"/>
              <w:spacing w:before="44"/>
              <w:ind w:left="14"/>
              <w:rPr>
                <w:sz w:val="15"/>
              </w:rPr>
            </w:pPr>
            <w:r w:rsidRPr="00E526BD">
              <w:rPr>
                <w:w w:val="105"/>
                <w:sz w:val="15"/>
              </w:rPr>
              <w:t>0.000</w:t>
            </w:r>
          </w:p>
        </w:tc>
      </w:tr>
    </w:tbl>
    <w:p w:rsidR="00765F11" w:rsidRPr="00E526BD" w:rsidP="00765F11">
      <w:pPr>
        <w:spacing w:before="70" w:after="25"/>
        <w:ind w:left="358"/>
        <w:rPr>
          <w:sz w:val="8"/>
        </w:rPr>
      </w:pPr>
      <w:r w:rsidRPr="00E526BD">
        <w:rPr>
          <w:w w:val="105"/>
          <w:sz w:val="8"/>
        </w:rPr>
        <w:t>Of which:</w:t>
      </w: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7"/>
        <w:gridCol w:w="873"/>
        <w:gridCol w:w="873"/>
        <w:gridCol w:w="873"/>
        <w:gridCol w:w="873"/>
        <w:gridCol w:w="873"/>
        <w:gridCol w:w="873"/>
        <w:gridCol w:w="873"/>
        <w:gridCol w:w="873"/>
      </w:tblGrid>
      <w:tr w:rsidTr="00765F11">
        <w:tblPrEx>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Passengers</w:t>
            </w:r>
          </w:p>
        </w:tc>
        <w:tc>
          <w:tcPr>
            <w:tcW w:w="873" w:type="dxa"/>
          </w:tcPr>
          <w:p w:rsidR="00765F11" w:rsidRPr="00E526BD" w:rsidP="00765F11">
            <w:pPr>
              <w:pStyle w:val="TableParagraph"/>
              <w:spacing w:before="44"/>
              <w:ind w:left="23"/>
              <w:rPr>
                <w:sz w:val="15"/>
              </w:rPr>
            </w:pPr>
            <w:r w:rsidRPr="00E526BD">
              <w:rPr>
                <w:w w:val="103"/>
                <w:sz w:val="15"/>
              </w:rPr>
              <w:t>2</w:t>
            </w:r>
          </w:p>
        </w:tc>
        <w:tc>
          <w:tcPr>
            <w:tcW w:w="873" w:type="dxa"/>
          </w:tcPr>
          <w:p w:rsidR="00765F11" w:rsidRPr="00E526BD" w:rsidP="00765F11">
            <w:pPr>
              <w:pStyle w:val="TableParagraph"/>
              <w:spacing w:before="44"/>
              <w:ind w:left="22"/>
              <w:rPr>
                <w:sz w:val="15"/>
              </w:rPr>
            </w:pPr>
            <w:r w:rsidRPr="00E526BD">
              <w:rPr>
                <w:w w:val="103"/>
                <w:sz w:val="15"/>
              </w:rPr>
              <w:t>0</w:t>
            </w:r>
          </w:p>
        </w:tc>
        <w:tc>
          <w:tcPr>
            <w:tcW w:w="873" w:type="dxa"/>
          </w:tcPr>
          <w:p w:rsidR="00765F11" w:rsidRPr="00E526BD" w:rsidP="00765F11">
            <w:pPr>
              <w:pStyle w:val="TableParagraph"/>
              <w:spacing w:before="44"/>
              <w:ind w:left="22"/>
              <w:rPr>
                <w:sz w:val="15"/>
              </w:rPr>
            </w:pPr>
            <w:r w:rsidRPr="00E526BD">
              <w:rPr>
                <w:w w:val="103"/>
                <w:sz w:val="15"/>
              </w:rPr>
              <w:t>0</w:t>
            </w:r>
          </w:p>
        </w:tc>
        <w:tc>
          <w:tcPr>
            <w:tcW w:w="873" w:type="dxa"/>
          </w:tcPr>
          <w:p w:rsidR="00765F11" w:rsidRPr="00E526BD" w:rsidP="00765F11">
            <w:pPr>
              <w:pStyle w:val="TableParagraph"/>
              <w:spacing w:before="44"/>
              <w:ind w:left="21"/>
              <w:rPr>
                <w:sz w:val="15"/>
              </w:rPr>
            </w:pPr>
            <w:r w:rsidRPr="00E526BD">
              <w:rPr>
                <w:w w:val="103"/>
                <w:sz w:val="15"/>
              </w:rPr>
              <w:t>0</w:t>
            </w:r>
          </w:p>
        </w:tc>
        <w:tc>
          <w:tcPr>
            <w:tcW w:w="873" w:type="dxa"/>
          </w:tcPr>
          <w:p w:rsidR="00765F11" w:rsidRPr="00E526BD" w:rsidP="00765F11">
            <w:pPr>
              <w:pStyle w:val="TableParagraph"/>
              <w:spacing w:before="44"/>
              <w:ind w:left="20"/>
              <w:rPr>
                <w:sz w:val="15"/>
              </w:rPr>
            </w:pPr>
            <w:r w:rsidRPr="00E526BD">
              <w:rPr>
                <w:w w:val="103"/>
                <w:sz w:val="15"/>
              </w:rPr>
              <w:t>0</w:t>
            </w:r>
          </w:p>
        </w:tc>
        <w:tc>
          <w:tcPr>
            <w:tcW w:w="873" w:type="dxa"/>
          </w:tcPr>
          <w:p w:rsidR="00765F11" w:rsidRPr="00E526BD" w:rsidP="00765F11">
            <w:pPr>
              <w:pStyle w:val="TableParagraph"/>
              <w:spacing w:before="44"/>
              <w:ind w:left="20"/>
              <w:rPr>
                <w:sz w:val="15"/>
              </w:rPr>
            </w:pPr>
            <w:r w:rsidRPr="00E526BD">
              <w:rPr>
                <w:w w:val="103"/>
                <w:sz w:val="15"/>
              </w:rPr>
              <w:t>2</w:t>
            </w:r>
          </w:p>
        </w:tc>
        <w:tc>
          <w:tcPr>
            <w:tcW w:w="873" w:type="dxa"/>
          </w:tcPr>
          <w:p w:rsidR="00765F11" w:rsidRPr="00E526BD" w:rsidP="00765F11">
            <w:pPr>
              <w:pStyle w:val="TableParagraph"/>
              <w:spacing w:before="44"/>
              <w:ind w:left="19"/>
              <w:rPr>
                <w:sz w:val="15"/>
              </w:rPr>
            </w:pPr>
            <w:r w:rsidRPr="00E526BD">
              <w:rPr>
                <w:w w:val="103"/>
                <w:sz w:val="15"/>
              </w:rPr>
              <w:t>0</w:t>
            </w:r>
          </w:p>
        </w:tc>
        <w:tc>
          <w:tcPr>
            <w:tcW w:w="873" w:type="dxa"/>
          </w:tcPr>
          <w:p w:rsidR="00765F11" w:rsidRPr="00E526BD" w:rsidP="00765F11">
            <w:pPr>
              <w:pStyle w:val="TableParagraph"/>
              <w:spacing w:before="44"/>
              <w:ind w:left="18"/>
              <w:rPr>
                <w:sz w:val="15"/>
              </w:rPr>
            </w:pPr>
            <w:r w:rsidRPr="00E526BD">
              <w:rPr>
                <w:w w:val="103"/>
                <w:sz w:val="15"/>
              </w:rPr>
              <w:t>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Average number of passengers killed</w:t>
            </w:r>
          </w:p>
        </w:tc>
        <w:tc>
          <w:tcPr>
            <w:tcW w:w="873" w:type="dxa"/>
          </w:tcPr>
          <w:p w:rsidR="00765F11" w:rsidRPr="00E526BD" w:rsidP="00765F11">
            <w:pPr>
              <w:pStyle w:val="TableParagraph"/>
              <w:spacing w:before="44"/>
              <w:ind w:left="20"/>
              <w:rPr>
                <w:sz w:val="15"/>
              </w:rPr>
            </w:pPr>
            <w:r w:rsidRPr="00E526BD">
              <w:rPr>
                <w:w w:val="105"/>
                <w:sz w:val="15"/>
              </w:rPr>
              <w:t>0.002</w:t>
            </w:r>
          </w:p>
        </w:tc>
        <w:tc>
          <w:tcPr>
            <w:tcW w:w="873" w:type="dxa"/>
          </w:tcPr>
          <w:p w:rsidR="00765F11" w:rsidRPr="00E526BD" w:rsidP="00765F11">
            <w:pPr>
              <w:pStyle w:val="TableParagraph"/>
              <w:spacing w:before="44"/>
              <w:ind w:left="19"/>
              <w:rPr>
                <w:sz w:val="15"/>
              </w:rPr>
            </w:pPr>
            <w:r w:rsidRPr="00E526BD">
              <w:rPr>
                <w:w w:val="105"/>
                <w:sz w:val="15"/>
              </w:rPr>
              <w:t>0.000</w:t>
            </w:r>
          </w:p>
        </w:tc>
        <w:tc>
          <w:tcPr>
            <w:tcW w:w="873" w:type="dxa"/>
          </w:tcPr>
          <w:p w:rsidR="00765F11" w:rsidRPr="00E526BD" w:rsidP="00765F11">
            <w:pPr>
              <w:pStyle w:val="TableParagraph"/>
              <w:spacing w:before="44"/>
              <w:ind w:left="18"/>
              <w:rPr>
                <w:sz w:val="15"/>
              </w:rPr>
            </w:pPr>
            <w:r w:rsidRPr="00E526BD">
              <w:rPr>
                <w:w w:val="105"/>
                <w:sz w:val="15"/>
              </w:rPr>
              <w:t>0.000</w:t>
            </w:r>
          </w:p>
        </w:tc>
        <w:tc>
          <w:tcPr>
            <w:tcW w:w="873" w:type="dxa"/>
          </w:tcPr>
          <w:p w:rsidR="00765F11" w:rsidRPr="00E526BD" w:rsidP="00765F11">
            <w:pPr>
              <w:pStyle w:val="TableParagraph"/>
              <w:spacing w:before="44"/>
              <w:ind w:left="17"/>
              <w:rPr>
                <w:sz w:val="15"/>
              </w:rPr>
            </w:pPr>
            <w:r w:rsidRPr="00E526BD">
              <w:rPr>
                <w:w w:val="105"/>
                <w:sz w:val="15"/>
              </w:rPr>
              <w:t>0.000</w:t>
            </w:r>
          </w:p>
        </w:tc>
        <w:tc>
          <w:tcPr>
            <w:tcW w:w="873" w:type="dxa"/>
          </w:tcPr>
          <w:p w:rsidR="00765F11" w:rsidRPr="00E526BD" w:rsidP="00765F11">
            <w:pPr>
              <w:pStyle w:val="TableParagraph"/>
              <w:spacing w:before="44"/>
              <w:ind w:left="17"/>
              <w:rPr>
                <w:sz w:val="15"/>
              </w:rPr>
            </w:pPr>
            <w:r w:rsidRPr="00E526BD">
              <w:rPr>
                <w:w w:val="105"/>
                <w:sz w:val="15"/>
              </w:rPr>
              <w:t>0.000</w:t>
            </w:r>
          </w:p>
        </w:tc>
        <w:tc>
          <w:tcPr>
            <w:tcW w:w="873" w:type="dxa"/>
          </w:tcPr>
          <w:p w:rsidR="00765F11" w:rsidRPr="00E526BD" w:rsidP="00765F11">
            <w:pPr>
              <w:pStyle w:val="TableParagraph"/>
              <w:spacing w:before="44"/>
              <w:ind w:left="16"/>
              <w:rPr>
                <w:sz w:val="15"/>
              </w:rPr>
            </w:pPr>
            <w:r w:rsidRPr="00E526BD">
              <w:rPr>
                <w:w w:val="105"/>
                <w:sz w:val="15"/>
              </w:rPr>
              <w:t>0.002</w:t>
            </w:r>
          </w:p>
        </w:tc>
        <w:tc>
          <w:tcPr>
            <w:tcW w:w="873" w:type="dxa"/>
          </w:tcPr>
          <w:p w:rsidR="00765F11" w:rsidRPr="00E526BD" w:rsidP="00765F11">
            <w:pPr>
              <w:pStyle w:val="TableParagraph"/>
              <w:spacing w:before="44"/>
              <w:ind w:left="15"/>
              <w:rPr>
                <w:sz w:val="15"/>
              </w:rPr>
            </w:pPr>
            <w:r w:rsidRPr="00E526BD">
              <w:rPr>
                <w:w w:val="105"/>
                <w:sz w:val="15"/>
              </w:rPr>
              <w:t>0.000</w:t>
            </w:r>
          </w:p>
        </w:tc>
        <w:tc>
          <w:tcPr>
            <w:tcW w:w="873" w:type="dxa"/>
          </w:tcPr>
          <w:p w:rsidR="00765F11" w:rsidRPr="00E526BD" w:rsidP="00765F11">
            <w:pPr>
              <w:pStyle w:val="TableParagraph"/>
              <w:spacing w:before="44"/>
              <w:ind w:left="15"/>
              <w:rPr>
                <w:sz w:val="15"/>
              </w:rPr>
            </w:pPr>
            <w:r w:rsidRPr="00E526BD">
              <w:rPr>
                <w:w w:val="105"/>
                <w:sz w:val="15"/>
              </w:rPr>
              <w:t>0.000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Average number of passengers killed per billion passenger-kilometres</w:t>
            </w:r>
          </w:p>
        </w:tc>
        <w:tc>
          <w:tcPr>
            <w:tcW w:w="873" w:type="dxa"/>
          </w:tcPr>
          <w:p w:rsidR="00765F11" w:rsidRPr="00E526BD" w:rsidP="00765F11">
            <w:pPr>
              <w:pStyle w:val="TableParagraph"/>
              <w:spacing w:before="44"/>
              <w:ind w:left="20"/>
              <w:rPr>
                <w:sz w:val="15"/>
              </w:rPr>
            </w:pPr>
            <w:r w:rsidRPr="00E526BD">
              <w:rPr>
                <w:w w:val="105"/>
                <w:sz w:val="15"/>
              </w:rPr>
              <w:t>0.021</w:t>
            </w:r>
          </w:p>
        </w:tc>
        <w:tc>
          <w:tcPr>
            <w:tcW w:w="873" w:type="dxa"/>
          </w:tcPr>
          <w:p w:rsidR="00765F11" w:rsidRPr="00E526BD" w:rsidP="00765F11">
            <w:pPr>
              <w:pStyle w:val="TableParagraph"/>
              <w:spacing w:before="44"/>
              <w:ind w:left="19"/>
              <w:rPr>
                <w:sz w:val="15"/>
              </w:rPr>
            </w:pPr>
            <w:r w:rsidRPr="00E526BD">
              <w:rPr>
                <w:w w:val="105"/>
                <w:sz w:val="15"/>
              </w:rPr>
              <w:t>0.000</w:t>
            </w:r>
          </w:p>
        </w:tc>
        <w:tc>
          <w:tcPr>
            <w:tcW w:w="873" w:type="dxa"/>
          </w:tcPr>
          <w:p w:rsidR="00765F11" w:rsidRPr="00E526BD" w:rsidP="00765F11">
            <w:pPr>
              <w:pStyle w:val="TableParagraph"/>
              <w:spacing w:before="44"/>
              <w:ind w:left="18"/>
              <w:rPr>
                <w:sz w:val="15"/>
              </w:rPr>
            </w:pPr>
            <w:r w:rsidRPr="00E526BD">
              <w:rPr>
                <w:w w:val="105"/>
                <w:sz w:val="15"/>
              </w:rPr>
              <w:t>0.000</w:t>
            </w:r>
          </w:p>
        </w:tc>
        <w:tc>
          <w:tcPr>
            <w:tcW w:w="873" w:type="dxa"/>
          </w:tcPr>
          <w:p w:rsidR="00765F11" w:rsidRPr="00E526BD" w:rsidP="00765F11">
            <w:pPr>
              <w:pStyle w:val="TableParagraph"/>
              <w:spacing w:before="44"/>
              <w:ind w:left="17"/>
              <w:rPr>
                <w:sz w:val="15"/>
              </w:rPr>
            </w:pPr>
            <w:r w:rsidRPr="00E526BD">
              <w:rPr>
                <w:w w:val="105"/>
                <w:sz w:val="15"/>
              </w:rPr>
              <w:t>0.000</w:t>
            </w:r>
          </w:p>
        </w:tc>
        <w:tc>
          <w:tcPr>
            <w:tcW w:w="873" w:type="dxa"/>
          </w:tcPr>
          <w:p w:rsidR="00765F11" w:rsidRPr="00E526BD" w:rsidP="00765F11">
            <w:pPr>
              <w:pStyle w:val="TableParagraph"/>
              <w:spacing w:before="44"/>
              <w:ind w:left="17"/>
              <w:rPr>
                <w:sz w:val="15"/>
              </w:rPr>
            </w:pPr>
            <w:r w:rsidRPr="00E526BD">
              <w:rPr>
                <w:w w:val="105"/>
                <w:sz w:val="15"/>
              </w:rPr>
              <w:t>0.000</w:t>
            </w:r>
          </w:p>
        </w:tc>
        <w:tc>
          <w:tcPr>
            <w:tcW w:w="873" w:type="dxa"/>
          </w:tcPr>
          <w:p w:rsidR="00765F11" w:rsidRPr="00E526BD" w:rsidP="00765F11">
            <w:pPr>
              <w:pStyle w:val="TableParagraph"/>
              <w:spacing w:before="44"/>
              <w:ind w:left="16"/>
              <w:rPr>
                <w:sz w:val="15"/>
              </w:rPr>
            </w:pPr>
            <w:r w:rsidRPr="00E526BD">
              <w:rPr>
                <w:w w:val="105"/>
                <w:sz w:val="15"/>
              </w:rPr>
              <w:t>0.021</w:t>
            </w:r>
          </w:p>
        </w:tc>
        <w:tc>
          <w:tcPr>
            <w:tcW w:w="873" w:type="dxa"/>
          </w:tcPr>
          <w:p w:rsidR="00765F11" w:rsidRPr="00E526BD" w:rsidP="00765F11">
            <w:pPr>
              <w:pStyle w:val="TableParagraph"/>
              <w:spacing w:before="44"/>
              <w:ind w:left="15"/>
              <w:rPr>
                <w:sz w:val="15"/>
              </w:rPr>
            </w:pPr>
            <w:r w:rsidRPr="00E526BD">
              <w:rPr>
                <w:w w:val="105"/>
                <w:sz w:val="15"/>
              </w:rPr>
              <w:t>0.000</w:t>
            </w:r>
          </w:p>
        </w:tc>
        <w:tc>
          <w:tcPr>
            <w:tcW w:w="873" w:type="dxa"/>
          </w:tcPr>
          <w:p w:rsidR="00765F11" w:rsidRPr="00E526BD" w:rsidP="00765F11">
            <w:pPr>
              <w:pStyle w:val="TableParagraph"/>
              <w:spacing w:before="44"/>
              <w:ind w:left="15"/>
              <w:rPr>
                <w:sz w:val="15"/>
              </w:rPr>
            </w:pPr>
            <w:r w:rsidRPr="00E526BD">
              <w:rPr>
                <w:w w:val="105"/>
                <w:sz w:val="15"/>
              </w:rPr>
              <w:t>0.000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 xml:space="preserve">Average </w:t>
            </w:r>
            <w:r w:rsidRPr="00E526BD">
              <w:rPr>
                <w:w w:val="105"/>
                <w:sz w:val="8"/>
              </w:rPr>
              <w:t>number of passengers killed per million passenger train-kilometres</w:t>
            </w:r>
          </w:p>
        </w:tc>
        <w:tc>
          <w:tcPr>
            <w:tcW w:w="873" w:type="dxa"/>
          </w:tcPr>
          <w:p w:rsidR="00765F11" w:rsidRPr="00E526BD" w:rsidP="00765F11">
            <w:pPr>
              <w:pStyle w:val="TableParagraph"/>
              <w:spacing w:before="44"/>
              <w:ind w:left="20"/>
              <w:rPr>
                <w:sz w:val="15"/>
              </w:rPr>
            </w:pPr>
            <w:r w:rsidRPr="00E526BD">
              <w:rPr>
                <w:w w:val="105"/>
                <w:sz w:val="15"/>
              </w:rPr>
              <w:t>0.002</w:t>
            </w:r>
          </w:p>
        </w:tc>
        <w:tc>
          <w:tcPr>
            <w:tcW w:w="873" w:type="dxa"/>
          </w:tcPr>
          <w:p w:rsidR="00765F11" w:rsidRPr="00E526BD" w:rsidP="00765F11">
            <w:pPr>
              <w:pStyle w:val="TableParagraph"/>
              <w:spacing w:before="44"/>
              <w:ind w:left="19"/>
              <w:rPr>
                <w:sz w:val="15"/>
              </w:rPr>
            </w:pPr>
            <w:r w:rsidRPr="00E526BD">
              <w:rPr>
                <w:w w:val="105"/>
                <w:sz w:val="15"/>
              </w:rPr>
              <w:t>0.000</w:t>
            </w:r>
          </w:p>
        </w:tc>
        <w:tc>
          <w:tcPr>
            <w:tcW w:w="873" w:type="dxa"/>
          </w:tcPr>
          <w:p w:rsidR="00765F11" w:rsidRPr="00E526BD" w:rsidP="00765F11">
            <w:pPr>
              <w:pStyle w:val="TableParagraph"/>
              <w:spacing w:before="44"/>
              <w:ind w:left="18"/>
              <w:rPr>
                <w:sz w:val="15"/>
              </w:rPr>
            </w:pPr>
            <w:r w:rsidRPr="00E526BD">
              <w:rPr>
                <w:w w:val="105"/>
                <w:sz w:val="15"/>
              </w:rPr>
              <w:t>0.000</w:t>
            </w:r>
          </w:p>
        </w:tc>
        <w:tc>
          <w:tcPr>
            <w:tcW w:w="873" w:type="dxa"/>
          </w:tcPr>
          <w:p w:rsidR="00765F11" w:rsidRPr="00E526BD" w:rsidP="00765F11">
            <w:pPr>
              <w:pStyle w:val="TableParagraph"/>
              <w:spacing w:before="44"/>
              <w:ind w:left="17"/>
              <w:rPr>
                <w:sz w:val="15"/>
              </w:rPr>
            </w:pPr>
            <w:r w:rsidRPr="00E526BD">
              <w:rPr>
                <w:w w:val="105"/>
                <w:sz w:val="15"/>
              </w:rPr>
              <w:t>0.000</w:t>
            </w:r>
          </w:p>
        </w:tc>
        <w:tc>
          <w:tcPr>
            <w:tcW w:w="873" w:type="dxa"/>
          </w:tcPr>
          <w:p w:rsidR="00765F11" w:rsidRPr="00E526BD" w:rsidP="00765F11">
            <w:pPr>
              <w:pStyle w:val="TableParagraph"/>
              <w:spacing w:before="44"/>
              <w:ind w:left="17"/>
              <w:rPr>
                <w:sz w:val="15"/>
              </w:rPr>
            </w:pPr>
            <w:r w:rsidRPr="00E526BD">
              <w:rPr>
                <w:w w:val="105"/>
                <w:sz w:val="15"/>
              </w:rPr>
              <w:t>0.000</w:t>
            </w:r>
          </w:p>
        </w:tc>
        <w:tc>
          <w:tcPr>
            <w:tcW w:w="873" w:type="dxa"/>
          </w:tcPr>
          <w:p w:rsidR="00765F11" w:rsidRPr="00E526BD" w:rsidP="00765F11">
            <w:pPr>
              <w:pStyle w:val="TableParagraph"/>
              <w:spacing w:before="44"/>
              <w:ind w:left="16"/>
              <w:rPr>
                <w:sz w:val="15"/>
              </w:rPr>
            </w:pPr>
            <w:r w:rsidRPr="00E526BD">
              <w:rPr>
                <w:w w:val="105"/>
                <w:sz w:val="15"/>
              </w:rPr>
              <w:t>0.002</w:t>
            </w:r>
          </w:p>
        </w:tc>
        <w:tc>
          <w:tcPr>
            <w:tcW w:w="873" w:type="dxa"/>
          </w:tcPr>
          <w:p w:rsidR="00765F11" w:rsidRPr="00E526BD" w:rsidP="00765F11">
            <w:pPr>
              <w:pStyle w:val="TableParagraph"/>
              <w:spacing w:before="44"/>
              <w:ind w:left="15"/>
              <w:rPr>
                <w:sz w:val="15"/>
              </w:rPr>
            </w:pPr>
            <w:r w:rsidRPr="00E526BD">
              <w:rPr>
                <w:w w:val="105"/>
                <w:sz w:val="15"/>
              </w:rPr>
              <w:t>0.000</w:t>
            </w:r>
          </w:p>
        </w:tc>
        <w:tc>
          <w:tcPr>
            <w:tcW w:w="873" w:type="dxa"/>
          </w:tcPr>
          <w:p w:rsidR="00765F11" w:rsidRPr="00E526BD" w:rsidP="00765F11">
            <w:pPr>
              <w:pStyle w:val="TableParagraph"/>
              <w:spacing w:before="44"/>
              <w:ind w:left="15"/>
              <w:rPr>
                <w:sz w:val="15"/>
              </w:rPr>
            </w:pPr>
            <w:r w:rsidRPr="00E526BD">
              <w:rPr>
                <w:w w:val="105"/>
                <w:sz w:val="15"/>
              </w:rPr>
              <w:t>0.000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Employees or contractors</w:t>
            </w:r>
          </w:p>
        </w:tc>
        <w:tc>
          <w:tcPr>
            <w:tcW w:w="873" w:type="dxa"/>
          </w:tcPr>
          <w:p w:rsidR="00765F11" w:rsidRPr="00E526BD" w:rsidP="00765F11">
            <w:pPr>
              <w:pStyle w:val="TableParagraph"/>
              <w:spacing w:before="43"/>
              <w:ind w:left="20"/>
              <w:rPr>
                <w:sz w:val="15"/>
              </w:rPr>
            </w:pPr>
            <w:r w:rsidRPr="00E526BD">
              <w:rPr>
                <w:w w:val="105"/>
                <w:sz w:val="15"/>
              </w:rPr>
              <w:t>10</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2"/>
              <w:rPr>
                <w:sz w:val="15"/>
              </w:rPr>
            </w:pPr>
            <w:r w:rsidRPr="00E526BD">
              <w:rPr>
                <w:w w:val="103"/>
                <w:sz w:val="15"/>
              </w:rPr>
              <w:t>0</w:t>
            </w:r>
          </w:p>
        </w:tc>
        <w:tc>
          <w:tcPr>
            <w:tcW w:w="873" w:type="dxa"/>
          </w:tcPr>
          <w:p w:rsidR="00765F11" w:rsidRPr="00E526BD" w:rsidP="00765F11">
            <w:pPr>
              <w:pStyle w:val="TableParagraph"/>
              <w:spacing w:before="43"/>
              <w:ind w:left="21"/>
              <w:rPr>
                <w:sz w:val="15"/>
              </w:rPr>
            </w:pPr>
            <w:r w:rsidRPr="00E526BD">
              <w:rPr>
                <w:w w:val="103"/>
                <w:sz w:val="15"/>
              </w:rPr>
              <w:t>0</w:t>
            </w:r>
          </w:p>
        </w:tc>
        <w:tc>
          <w:tcPr>
            <w:tcW w:w="873" w:type="dxa"/>
          </w:tcPr>
          <w:p w:rsidR="00765F11" w:rsidRPr="00E526BD" w:rsidP="00765F11">
            <w:pPr>
              <w:pStyle w:val="TableParagraph"/>
              <w:spacing w:before="43"/>
              <w:ind w:left="21"/>
              <w:rPr>
                <w:sz w:val="15"/>
              </w:rPr>
            </w:pPr>
            <w:r w:rsidRPr="00E526BD">
              <w:rPr>
                <w:w w:val="103"/>
                <w:sz w:val="15"/>
              </w:rPr>
              <w:t>0</w:t>
            </w:r>
          </w:p>
        </w:tc>
        <w:tc>
          <w:tcPr>
            <w:tcW w:w="873" w:type="dxa"/>
          </w:tcPr>
          <w:p w:rsidR="00765F11" w:rsidRPr="00E526BD" w:rsidP="00765F11">
            <w:pPr>
              <w:pStyle w:val="TableParagraph"/>
              <w:spacing w:before="43"/>
              <w:ind w:left="16"/>
              <w:rPr>
                <w:sz w:val="15"/>
              </w:rPr>
            </w:pPr>
            <w:r w:rsidRPr="00E526BD">
              <w:rPr>
                <w:w w:val="105"/>
                <w:sz w:val="15"/>
              </w:rPr>
              <w:t>10</w:t>
            </w:r>
          </w:p>
        </w:tc>
        <w:tc>
          <w:tcPr>
            <w:tcW w:w="873" w:type="dxa"/>
          </w:tcPr>
          <w:p w:rsidR="00765F11" w:rsidRPr="00E526BD" w:rsidP="00765F11">
            <w:pPr>
              <w:pStyle w:val="TableParagraph"/>
              <w:spacing w:before="43"/>
              <w:ind w:left="19"/>
              <w:rPr>
                <w:sz w:val="15"/>
              </w:rPr>
            </w:pPr>
            <w:r w:rsidRPr="00E526BD">
              <w:rPr>
                <w:w w:val="103"/>
                <w:sz w:val="15"/>
              </w:rPr>
              <w:t>0</w:t>
            </w:r>
          </w:p>
        </w:tc>
        <w:tc>
          <w:tcPr>
            <w:tcW w:w="873" w:type="dxa"/>
          </w:tcPr>
          <w:p w:rsidR="00765F11" w:rsidRPr="00E526BD" w:rsidP="00765F11">
            <w:pPr>
              <w:pStyle w:val="TableParagraph"/>
              <w:spacing w:before="43"/>
              <w:ind w:left="19"/>
              <w:rPr>
                <w:sz w:val="15"/>
              </w:rPr>
            </w:pPr>
            <w:r w:rsidRPr="00E526BD">
              <w:rPr>
                <w:w w:val="103"/>
                <w:sz w:val="15"/>
              </w:rPr>
              <w:t>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Average number of employees, including contractors, killed</w:t>
            </w:r>
          </w:p>
        </w:tc>
        <w:tc>
          <w:tcPr>
            <w:tcW w:w="873" w:type="dxa"/>
          </w:tcPr>
          <w:p w:rsidR="00765F11" w:rsidRPr="00E526BD" w:rsidP="00765F11">
            <w:pPr>
              <w:pStyle w:val="TableParagraph"/>
              <w:spacing w:before="43"/>
              <w:ind w:left="20"/>
              <w:rPr>
                <w:sz w:val="15"/>
              </w:rPr>
            </w:pPr>
            <w:r w:rsidRPr="00E526BD">
              <w:rPr>
                <w:w w:val="105"/>
                <w:sz w:val="15"/>
              </w:rPr>
              <w:t>0.009</w:t>
            </w:r>
          </w:p>
        </w:tc>
        <w:tc>
          <w:tcPr>
            <w:tcW w:w="873" w:type="dxa"/>
          </w:tcPr>
          <w:p w:rsidR="00765F11" w:rsidRPr="00E526BD" w:rsidP="00765F11">
            <w:pPr>
              <w:pStyle w:val="TableParagraph"/>
              <w:spacing w:before="43"/>
              <w:ind w:left="19"/>
              <w:rPr>
                <w:sz w:val="15"/>
              </w:rPr>
            </w:pPr>
            <w:r w:rsidRPr="00E526BD">
              <w:rPr>
                <w:w w:val="105"/>
                <w:sz w:val="15"/>
              </w:rPr>
              <w:t>0.000</w:t>
            </w:r>
          </w:p>
        </w:tc>
        <w:tc>
          <w:tcPr>
            <w:tcW w:w="873" w:type="dxa"/>
          </w:tcPr>
          <w:p w:rsidR="00765F11" w:rsidRPr="00E526BD" w:rsidP="00765F11">
            <w:pPr>
              <w:pStyle w:val="TableParagraph"/>
              <w:spacing w:before="43"/>
              <w:ind w:left="18"/>
              <w:rPr>
                <w:sz w:val="15"/>
              </w:rPr>
            </w:pPr>
            <w:r w:rsidRPr="00E526BD">
              <w:rPr>
                <w:w w:val="105"/>
                <w:sz w:val="15"/>
              </w:rPr>
              <w:t>0.000</w:t>
            </w:r>
          </w:p>
        </w:tc>
        <w:tc>
          <w:tcPr>
            <w:tcW w:w="873" w:type="dxa"/>
          </w:tcPr>
          <w:p w:rsidR="00765F11" w:rsidRPr="00E526BD" w:rsidP="00765F11">
            <w:pPr>
              <w:pStyle w:val="TableParagraph"/>
              <w:spacing w:before="43"/>
              <w:ind w:left="18"/>
              <w:rPr>
                <w:sz w:val="15"/>
              </w:rPr>
            </w:pPr>
            <w:r w:rsidRPr="00E526BD">
              <w:rPr>
                <w:w w:val="105"/>
                <w:sz w:val="15"/>
              </w:rPr>
              <w:t>0.000</w:t>
            </w:r>
          </w:p>
        </w:tc>
        <w:tc>
          <w:tcPr>
            <w:tcW w:w="873" w:type="dxa"/>
          </w:tcPr>
          <w:p w:rsidR="00765F11" w:rsidRPr="00E526BD" w:rsidP="00765F11">
            <w:pPr>
              <w:pStyle w:val="TableParagraph"/>
              <w:spacing w:before="43"/>
              <w:ind w:left="17"/>
              <w:rPr>
                <w:sz w:val="15"/>
              </w:rPr>
            </w:pPr>
            <w:r w:rsidRPr="00E526BD">
              <w:rPr>
                <w:w w:val="105"/>
                <w:sz w:val="15"/>
              </w:rPr>
              <w:t>0.000</w:t>
            </w:r>
          </w:p>
        </w:tc>
        <w:tc>
          <w:tcPr>
            <w:tcW w:w="873" w:type="dxa"/>
          </w:tcPr>
          <w:p w:rsidR="00765F11" w:rsidRPr="00E526BD" w:rsidP="00765F11">
            <w:pPr>
              <w:pStyle w:val="TableParagraph"/>
              <w:spacing w:before="43"/>
              <w:ind w:left="16"/>
              <w:rPr>
                <w:sz w:val="15"/>
              </w:rPr>
            </w:pPr>
            <w:r w:rsidRPr="00E526BD">
              <w:rPr>
                <w:w w:val="105"/>
                <w:sz w:val="15"/>
              </w:rPr>
              <w:t>0.009</w:t>
            </w:r>
          </w:p>
        </w:tc>
        <w:tc>
          <w:tcPr>
            <w:tcW w:w="873" w:type="dxa"/>
          </w:tcPr>
          <w:p w:rsidR="00765F11" w:rsidRPr="00E526BD" w:rsidP="00765F11">
            <w:pPr>
              <w:pStyle w:val="TableParagraph"/>
              <w:spacing w:before="43"/>
              <w:ind w:left="16"/>
              <w:rPr>
                <w:sz w:val="15"/>
              </w:rPr>
            </w:pPr>
            <w:r w:rsidRPr="00E526BD">
              <w:rPr>
                <w:w w:val="105"/>
                <w:sz w:val="15"/>
              </w:rPr>
              <w:t>0.000</w:t>
            </w:r>
          </w:p>
        </w:tc>
        <w:tc>
          <w:tcPr>
            <w:tcW w:w="873" w:type="dxa"/>
          </w:tcPr>
          <w:p w:rsidR="00765F11" w:rsidRPr="00E526BD" w:rsidP="00765F11">
            <w:pPr>
              <w:pStyle w:val="TableParagraph"/>
              <w:spacing w:before="43"/>
              <w:ind w:left="15"/>
              <w:rPr>
                <w:sz w:val="15"/>
              </w:rPr>
            </w:pPr>
            <w:r w:rsidRPr="00E526BD">
              <w:rPr>
                <w:w w:val="105"/>
                <w:sz w:val="15"/>
              </w:rPr>
              <w:t>0.000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Level crossing users</w:t>
            </w:r>
          </w:p>
        </w:tc>
        <w:tc>
          <w:tcPr>
            <w:tcW w:w="873" w:type="dxa"/>
          </w:tcPr>
          <w:p w:rsidR="00765F11" w:rsidRPr="00E526BD" w:rsidP="00765F11">
            <w:pPr>
              <w:pStyle w:val="TableParagraph"/>
              <w:spacing w:before="43"/>
              <w:ind w:left="20"/>
              <w:rPr>
                <w:sz w:val="15"/>
              </w:rPr>
            </w:pPr>
            <w:r w:rsidRPr="00E526BD">
              <w:rPr>
                <w:w w:val="105"/>
                <w:sz w:val="15"/>
              </w:rPr>
              <w:t>44</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2"/>
              <w:rPr>
                <w:sz w:val="15"/>
              </w:rPr>
            </w:pPr>
            <w:r w:rsidRPr="00E526BD">
              <w:rPr>
                <w:w w:val="103"/>
                <w:sz w:val="15"/>
              </w:rPr>
              <w:t>0</w:t>
            </w:r>
          </w:p>
        </w:tc>
        <w:tc>
          <w:tcPr>
            <w:tcW w:w="873" w:type="dxa"/>
          </w:tcPr>
          <w:p w:rsidR="00765F11" w:rsidRPr="00E526BD" w:rsidP="00765F11">
            <w:pPr>
              <w:pStyle w:val="TableParagraph"/>
              <w:spacing w:before="43"/>
              <w:ind w:left="22"/>
              <w:rPr>
                <w:sz w:val="15"/>
              </w:rPr>
            </w:pPr>
            <w:r w:rsidRPr="00E526BD">
              <w:rPr>
                <w:w w:val="103"/>
                <w:sz w:val="15"/>
              </w:rPr>
              <w:t>0</w:t>
            </w:r>
          </w:p>
        </w:tc>
        <w:tc>
          <w:tcPr>
            <w:tcW w:w="873" w:type="dxa"/>
          </w:tcPr>
          <w:p w:rsidR="00765F11" w:rsidRPr="00E526BD" w:rsidP="00765F11">
            <w:pPr>
              <w:pStyle w:val="TableParagraph"/>
              <w:spacing w:before="43"/>
              <w:ind w:left="17"/>
              <w:rPr>
                <w:sz w:val="15"/>
              </w:rPr>
            </w:pPr>
            <w:r w:rsidRPr="00E526BD">
              <w:rPr>
                <w:w w:val="105"/>
                <w:sz w:val="15"/>
              </w:rPr>
              <w:t>44</w:t>
            </w:r>
          </w:p>
        </w:tc>
        <w:tc>
          <w:tcPr>
            <w:tcW w:w="873" w:type="dxa"/>
          </w:tcPr>
          <w:p w:rsidR="00765F11" w:rsidRPr="00E526BD" w:rsidP="00765F11">
            <w:pPr>
              <w:pStyle w:val="TableParagraph"/>
              <w:spacing w:before="43"/>
              <w:ind w:left="20"/>
              <w:rPr>
                <w:sz w:val="15"/>
              </w:rPr>
            </w:pPr>
            <w:r w:rsidRPr="00E526BD">
              <w:rPr>
                <w:w w:val="103"/>
                <w:sz w:val="15"/>
              </w:rPr>
              <w:t>0</w:t>
            </w:r>
          </w:p>
        </w:tc>
        <w:tc>
          <w:tcPr>
            <w:tcW w:w="873" w:type="dxa"/>
          </w:tcPr>
          <w:p w:rsidR="00765F11" w:rsidRPr="00E526BD" w:rsidP="00765F11">
            <w:pPr>
              <w:pStyle w:val="TableParagraph"/>
              <w:spacing w:before="43"/>
              <w:ind w:left="20"/>
              <w:rPr>
                <w:sz w:val="15"/>
              </w:rPr>
            </w:pPr>
            <w:r w:rsidRPr="00E526BD">
              <w:rPr>
                <w:w w:val="103"/>
                <w:sz w:val="15"/>
              </w:rPr>
              <w:t>0</w:t>
            </w:r>
          </w:p>
        </w:tc>
        <w:tc>
          <w:tcPr>
            <w:tcW w:w="873" w:type="dxa"/>
          </w:tcPr>
          <w:p w:rsidR="00765F11" w:rsidRPr="00E526BD" w:rsidP="00765F11">
            <w:pPr>
              <w:pStyle w:val="TableParagraph"/>
              <w:spacing w:before="43"/>
              <w:ind w:left="19"/>
              <w:rPr>
                <w:sz w:val="15"/>
              </w:rPr>
            </w:pPr>
            <w:r w:rsidRPr="00E526BD">
              <w:rPr>
                <w:w w:val="103"/>
                <w:sz w:val="15"/>
              </w:rPr>
              <w:t>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Average number of level crossing users killed</w:t>
            </w:r>
          </w:p>
        </w:tc>
        <w:tc>
          <w:tcPr>
            <w:tcW w:w="873" w:type="dxa"/>
          </w:tcPr>
          <w:p w:rsidR="00765F11" w:rsidRPr="00E526BD" w:rsidP="00765F11">
            <w:pPr>
              <w:pStyle w:val="TableParagraph"/>
              <w:spacing w:before="43"/>
              <w:ind w:left="20"/>
              <w:rPr>
                <w:sz w:val="15"/>
              </w:rPr>
            </w:pPr>
            <w:r w:rsidRPr="00E526BD">
              <w:rPr>
                <w:w w:val="105"/>
                <w:sz w:val="15"/>
              </w:rPr>
              <w:t>0.041</w:t>
            </w:r>
          </w:p>
        </w:tc>
        <w:tc>
          <w:tcPr>
            <w:tcW w:w="873" w:type="dxa"/>
          </w:tcPr>
          <w:p w:rsidR="00765F11" w:rsidRPr="00E526BD" w:rsidP="00765F11">
            <w:pPr>
              <w:pStyle w:val="TableParagraph"/>
              <w:spacing w:before="43"/>
              <w:ind w:left="19"/>
              <w:rPr>
                <w:sz w:val="15"/>
              </w:rPr>
            </w:pPr>
            <w:r w:rsidRPr="00E526BD">
              <w:rPr>
                <w:w w:val="105"/>
                <w:sz w:val="15"/>
              </w:rPr>
              <w:t>0.000</w:t>
            </w:r>
          </w:p>
        </w:tc>
        <w:tc>
          <w:tcPr>
            <w:tcW w:w="873" w:type="dxa"/>
          </w:tcPr>
          <w:p w:rsidR="00765F11" w:rsidRPr="00E526BD" w:rsidP="00765F11">
            <w:pPr>
              <w:pStyle w:val="TableParagraph"/>
              <w:spacing w:before="43"/>
              <w:ind w:left="19"/>
              <w:rPr>
                <w:sz w:val="15"/>
              </w:rPr>
            </w:pPr>
            <w:r w:rsidRPr="00E526BD">
              <w:rPr>
                <w:w w:val="105"/>
                <w:sz w:val="15"/>
              </w:rPr>
              <w:t>0.000</w:t>
            </w:r>
          </w:p>
        </w:tc>
        <w:tc>
          <w:tcPr>
            <w:tcW w:w="873" w:type="dxa"/>
          </w:tcPr>
          <w:p w:rsidR="00765F11" w:rsidRPr="00E526BD" w:rsidP="00765F11">
            <w:pPr>
              <w:pStyle w:val="TableParagraph"/>
              <w:spacing w:before="43"/>
              <w:ind w:left="18"/>
              <w:rPr>
                <w:sz w:val="15"/>
              </w:rPr>
            </w:pPr>
            <w:r w:rsidRPr="00E526BD">
              <w:rPr>
                <w:w w:val="105"/>
                <w:sz w:val="15"/>
              </w:rPr>
              <w:t>0.000</w:t>
            </w:r>
          </w:p>
        </w:tc>
        <w:tc>
          <w:tcPr>
            <w:tcW w:w="873" w:type="dxa"/>
          </w:tcPr>
          <w:p w:rsidR="00765F11" w:rsidRPr="00E526BD" w:rsidP="00765F11">
            <w:pPr>
              <w:pStyle w:val="TableParagraph"/>
              <w:spacing w:before="43"/>
              <w:ind w:left="17"/>
              <w:rPr>
                <w:sz w:val="15"/>
              </w:rPr>
            </w:pPr>
            <w:r w:rsidRPr="00E526BD">
              <w:rPr>
                <w:w w:val="105"/>
                <w:sz w:val="15"/>
              </w:rPr>
              <w:t>0.041</w:t>
            </w:r>
          </w:p>
        </w:tc>
        <w:tc>
          <w:tcPr>
            <w:tcW w:w="873" w:type="dxa"/>
          </w:tcPr>
          <w:p w:rsidR="00765F11" w:rsidRPr="00E526BD" w:rsidP="00765F11">
            <w:pPr>
              <w:pStyle w:val="TableParagraph"/>
              <w:spacing w:before="43"/>
              <w:ind w:left="17"/>
              <w:rPr>
                <w:sz w:val="15"/>
              </w:rPr>
            </w:pPr>
            <w:r w:rsidRPr="00E526BD">
              <w:rPr>
                <w:w w:val="105"/>
                <w:sz w:val="15"/>
              </w:rPr>
              <w:t>0.000</w:t>
            </w:r>
          </w:p>
        </w:tc>
        <w:tc>
          <w:tcPr>
            <w:tcW w:w="873" w:type="dxa"/>
          </w:tcPr>
          <w:p w:rsidR="00765F11" w:rsidRPr="00E526BD" w:rsidP="00765F11">
            <w:pPr>
              <w:pStyle w:val="TableParagraph"/>
              <w:spacing w:before="43"/>
              <w:ind w:left="16"/>
              <w:rPr>
                <w:sz w:val="15"/>
              </w:rPr>
            </w:pPr>
            <w:r w:rsidRPr="00E526BD">
              <w:rPr>
                <w:w w:val="105"/>
                <w:sz w:val="15"/>
              </w:rPr>
              <w:t>0.000</w:t>
            </w:r>
          </w:p>
        </w:tc>
        <w:tc>
          <w:tcPr>
            <w:tcW w:w="873" w:type="dxa"/>
          </w:tcPr>
          <w:p w:rsidR="00765F11" w:rsidRPr="00E526BD" w:rsidP="00765F11">
            <w:pPr>
              <w:pStyle w:val="TableParagraph"/>
              <w:spacing w:before="43"/>
              <w:ind w:left="15"/>
              <w:rPr>
                <w:sz w:val="15"/>
              </w:rPr>
            </w:pPr>
            <w:r w:rsidRPr="00E526BD">
              <w:rPr>
                <w:w w:val="105"/>
                <w:sz w:val="15"/>
              </w:rPr>
              <w:t>0.000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Trespassers on railway premises</w:t>
            </w:r>
          </w:p>
        </w:tc>
        <w:tc>
          <w:tcPr>
            <w:tcW w:w="873" w:type="dxa"/>
          </w:tcPr>
          <w:p w:rsidR="00765F11" w:rsidRPr="00E526BD" w:rsidP="00765F11">
            <w:pPr>
              <w:pStyle w:val="TableParagraph"/>
              <w:spacing w:before="43"/>
              <w:ind w:left="20"/>
              <w:rPr>
                <w:sz w:val="15"/>
              </w:rPr>
            </w:pPr>
            <w:r w:rsidRPr="00E526BD">
              <w:rPr>
                <w:w w:val="105"/>
                <w:sz w:val="15"/>
              </w:rPr>
              <w:t>93</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2"/>
              <w:rPr>
                <w:sz w:val="15"/>
              </w:rPr>
            </w:pPr>
            <w:r w:rsidRPr="00E526BD">
              <w:rPr>
                <w:w w:val="103"/>
                <w:sz w:val="15"/>
              </w:rPr>
              <w:t>0</w:t>
            </w:r>
          </w:p>
        </w:tc>
        <w:tc>
          <w:tcPr>
            <w:tcW w:w="873" w:type="dxa"/>
          </w:tcPr>
          <w:p w:rsidR="00765F11" w:rsidRPr="00E526BD" w:rsidP="00765F11">
            <w:pPr>
              <w:pStyle w:val="TableParagraph"/>
              <w:spacing w:before="43"/>
              <w:ind w:left="21"/>
              <w:rPr>
                <w:sz w:val="15"/>
              </w:rPr>
            </w:pPr>
            <w:r w:rsidRPr="00E526BD">
              <w:rPr>
                <w:w w:val="103"/>
                <w:sz w:val="15"/>
              </w:rPr>
              <w:t>0</w:t>
            </w:r>
          </w:p>
        </w:tc>
        <w:tc>
          <w:tcPr>
            <w:tcW w:w="873" w:type="dxa"/>
          </w:tcPr>
          <w:p w:rsidR="00765F11" w:rsidRPr="00E526BD" w:rsidP="00765F11">
            <w:pPr>
              <w:pStyle w:val="TableParagraph"/>
              <w:spacing w:before="43"/>
              <w:ind w:left="17"/>
              <w:rPr>
                <w:sz w:val="15"/>
              </w:rPr>
            </w:pPr>
            <w:r w:rsidRPr="00E526BD">
              <w:rPr>
                <w:w w:val="105"/>
                <w:sz w:val="15"/>
              </w:rPr>
              <w:t>93</w:t>
            </w:r>
          </w:p>
        </w:tc>
        <w:tc>
          <w:tcPr>
            <w:tcW w:w="873" w:type="dxa"/>
          </w:tcPr>
          <w:p w:rsidR="00765F11" w:rsidRPr="00E526BD" w:rsidP="00765F11">
            <w:pPr>
              <w:pStyle w:val="TableParagraph"/>
              <w:spacing w:before="43"/>
              <w:ind w:left="20"/>
              <w:rPr>
                <w:sz w:val="15"/>
              </w:rPr>
            </w:pPr>
            <w:r w:rsidRPr="00E526BD">
              <w:rPr>
                <w:w w:val="103"/>
                <w:sz w:val="15"/>
              </w:rPr>
              <w:t>0</w:t>
            </w:r>
          </w:p>
        </w:tc>
        <w:tc>
          <w:tcPr>
            <w:tcW w:w="873" w:type="dxa"/>
          </w:tcPr>
          <w:p w:rsidR="00765F11" w:rsidRPr="00E526BD" w:rsidP="00765F11">
            <w:pPr>
              <w:pStyle w:val="TableParagraph"/>
              <w:spacing w:before="43"/>
              <w:ind w:left="19"/>
              <w:rPr>
                <w:sz w:val="15"/>
              </w:rPr>
            </w:pPr>
            <w:r w:rsidRPr="00E526BD">
              <w:rPr>
                <w:w w:val="103"/>
                <w:sz w:val="15"/>
              </w:rPr>
              <w:t>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Average number of trespassers on railway premises killed</w:t>
            </w:r>
          </w:p>
        </w:tc>
        <w:tc>
          <w:tcPr>
            <w:tcW w:w="873" w:type="dxa"/>
          </w:tcPr>
          <w:p w:rsidR="00765F11" w:rsidRPr="00E526BD" w:rsidP="00765F11">
            <w:pPr>
              <w:pStyle w:val="TableParagraph"/>
              <w:spacing w:before="43"/>
              <w:ind w:left="20"/>
              <w:rPr>
                <w:sz w:val="15"/>
              </w:rPr>
            </w:pPr>
            <w:r w:rsidRPr="00E526BD">
              <w:rPr>
                <w:w w:val="105"/>
                <w:sz w:val="15"/>
              </w:rPr>
              <w:t>0.087</w:t>
            </w:r>
          </w:p>
        </w:tc>
        <w:tc>
          <w:tcPr>
            <w:tcW w:w="873" w:type="dxa"/>
          </w:tcPr>
          <w:p w:rsidR="00765F11" w:rsidRPr="00E526BD" w:rsidP="00765F11">
            <w:pPr>
              <w:pStyle w:val="TableParagraph"/>
              <w:spacing w:before="43"/>
              <w:ind w:left="20"/>
              <w:rPr>
                <w:sz w:val="15"/>
              </w:rPr>
            </w:pPr>
            <w:r w:rsidRPr="00E526BD">
              <w:rPr>
                <w:w w:val="105"/>
                <w:sz w:val="15"/>
              </w:rPr>
              <w:t>0.000</w:t>
            </w:r>
          </w:p>
        </w:tc>
        <w:tc>
          <w:tcPr>
            <w:tcW w:w="873" w:type="dxa"/>
          </w:tcPr>
          <w:p w:rsidR="00765F11" w:rsidRPr="00E526BD" w:rsidP="00765F11">
            <w:pPr>
              <w:pStyle w:val="TableParagraph"/>
              <w:spacing w:before="43"/>
              <w:ind w:left="19"/>
              <w:rPr>
                <w:sz w:val="15"/>
              </w:rPr>
            </w:pPr>
            <w:r w:rsidRPr="00E526BD">
              <w:rPr>
                <w:w w:val="105"/>
                <w:sz w:val="15"/>
              </w:rPr>
              <w:t>0.000</w:t>
            </w:r>
          </w:p>
        </w:tc>
        <w:tc>
          <w:tcPr>
            <w:tcW w:w="873" w:type="dxa"/>
          </w:tcPr>
          <w:p w:rsidR="00765F11" w:rsidRPr="00E526BD" w:rsidP="00765F11">
            <w:pPr>
              <w:pStyle w:val="TableParagraph"/>
              <w:spacing w:before="43"/>
              <w:ind w:left="18"/>
              <w:rPr>
                <w:sz w:val="15"/>
              </w:rPr>
            </w:pPr>
            <w:r w:rsidRPr="00E526BD">
              <w:rPr>
                <w:w w:val="105"/>
                <w:sz w:val="15"/>
              </w:rPr>
              <w:t>0.000</w:t>
            </w:r>
          </w:p>
        </w:tc>
        <w:tc>
          <w:tcPr>
            <w:tcW w:w="873" w:type="dxa"/>
          </w:tcPr>
          <w:p w:rsidR="00765F11" w:rsidRPr="00E526BD" w:rsidP="00765F11">
            <w:pPr>
              <w:pStyle w:val="TableParagraph"/>
              <w:spacing w:before="43"/>
              <w:ind w:left="18"/>
              <w:rPr>
                <w:sz w:val="15"/>
              </w:rPr>
            </w:pPr>
            <w:r w:rsidRPr="00E526BD">
              <w:rPr>
                <w:w w:val="105"/>
                <w:sz w:val="15"/>
              </w:rPr>
              <w:t>0.000</w:t>
            </w:r>
          </w:p>
        </w:tc>
        <w:tc>
          <w:tcPr>
            <w:tcW w:w="873" w:type="dxa"/>
          </w:tcPr>
          <w:p w:rsidR="00765F11" w:rsidRPr="00E526BD" w:rsidP="00765F11">
            <w:pPr>
              <w:pStyle w:val="TableParagraph"/>
              <w:spacing w:before="43"/>
              <w:ind w:left="17"/>
              <w:rPr>
                <w:sz w:val="15"/>
              </w:rPr>
            </w:pPr>
            <w:r w:rsidRPr="00E526BD">
              <w:rPr>
                <w:w w:val="105"/>
                <w:sz w:val="15"/>
              </w:rPr>
              <w:t>0.087</w:t>
            </w:r>
          </w:p>
        </w:tc>
        <w:tc>
          <w:tcPr>
            <w:tcW w:w="873" w:type="dxa"/>
          </w:tcPr>
          <w:p w:rsidR="00765F11" w:rsidRPr="00E526BD" w:rsidP="00765F11">
            <w:pPr>
              <w:pStyle w:val="TableParagraph"/>
              <w:spacing w:before="43"/>
              <w:ind w:left="16"/>
              <w:rPr>
                <w:sz w:val="15"/>
              </w:rPr>
            </w:pPr>
            <w:r w:rsidRPr="00E526BD">
              <w:rPr>
                <w:w w:val="105"/>
                <w:sz w:val="15"/>
              </w:rPr>
              <w:t>0.000</w:t>
            </w:r>
          </w:p>
        </w:tc>
        <w:tc>
          <w:tcPr>
            <w:tcW w:w="873" w:type="dxa"/>
          </w:tcPr>
          <w:p w:rsidR="00765F11" w:rsidRPr="00E526BD" w:rsidP="00765F11">
            <w:pPr>
              <w:pStyle w:val="TableParagraph"/>
              <w:spacing w:before="43"/>
              <w:ind w:left="16"/>
              <w:rPr>
                <w:sz w:val="15"/>
              </w:rPr>
            </w:pPr>
            <w:r w:rsidRPr="00E526BD">
              <w:rPr>
                <w:w w:val="105"/>
                <w:sz w:val="15"/>
              </w:rPr>
              <w:t>0.000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Other persons on platforms</w:t>
            </w:r>
          </w:p>
        </w:tc>
        <w:tc>
          <w:tcPr>
            <w:tcW w:w="873" w:type="dxa"/>
          </w:tcPr>
          <w:p w:rsidR="00765F11" w:rsidRPr="00E526BD" w:rsidP="00765F11">
            <w:pPr>
              <w:pStyle w:val="TableParagraph"/>
              <w:spacing w:before="43"/>
              <w:ind w:left="24"/>
              <w:rPr>
                <w:sz w:val="15"/>
              </w:rPr>
            </w:pPr>
            <w:r w:rsidRPr="00E526BD">
              <w:rPr>
                <w:w w:val="103"/>
                <w:sz w:val="15"/>
              </w:rPr>
              <w:t>8</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2"/>
              <w:rPr>
                <w:sz w:val="15"/>
              </w:rPr>
            </w:pPr>
            <w:r w:rsidRPr="00E526BD">
              <w:rPr>
                <w:w w:val="103"/>
                <w:sz w:val="15"/>
              </w:rPr>
              <w:t>0</w:t>
            </w:r>
          </w:p>
        </w:tc>
        <w:tc>
          <w:tcPr>
            <w:tcW w:w="873" w:type="dxa"/>
          </w:tcPr>
          <w:p w:rsidR="00765F11" w:rsidRPr="00E526BD" w:rsidP="00765F11">
            <w:pPr>
              <w:pStyle w:val="TableParagraph"/>
              <w:spacing w:before="43"/>
              <w:ind w:left="21"/>
              <w:rPr>
                <w:sz w:val="15"/>
              </w:rPr>
            </w:pPr>
            <w:r w:rsidRPr="00E526BD">
              <w:rPr>
                <w:w w:val="103"/>
                <w:sz w:val="15"/>
              </w:rPr>
              <w:t>0</w:t>
            </w:r>
          </w:p>
        </w:tc>
        <w:tc>
          <w:tcPr>
            <w:tcW w:w="873" w:type="dxa"/>
          </w:tcPr>
          <w:p w:rsidR="00765F11" w:rsidRPr="00E526BD" w:rsidP="00765F11">
            <w:pPr>
              <w:pStyle w:val="TableParagraph"/>
              <w:spacing w:before="43"/>
              <w:ind w:left="21"/>
              <w:rPr>
                <w:sz w:val="15"/>
              </w:rPr>
            </w:pPr>
            <w:r w:rsidRPr="00E526BD">
              <w:rPr>
                <w:w w:val="103"/>
                <w:sz w:val="15"/>
              </w:rPr>
              <w:t>8</w:t>
            </w:r>
          </w:p>
        </w:tc>
        <w:tc>
          <w:tcPr>
            <w:tcW w:w="873" w:type="dxa"/>
          </w:tcPr>
          <w:p w:rsidR="00765F11" w:rsidRPr="00E526BD" w:rsidP="00765F11">
            <w:pPr>
              <w:pStyle w:val="TableParagraph"/>
              <w:spacing w:before="43"/>
              <w:ind w:left="20"/>
              <w:rPr>
                <w:sz w:val="15"/>
              </w:rPr>
            </w:pPr>
            <w:r w:rsidRPr="00E526BD">
              <w:rPr>
                <w:w w:val="103"/>
                <w:sz w:val="15"/>
              </w:rPr>
              <w:t>0</w:t>
            </w:r>
          </w:p>
        </w:tc>
        <w:tc>
          <w:tcPr>
            <w:tcW w:w="873" w:type="dxa"/>
          </w:tcPr>
          <w:p w:rsidR="00765F11" w:rsidRPr="00E526BD" w:rsidP="00765F11">
            <w:pPr>
              <w:pStyle w:val="TableParagraph"/>
              <w:spacing w:before="43"/>
              <w:ind w:left="19"/>
              <w:rPr>
                <w:sz w:val="15"/>
              </w:rPr>
            </w:pPr>
            <w:r w:rsidRPr="00E526BD">
              <w:rPr>
                <w:w w:val="103"/>
                <w:sz w:val="15"/>
              </w:rPr>
              <w:t>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Average number of other fatalities on platforms</w:t>
            </w:r>
          </w:p>
        </w:tc>
        <w:tc>
          <w:tcPr>
            <w:tcW w:w="873" w:type="dxa"/>
          </w:tcPr>
          <w:p w:rsidR="00765F11" w:rsidRPr="00E526BD" w:rsidP="00765F11">
            <w:pPr>
              <w:pStyle w:val="TableParagraph"/>
              <w:spacing w:before="43"/>
              <w:ind w:left="20"/>
              <w:rPr>
                <w:sz w:val="15"/>
              </w:rPr>
            </w:pPr>
            <w:r w:rsidRPr="00E526BD">
              <w:rPr>
                <w:w w:val="105"/>
                <w:sz w:val="15"/>
              </w:rPr>
              <w:t>0.007</w:t>
            </w:r>
          </w:p>
        </w:tc>
        <w:tc>
          <w:tcPr>
            <w:tcW w:w="873" w:type="dxa"/>
          </w:tcPr>
          <w:p w:rsidR="00765F11" w:rsidRPr="00E526BD" w:rsidP="00765F11">
            <w:pPr>
              <w:pStyle w:val="TableParagraph"/>
              <w:spacing w:before="43"/>
              <w:ind w:left="20"/>
              <w:rPr>
                <w:sz w:val="15"/>
              </w:rPr>
            </w:pPr>
            <w:r w:rsidRPr="00E526BD">
              <w:rPr>
                <w:w w:val="105"/>
                <w:sz w:val="15"/>
              </w:rPr>
              <w:t>0.000</w:t>
            </w:r>
          </w:p>
        </w:tc>
        <w:tc>
          <w:tcPr>
            <w:tcW w:w="873" w:type="dxa"/>
          </w:tcPr>
          <w:p w:rsidR="00765F11" w:rsidRPr="00E526BD" w:rsidP="00765F11">
            <w:pPr>
              <w:pStyle w:val="TableParagraph"/>
              <w:spacing w:before="43"/>
              <w:ind w:left="19"/>
              <w:rPr>
                <w:sz w:val="15"/>
              </w:rPr>
            </w:pPr>
            <w:r w:rsidRPr="00E526BD">
              <w:rPr>
                <w:w w:val="105"/>
                <w:sz w:val="15"/>
              </w:rPr>
              <w:t>0.000</w:t>
            </w:r>
          </w:p>
        </w:tc>
        <w:tc>
          <w:tcPr>
            <w:tcW w:w="873" w:type="dxa"/>
          </w:tcPr>
          <w:p w:rsidR="00765F11" w:rsidRPr="00E526BD" w:rsidP="00765F11">
            <w:pPr>
              <w:pStyle w:val="TableParagraph"/>
              <w:spacing w:before="43"/>
              <w:ind w:left="18"/>
              <w:rPr>
                <w:sz w:val="15"/>
              </w:rPr>
            </w:pPr>
            <w:r w:rsidRPr="00E526BD">
              <w:rPr>
                <w:w w:val="105"/>
                <w:sz w:val="15"/>
              </w:rPr>
              <w:t>0.000</w:t>
            </w:r>
          </w:p>
        </w:tc>
        <w:tc>
          <w:tcPr>
            <w:tcW w:w="873" w:type="dxa"/>
          </w:tcPr>
          <w:p w:rsidR="00765F11" w:rsidRPr="00E526BD" w:rsidP="00765F11">
            <w:pPr>
              <w:pStyle w:val="TableParagraph"/>
              <w:spacing w:before="43"/>
              <w:ind w:left="18"/>
              <w:rPr>
                <w:sz w:val="15"/>
              </w:rPr>
            </w:pPr>
            <w:r w:rsidRPr="00E526BD">
              <w:rPr>
                <w:w w:val="105"/>
                <w:sz w:val="15"/>
              </w:rPr>
              <w:t>0.000</w:t>
            </w:r>
          </w:p>
        </w:tc>
        <w:tc>
          <w:tcPr>
            <w:tcW w:w="873" w:type="dxa"/>
          </w:tcPr>
          <w:p w:rsidR="00765F11" w:rsidRPr="00E526BD" w:rsidP="00765F11">
            <w:pPr>
              <w:pStyle w:val="TableParagraph"/>
              <w:spacing w:before="43"/>
              <w:ind w:left="17"/>
              <w:rPr>
                <w:sz w:val="15"/>
              </w:rPr>
            </w:pPr>
            <w:r w:rsidRPr="00E526BD">
              <w:rPr>
                <w:w w:val="105"/>
                <w:sz w:val="15"/>
              </w:rPr>
              <w:t>0.007</w:t>
            </w:r>
          </w:p>
        </w:tc>
        <w:tc>
          <w:tcPr>
            <w:tcW w:w="873" w:type="dxa"/>
          </w:tcPr>
          <w:p w:rsidR="00765F11" w:rsidRPr="00E526BD" w:rsidP="00765F11">
            <w:pPr>
              <w:pStyle w:val="TableParagraph"/>
              <w:spacing w:before="43"/>
              <w:ind w:left="16"/>
              <w:rPr>
                <w:sz w:val="15"/>
              </w:rPr>
            </w:pPr>
            <w:r w:rsidRPr="00E526BD">
              <w:rPr>
                <w:w w:val="105"/>
                <w:sz w:val="15"/>
              </w:rPr>
              <w:t>0.000</w:t>
            </w:r>
          </w:p>
        </w:tc>
        <w:tc>
          <w:tcPr>
            <w:tcW w:w="873" w:type="dxa"/>
          </w:tcPr>
          <w:p w:rsidR="00765F11" w:rsidRPr="00E526BD" w:rsidP="00765F11">
            <w:pPr>
              <w:pStyle w:val="TableParagraph"/>
              <w:spacing w:before="43"/>
              <w:ind w:left="16"/>
              <w:rPr>
                <w:sz w:val="15"/>
              </w:rPr>
            </w:pPr>
            <w:r w:rsidRPr="00E526BD">
              <w:rPr>
                <w:w w:val="105"/>
                <w:sz w:val="15"/>
              </w:rPr>
              <w:t>0.000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spacing w:before="16"/>
              <w:ind w:left="23"/>
              <w:jc w:val="left"/>
              <w:rPr>
                <w:sz w:val="8"/>
              </w:rPr>
            </w:pPr>
            <w:r w:rsidRPr="00E526BD">
              <w:rPr>
                <w:w w:val="105"/>
                <w:sz w:val="8"/>
              </w:rPr>
              <w:t>Other persons not on platforms</w:t>
            </w:r>
          </w:p>
        </w:tc>
        <w:tc>
          <w:tcPr>
            <w:tcW w:w="873" w:type="dxa"/>
          </w:tcPr>
          <w:p w:rsidR="00765F11" w:rsidRPr="00E526BD" w:rsidP="00765F11">
            <w:pPr>
              <w:pStyle w:val="TableParagraph"/>
              <w:spacing w:before="43"/>
              <w:ind w:left="24"/>
              <w:rPr>
                <w:sz w:val="15"/>
              </w:rPr>
            </w:pPr>
            <w:r w:rsidRPr="00E526BD">
              <w:rPr>
                <w:w w:val="103"/>
                <w:sz w:val="15"/>
              </w:rPr>
              <w:t>0</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3"/>
              <w:rPr>
                <w:sz w:val="15"/>
              </w:rPr>
            </w:pPr>
            <w:r w:rsidRPr="00E526BD">
              <w:rPr>
                <w:w w:val="103"/>
                <w:sz w:val="15"/>
              </w:rPr>
              <w:t>0</w:t>
            </w:r>
          </w:p>
        </w:tc>
        <w:tc>
          <w:tcPr>
            <w:tcW w:w="873" w:type="dxa"/>
          </w:tcPr>
          <w:p w:rsidR="00765F11" w:rsidRPr="00E526BD" w:rsidP="00765F11">
            <w:pPr>
              <w:pStyle w:val="TableParagraph"/>
              <w:spacing w:before="43"/>
              <w:ind w:left="22"/>
              <w:rPr>
                <w:sz w:val="15"/>
              </w:rPr>
            </w:pPr>
            <w:r w:rsidRPr="00E526BD">
              <w:rPr>
                <w:w w:val="103"/>
                <w:sz w:val="15"/>
              </w:rPr>
              <w:t>0</w:t>
            </w:r>
          </w:p>
        </w:tc>
        <w:tc>
          <w:tcPr>
            <w:tcW w:w="873" w:type="dxa"/>
          </w:tcPr>
          <w:p w:rsidR="00765F11" w:rsidRPr="00E526BD" w:rsidP="00765F11">
            <w:pPr>
              <w:pStyle w:val="TableParagraph"/>
              <w:spacing w:before="43"/>
              <w:ind w:left="21"/>
              <w:rPr>
                <w:sz w:val="15"/>
              </w:rPr>
            </w:pPr>
            <w:r w:rsidRPr="00E526BD">
              <w:rPr>
                <w:w w:val="103"/>
                <w:sz w:val="15"/>
              </w:rPr>
              <w:t>0</w:t>
            </w:r>
          </w:p>
        </w:tc>
        <w:tc>
          <w:tcPr>
            <w:tcW w:w="873" w:type="dxa"/>
          </w:tcPr>
          <w:p w:rsidR="00765F11" w:rsidRPr="00E526BD" w:rsidP="00765F11">
            <w:pPr>
              <w:pStyle w:val="TableParagraph"/>
              <w:spacing w:before="43"/>
              <w:ind w:left="21"/>
              <w:rPr>
                <w:sz w:val="15"/>
              </w:rPr>
            </w:pPr>
            <w:r w:rsidRPr="00E526BD">
              <w:rPr>
                <w:w w:val="103"/>
                <w:sz w:val="15"/>
              </w:rPr>
              <w:t>0</w:t>
            </w:r>
          </w:p>
        </w:tc>
        <w:tc>
          <w:tcPr>
            <w:tcW w:w="873" w:type="dxa"/>
          </w:tcPr>
          <w:p w:rsidR="00765F11" w:rsidRPr="00E526BD" w:rsidP="00765F11">
            <w:pPr>
              <w:pStyle w:val="TableParagraph"/>
              <w:spacing w:before="43"/>
              <w:ind w:left="20"/>
              <w:rPr>
                <w:sz w:val="15"/>
              </w:rPr>
            </w:pPr>
            <w:r w:rsidRPr="00E526BD">
              <w:rPr>
                <w:w w:val="103"/>
                <w:sz w:val="15"/>
              </w:rPr>
              <w:t>0</w:t>
            </w:r>
          </w:p>
        </w:tc>
        <w:tc>
          <w:tcPr>
            <w:tcW w:w="873" w:type="dxa"/>
          </w:tcPr>
          <w:p w:rsidR="00765F11" w:rsidRPr="00E526BD" w:rsidP="00765F11">
            <w:pPr>
              <w:pStyle w:val="TableParagraph"/>
              <w:spacing w:before="43"/>
              <w:ind w:left="19"/>
              <w:rPr>
                <w:sz w:val="15"/>
              </w:rPr>
            </w:pPr>
            <w:r w:rsidRPr="00E526BD">
              <w:rPr>
                <w:w w:val="103"/>
                <w:sz w:val="15"/>
              </w:rPr>
              <w:t>0</w:t>
            </w:r>
          </w:p>
        </w:tc>
      </w:tr>
      <w:tr w:rsidTr="00765F11">
        <w:tblPrEx>
          <w:tblW w:w="0" w:type="auto"/>
          <w:tblInd w:w="335" w:type="dxa"/>
          <w:tblLayout w:type="fixed"/>
          <w:tblCellMar>
            <w:left w:w="0" w:type="dxa"/>
            <w:right w:w="0" w:type="dxa"/>
          </w:tblCellMar>
          <w:tblLook w:val="01E0"/>
        </w:tblPrEx>
        <w:trPr>
          <w:trHeight w:val="359"/>
        </w:trPr>
        <w:tc>
          <w:tcPr>
            <w:tcW w:w="1787" w:type="dxa"/>
            <w:vAlign w:val="center"/>
          </w:tcPr>
          <w:p w:rsidR="00765F11" w:rsidRPr="00E526BD" w:rsidP="00765F11">
            <w:pPr>
              <w:pStyle w:val="TableParagraph"/>
              <w:spacing w:before="16" w:line="297" w:lineRule="auto"/>
              <w:ind w:left="23" w:right="64"/>
              <w:jc w:val="left"/>
              <w:rPr>
                <w:sz w:val="8"/>
              </w:rPr>
            </w:pPr>
            <w:r w:rsidRPr="00E526BD">
              <w:rPr>
                <w:w w:val="105"/>
                <w:sz w:val="8"/>
              </w:rPr>
              <w:t xml:space="preserve">Average number of </w:t>
            </w:r>
            <w:r w:rsidRPr="00E526BD">
              <w:rPr>
                <w:w w:val="105"/>
                <w:sz w:val="8"/>
              </w:rPr>
              <w:t>other fatalities not on platforms</w:t>
            </w:r>
          </w:p>
        </w:tc>
        <w:tc>
          <w:tcPr>
            <w:tcW w:w="873" w:type="dxa"/>
          </w:tcPr>
          <w:p w:rsidR="00765F11" w:rsidRPr="00E526BD" w:rsidP="00765F11">
            <w:pPr>
              <w:pStyle w:val="TableParagraph"/>
              <w:spacing w:before="95"/>
              <w:ind w:left="20"/>
              <w:rPr>
                <w:sz w:val="15"/>
              </w:rPr>
            </w:pPr>
            <w:r w:rsidRPr="00E526BD">
              <w:rPr>
                <w:w w:val="105"/>
                <w:sz w:val="15"/>
              </w:rPr>
              <w:t>0.000</w:t>
            </w:r>
          </w:p>
        </w:tc>
        <w:tc>
          <w:tcPr>
            <w:tcW w:w="873" w:type="dxa"/>
          </w:tcPr>
          <w:p w:rsidR="00765F11" w:rsidRPr="00E526BD" w:rsidP="00765F11">
            <w:pPr>
              <w:pStyle w:val="TableParagraph"/>
              <w:spacing w:before="95"/>
              <w:ind w:left="20"/>
              <w:rPr>
                <w:sz w:val="15"/>
              </w:rPr>
            </w:pPr>
            <w:r w:rsidRPr="00E526BD">
              <w:rPr>
                <w:w w:val="105"/>
                <w:sz w:val="15"/>
              </w:rPr>
              <w:t>0.000</w:t>
            </w:r>
          </w:p>
        </w:tc>
        <w:tc>
          <w:tcPr>
            <w:tcW w:w="873" w:type="dxa"/>
          </w:tcPr>
          <w:p w:rsidR="00765F11" w:rsidRPr="00E526BD" w:rsidP="00765F11">
            <w:pPr>
              <w:pStyle w:val="TableParagraph"/>
              <w:spacing w:before="95"/>
              <w:ind w:left="19"/>
              <w:rPr>
                <w:sz w:val="15"/>
              </w:rPr>
            </w:pPr>
            <w:r w:rsidRPr="00E526BD">
              <w:rPr>
                <w:w w:val="105"/>
                <w:sz w:val="15"/>
              </w:rPr>
              <w:t>0.000</w:t>
            </w:r>
          </w:p>
        </w:tc>
        <w:tc>
          <w:tcPr>
            <w:tcW w:w="873" w:type="dxa"/>
          </w:tcPr>
          <w:p w:rsidR="00765F11" w:rsidRPr="00E526BD" w:rsidP="00765F11">
            <w:pPr>
              <w:pStyle w:val="TableParagraph"/>
              <w:spacing w:before="95"/>
              <w:ind w:left="18"/>
              <w:rPr>
                <w:sz w:val="15"/>
              </w:rPr>
            </w:pPr>
            <w:r w:rsidRPr="00E526BD">
              <w:rPr>
                <w:w w:val="105"/>
                <w:sz w:val="15"/>
              </w:rPr>
              <w:t>0.000</w:t>
            </w:r>
          </w:p>
        </w:tc>
        <w:tc>
          <w:tcPr>
            <w:tcW w:w="873" w:type="dxa"/>
          </w:tcPr>
          <w:p w:rsidR="00765F11" w:rsidRPr="00E526BD" w:rsidP="00765F11">
            <w:pPr>
              <w:pStyle w:val="TableParagraph"/>
              <w:spacing w:before="95"/>
              <w:ind w:left="18"/>
              <w:rPr>
                <w:sz w:val="15"/>
              </w:rPr>
            </w:pPr>
            <w:r w:rsidRPr="00E526BD">
              <w:rPr>
                <w:w w:val="105"/>
                <w:sz w:val="15"/>
              </w:rPr>
              <w:t>0.000</w:t>
            </w:r>
          </w:p>
        </w:tc>
        <w:tc>
          <w:tcPr>
            <w:tcW w:w="873" w:type="dxa"/>
          </w:tcPr>
          <w:p w:rsidR="00765F11" w:rsidRPr="00E526BD" w:rsidP="00765F11">
            <w:pPr>
              <w:pStyle w:val="TableParagraph"/>
              <w:spacing w:before="95"/>
              <w:ind w:left="17"/>
              <w:rPr>
                <w:sz w:val="15"/>
              </w:rPr>
            </w:pPr>
            <w:r w:rsidRPr="00E526BD">
              <w:rPr>
                <w:w w:val="105"/>
                <w:sz w:val="15"/>
              </w:rPr>
              <w:t>0.000</w:t>
            </w:r>
          </w:p>
        </w:tc>
        <w:tc>
          <w:tcPr>
            <w:tcW w:w="873" w:type="dxa"/>
          </w:tcPr>
          <w:p w:rsidR="00765F11" w:rsidRPr="00E526BD" w:rsidP="00765F11">
            <w:pPr>
              <w:pStyle w:val="TableParagraph"/>
              <w:spacing w:before="95"/>
              <w:ind w:left="16"/>
              <w:rPr>
                <w:sz w:val="15"/>
              </w:rPr>
            </w:pPr>
            <w:r w:rsidRPr="00E526BD">
              <w:rPr>
                <w:w w:val="105"/>
                <w:sz w:val="15"/>
              </w:rPr>
              <w:t>0.000</w:t>
            </w:r>
          </w:p>
        </w:tc>
        <w:tc>
          <w:tcPr>
            <w:tcW w:w="873" w:type="dxa"/>
          </w:tcPr>
          <w:p w:rsidR="00765F11" w:rsidRPr="00E526BD" w:rsidP="00765F11">
            <w:pPr>
              <w:pStyle w:val="TableParagraph"/>
              <w:spacing w:before="95"/>
              <w:ind w:left="16"/>
              <w:rPr>
                <w:sz w:val="15"/>
              </w:rPr>
            </w:pPr>
            <w:r w:rsidRPr="00E526BD">
              <w:rPr>
                <w:w w:val="105"/>
                <w:sz w:val="15"/>
              </w:rPr>
              <w:t>0.000</w:t>
            </w:r>
          </w:p>
        </w:tc>
      </w:tr>
    </w:tbl>
    <w:p w:rsidR="00765F11" w:rsidRPr="00E526BD" w:rsidP="00765F11">
      <w:pPr>
        <w:rPr>
          <w:sz w:val="8"/>
        </w:rPr>
      </w:pPr>
    </w:p>
    <w:p w:rsidR="00765F11" w:rsidRPr="00E526BD" w:rsidP="00765F11">
      <w:pPr>
        <w:rPr>
          <w:sz w:val="8"/>
        </w:rPr>
      </w:pPr>
    </w:p>
    <w:p w:rsidR="00765F11" w:rsidRPr="00E526BD" w:rsidP="00765F11">
      <w:pPr>
        <w:rPr>
          <w:sz w:val="8"/>
        </w:rPr>
      </w:pPr>
    </w:p>
    <w:p w:rsidR="00765F11" w:rsidRPr="00E526BD" w:rsidP="005B7DBD">
      <w:pPr>
        <w:pStyle w:val="Style1"/>
        <w:ind w:left="284" w:hanging="176"/>
        <w:outlineLvl w:val="9"/>
      </w:pPr>
      <w:r w:rsidRPr="00E526BD">
        <w:t>Indicators relating to dangerous goods</w:t>
      </w:r>
    </w:p>
    <w:p w:rsidR="00765F11" w:rsidRPr="00E526BD" w:rsidP="00765F11">
      <w:pPr>
        <w:spacing w:before="4"/>
        <w:rPr>
          <w:b/>
          <w:sz w:val="9"/>
        </w:rPr>
      </w:pPr>
    </w:p>
    <w:p w:rsidR="00765F11" w:rsidRPr="00E526BD" w:rsidP="00765F11">
      <w:pPr>
        <w:pStyle w:val="BodyText"/>
        <w:spacing w:before="101" w:line="283" w:lineRule="auto"/>
        <w:ind w:left="358" w:right="1459"/>
      </w:pPr>
      <w:r w:rsidRPr="00E526BD">
        <w:t xml:space="preserve">Total number and average number (per million train-kilometres) of accidents in relation to the transport of dangerous goods, </w:t>
      </w:r>
      <w:r w:rsidRPr="00E526BD">
        <w:t>broken down into the following categories</w:t>
      </w:r>
    </w:p>
    <w:p w:rsidR="00765F11" w:rsidRPr="00E526BD" w:rsidP="00765F11">
      <w:pPr>
        <w:spacing w:before="4"/>
        <w:rPr>
          <w:b/>
          <w:sz w:val="13"/>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7"/>
        <w:gridCol w:w="873"/>
        <w:gridCol w:w="873"/>
      </w:tblGrid>
      <w:tr w:rsidTr="00765F11">
        <w:tblPrEx>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71"/>
        </w:trPr>
        <w:tc>
          <w:tcPr>
            <w:tcW w:w="1787" w:type="dxa"/>
            <w:tcBorders>
              <w:top w:val="nil"/>
              <w:left w:val="nil"/>
            </w:tcBorders>
          </w:tcPr>
          <w:p w:rsidR="00765F11" w:rsidRPr="00E526BD" w:rsidP="00765F11">
            <w:pPr>
              <w:pStyle w:val="TableParagraph"/>
              <w:jc w:val="left"/>
              <w:rPr>
                <w:rFonts w:ascii="Times New Roman"/>
                <w:sz w:val="10"/>
              </w:rPr>
            </w:pPr>
          </w:p>
        </w:tc>
        <w:tc>
          <w:tcPr>
            <w:tcW w:w="873" w:type="dxa"/>
            <w:vAlign w:val="center"/>
          </w:tcPr>
          <w:p w:rsidR="00765F11" w:rsidRPr="00E526BD" w:rsidP="00E526BD">
            <w:pPr>
              <w:pStyle w:val="TableParagraph"/>
              <w:spacing w:before="5" w:line="297" w:lineRule="auto"/>
              <w:ind w:left="57" w:firstLine="18"/>
              <w:rPr>
                <w:sz w:val="8"/>
              </w:rPr>
            </w:pPr>
            <w:r w:rsidRPr="00E526BD">
              <w:rPr>
                <w:w w:val="105"/>
                <w:sz w:val="8"/>
              </w:rPr>
              <w:t>Accidents in which at least one rail vehicle carrying dangerous goods was involved</w:t>
            </w:r>
          </w:p>
        </w:tc>
        <w:tc>
          <w:tcPr>
            <w:tcW w:w="873" w:type="dxa"/>
            <w:vAlign w:val="center"/>
          </w:tcPr>
          <w:p w:rsidR="00765F11" w:rsidRPr="00E526BD" w:rsidP="00E526BD">
            <w:pPr>
              <w:pStyle w:val="TableParagraph"/>
              <w:spacing w:line="297" w:lineRule="auto"/>
              <w:ind w:left="57" w:firstLine="20"/>
              <w:rPr>
                <w:sz w:val="8"/>
              </w:rPr>
            </w:pPr>
            <w:r w:rsidRPr="00E526BD">
              <w:rPr>
                <w:w w:val="105"/>
                <w:sz w:val="8"/>
              </w:rPr>
              <w:t>Accidents in which dangerous goods were released</w:t>
            </w:r>
          </w:p>
        </w:tc>
      </w:tr>
      <w:tr w:rsidTr="00566FE9">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566FE9">
            <w:pPr>
              <w:pStyle w:val="TableParagraph"/>
              <w:ind w:left="23"/>
              <w:jc w:val="left"/>
              <w:rPr>
                <w:sz w:val="8"/>
              </w:rPr>
            </w:pPr>
            <w:r w:rsidRPr="00E526BD">
              <w:rPr>
                <w:w w:val="105"/>
                <w:sz w:val="8"/>
              </w:rPr>
              <w:t>Total</w:t>
            </w:r>
          </w:p>
        </w:tc>
        <w:tc>
          <w:tcPr>
            <w:tcW w:w="873" w:type="dxa"/>
          </w:tcPr>
          <w:p w:rsidR="00765F11" w:rsidRPr="00E526BD" w:rsidP="00765F11">
            <w:pPr>
              <w:pStyle w:val="TableParagraph"/>
              <w:spacing w:before="44"/>
              <w:ind w:left="23"/>
              <w:rPr>
                <w:sz w:val="15"/>
              </w:rPr>
            </w:pPr>
            <w:r w:rsidRPr="00E526BD">
              <w:rPr>
                <w:w w:val="103"/>
                <w:sz w:val="15"/>
              </w:rPr>
              <w:t>2</w:t>
            </w:r>
          </w:p>
        </w:tc>
        <w:tc>
          <w:tcPr>
            <w:tcW w:w="873" w:type="dxa"/>
          </w:tcPr>
          <w:p w:rsidR="00765F11" w:rsidRPr="00E526BD" w:rsidP="00765F11">
            <w:pPr>
              <w:pStyle w:val="TableParagraph"/>
              <w:spacing w:before="44"/>
              <w:ind w:left="22"/>
              <w:rPr>
                <w:sz w:val="15"/>
              </w:rPr>
            </w:pPr>
            <w:r w:rsidRPr="00E526BD">
              <w:rPr>
                <w:w w:val="103"/>
                <w:sz w:val="15"/>
              </w:rPr>
              <w:t>8</w:t>
            </w:r>
          </w:p>
        </w:tc>
      </w:tr>
      <w:tr w:rsidTr="00765F11">
        <w:tblPrEx>
          <w:tblW w:w="0" w:type="auto"/>
          <w:tblInd w:w="335" w:type="dxa"/>
          <w:tblLayout w:type="fixed"/>
          <w:tblCellMar>
            <w:left w:w="0" w:type="dxa"/>
            <w:right w:w="0" w:type="dxa"/>
          </w:tblCellMar>
          <w:tblLook w:val="01E0"/>
        </w:tblPrEx>
        <w:trPr>
          <w:trHeight w:val="255"/>
        </w:trPr>
        <w:tc>
          <w:tcPr>
            <w:tcW w:w="1787" w:type="dxa"/>
          </w:tcPr>
          <w:p w:rsidR="00765F11" w:rsidRPr="00E526BD" w:rsidP="00566FE9">
            <w:pPr>
              <w:pStyle w:val="TableParagraph"/>
              <w:spacing w:before="8" w:line="110" w:lineRule="atLeast"/>
              <w:ind w:left="57" w:right="57"/>
              <w:jc w:val="left"/>
              <w:rPr>
                <w:sz w:val="8"/>
              </w:rPr>
            </w:pPr>
            <w:r w:rsidRPr="00E526BD">
              <w:rPr>
                <w:sz w:val="8"/>
              </w:rPr>
              <w:t>Average number</w:t>
            </w:r>
          </w:p>
        </w:tc>
        <w:tc>
          <w:tcPr>
            <w:tcW w:w="873" w:type="dxa"/>
          </w:tcPr>
          <w:p w:rsidR="00765F11" w:rsidRPr="00E526BD" w:rsidP="00765F11">
            <w:pPr>
              <w:pStyle w:val="TableParagraph"/>
              <w:spacing w:before="44"/>
              <w:ind w:left="19"/>
              <w:rPr>
                <w:sz w:val="15"/>
              </w:rPr>
            </w:pPr>
            <w:r w:rsidRPr="00E526BD">
              <w:rPr>
                <w:w w:val="105"/>
                <w:sz w:val="15"/>
              </w:rPr>
              <w:t>0.002</w:t>
            </w:r>
          </w:p>
        </w:tc>
        <w:tc>
          <w:tcPr>
            <w:tcW w:w="873" w:type="dxa"/>
          </w:tcPr>
          <w:p w:rsidR="00765F11" w:rsidRPr="00E526BD" w:rsidP="00765F11">
            <w:pPr>
              <w:pStyle w:val="TableParagraph"/>
              <w:spacing w:before="44"/>
              <w:ind w:left="19"/>
              <w:rPr>
                <w:sz w:val="15"/>
              </w:rPr>
            </w:pPr>
            <w:r w:rsidRPr="00E526BD">
              <w:rPr>
                <w:w w:val="105"/>
                <w:sz w:val="15"/>
              </w:rPr>
              <w:t>0.007</w:t>
            </w:r>
          </w:p>
        </w:tc>
      </w:tr>
    </w:tbl>
    <w:p w:rsidR="00765F11" w:rsidRPr="00E526BD" w:rsidP="00765F11">
      <w:pPr>
        <w:rPr>
          <w:b/>
          <w:sz w:val="14"/>
        </w:rPr>
      </w:pPr>
    </w:p>
    <w:p w:rsidR="00765F11" w:rsidRPr="00E526BD" w:rsidP="00765F11">
      <w:pPr>
        <w:spacing w:before="4"/>
        <w:rPr>
          <w:b/>
          <w:sz w:val="15"/>
        </w:rPr>
      </w:pPr>
    </w:p>
    <w:p w:rsidR="00765F11" w:rsidRPr="00E526BD" w:rsidP="005B7DBD">
      <w:pPr>
        <w:pStyle w:val="Style1"/>
        <w:ind w:left="284" w:hanging="176"/>
        <w:outlineLvl w:val="9"/>
      </w:pPr>
      <w:r w:rsidRPr="00E526BD">
        <w:t>Indicators relating to suicides</w:t>
      </w:r>
    </w:p>
    <w:p w:rsidR="00765F11" w:rsidRPr="00E526BD" w:rsidP="00765F11">
      <w:pPr>
        <w:spacing w:before="3"/>
        <w:rPr>
          <w:b/>
          <w:sz w:val="9"/>
        </w:rPr>
      </w:pPr>
    </w:p>
    <w:p w:rsidR="00765F11" w:rsidRPr="00E526BD" w:rsidP="00765F11">
      <w:pPr>
        <w:pStyle w:val="BodyText"/>
        <w:spacing w:before="101"/>
        <w:ind w:left="358"/>
      </w:pPr>
      <w:r w:rsidRPr="00E526BD">
        <w:t>Total</w:t>
      </w:r>
      <w:r w:rsidRPr="00E526BD">
        <w:t xml:space="preserve"> and average number (per million train-kilometres) of suicides</w:t>
      </w:r>
    </w:p>
    <w:p w:rsidR="00765F11" w:rsidRPr="00E526BD" w:rsidP="00765F11">
      <w:pPr>
        <w:spacing w:before="8"/>
        <w:rPr>
          <w:b/>
          <w:sz w:val="15"/>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7"/>
        <w:gridCol w:w="873"/>
        <w:gridCol w:w="873"/>
      </w:tblGrid>
      <w:tr w:rsidTr="00765F11">
        <w:tblPrEx>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55"/>
        </w:trPr>
        <w:tc>
          <w:tcPr>
            <w:tcW w:w="1787" w:type="dxa"/>
            <w:tcBorders>
              <w:top w:val="nil"/>
              <w:left w:val="nil"/>
            </w:tcBorders>
          </w:tcPr>
          <w:p w:rsidR="00765F11" w:rsidRPr="00E526BD" w:rsidP="00765F11">
            <w:pPr>
              <w:pStyle w:val="TableParagraph"/>
              <w:jc w:val="left"/>
              <w:rPr>
                <w:rFonts w:ascii="Times New Roman"/>
                <w:sz w:val="10"/>
              </w:rPr>
            </w:pPr>
          </w:p>
        </w:tc>
        <w:tc>
          <w:tcPr>
            <w:tcW w:w="873" w:type="dxa"/>
            <w:vAlign w:val="center"/>
          </w:tcPr>
          <w:p w:rsidR="00765F11" w:rsidRPr="00E526BD" w:rsidP="00765F11">
            <w:pPr>
              <w:pStyle w:val="TableParagraph"/>
              <w:rPr>
                <w:sz w:val="8"/>
              </w:rPr>
            </w:pPr>
            <w:r w:rsidRPr="00E526BD">
              <w:rPr>
                <w:sz w:val="8"/>
              </w:rPr>
              <w:t>Suicides</w:t>
            </w:r>
          </w:p>
        </w:tc>
        <w:tc>
          <w:tcPr>
            <w:tcW w:w="873" w:type="dxa"/>
            <w:vAlign w:val="center"/>
          </w:tcPr>
          <w:p w:rsidR="00765F11" w:rsidRPr="00E526BD" w:rsidP="00765F11">
            <w:pPr>
              <w:pStyle w:val="TableParagraph"/>
              <w:rPr>
                <w:sz w:val="8"/>
              </w:rPr>
            </w:pPr>
            <w:r w:rsidRPr="00E526BD">
              <w:rPr>
                <w:sz w:val="8"/>
              </w:rPr>
              <w:t>Suicide attempts</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Total</w:t>
            </w:r>
          </w:p>
        </w:tc>
        <w:tc>
          <w:tcPr>
            <w:tcW w:w="873" w:type="dxa"/>
          </w:tcPr>
          <w:p w:rsidR="00765F11" w:rsidRPr="00E526BD" w:rsidP="00765F11">
            <w:pPr>
              <w:pStyle w:val="TableParagraph"/>
              <w:spacing w:before="44"/>
              <w:ind w:right="292"/>
              <w:jc w:val="right"/>
              <w:rPr>
                <w:sz w:val="15"/>
              </w:rPr>
            </w:pPr>
            <w:r w:rsidRPr="00E526BD">
              <w:rPr>
                <w:sz w:val="15"/>
              </w:rPr>
              <w:t>771</w:t>
            </w:r>
          </w:p>
        </w:tc>
        <w:tc>
          <w:tcPr>
            <w:tcW w:w="873" w:type="dxa"/>
          </w:tcPr>
          <w:p w:rsidR="00765F11" w:rsidRPr="00E526BD" w:rsidP="00765F11">
            <w:pPr>
              <w:pStyle w:val="TableParagraph"/>
              <w:spacing w:before="44"/>
              <w:ind w:left="19"/>
              <w:rPr>
                <w:sz w:val="15"/>
              </w:rPr>
            </w:pPr>
            <w:r w:rsidRPr="00E526BD">
              <w:rPr>
                <w:w w:val="105"/>
                <w:sz w:val="15"/>
              </w:rPr>
              <w:t>97</w:t>
            </w:r>
          </w:p>
        </w:tc>
      </w:tr>
      <w:tr w:rsidTr="00765F11">
        <w:tblPrEx>
          <w:tblW w:w="0" w:type="auto"/>
          <w:tblInd w:w="335" w:type="dxa"/>
          <w:tblLayout w:type="fixed"/>
          <w:tblCellMar>
            <w:left w:w="0" w:type="dxa"/>
            <w:right w:w="0" w:type="dxa"/>
          </w:tblCellMar>
          <w:tblLook w:val="01E0"/>
        </w:tblPrEx>
        <w:trPr>
          <w:trHeight w:val="255"/>
        </w:trPr>
        <w:tc>
          <w:tcPr>
            <w:tcW w:w="1787" w:type="dxa"/>
          </w:tcPr>
          <w:p w:rsidR="00765F11" w:rsidRPr="00E526BD" w:rsidP="00765F11">
            <w:pPr>
              <w:pStyle w:val="TableParagraph"/>
              <w:spacing w:before="8" w:line="110" w:lineRule="atLeast"/>
              <w:ind w:left="23" w:right="996"/>
              <w:jc w:val="left"/>
              <w:rPr>
                <w:sz w:val="8"/>
              </w:rPr>
            </w:pPr>
            <w:r w:rsidRPr="00E526BD">
              <w:rPr>
                <w:sz w:val="8"/>
              </w:rPr>
              <w:t>Average number</w:t>
            </w:r>
          </w:p>
        </w:tc>
        <w:tc>
          <w:tcPr>
            <w:tcW w:w="873" w:type="dxa"/>
          </w:tcPr>
          <w:p w:rsidR="00765F11" w:rsidRPr="00E526BD" w:rsidP="00765F11">
            <w:pPr>
              <w:pStyle w:val="TableParagraph"/>
              <w:spacing w:before="44"/>
              <w:ind w:right="230"/>
              <w:jc w:val="right"/>
              <w:rPr>
                <w:sz w:val="15"/>
              </w:rPr>
            </w:pPr>
            <w:r w:rsidRPr="00E526BD">
              <w:rPr>
                <w:sz w:val="15"/>
              </w:rPr>
              <w:t>0.719</w:t>
            </w:r>
          </w:p>
        </w:tc>
        <w:tc>
          <w:tcPr>
            <w:tcW w:w="873" w:type="dxa"/>
          </w:tcPr>
          <w:p w:rsidR="00765F11" w:rsidRPr="00E526BD" w:rsidP="00765F11">
            <w:pPr>
              <w:pStyle w:val="TableParagraph"/>
              <w:spacing w:before="44"/>
              <w:ind w:left="19"/>
              <w:rPr>
                <w:sz w:val="15"/>
              </w:rPr>
            </w:pPr>
            <w:r w:rsidRPr="00E526BD">
              <w:rPr>
                <w:w w:val="105"/>
                <w:sz w:val="15"/>
              </w:rPr>
              <w:t>0.090</w:t>
            </w:r>
          </w:p>
        </w:tc>
      </w:tr>
    </w:tbl>
    <w:p w:rsidR="00765F11" w:rsidRPr="00E526BD" w:rsidP="00765F11">
      <w:pPr>
        <w:rPr>
          <w:b/>
          <w:sz w:val="14"/>
        </w:rPr>
      </w:pPr>
    </w:p>
    <w:p w:rsidR="00765F11" w:rsidRPr="00E526BD" w:rsidP="005B7DBD">
      <w:pPr>
        <w:pStyle w:val="Style1"/>
        <w:ind w:left="284" w:hanging="176"/>
        <w:outlineLvl w:val="9"/>
      </w:pPr>
      <w:r w:rsidRPr="00E526BD">
        <w:t>Indicators relating to incidents and near misses</w:t>
      </w:r>
    </w:p>
    <w:p w:rsidR="00765F11" w:rsidRPr="00E526BD" w:rsidP="00765F11">
      <w:pPr>
        <w:spacing w:before="4"/>
        <w:rPr>
          <w:b/>
          <w:sz w:val="9"/>
        </w:rPr>
      </w:pPr>
    </w:p>
    <w:p w:rsidR="00765F11" w:rsidRPr="00E526BD" w:rsidP="00765F11">
      <w:pPr>
        <w:pStyle w:val="BodyText"/>
        <w:spacing w:before="101" w:line="283" w:lineRule="auto"/>
        <w:ind w:left="358" w:right="109"/>
      </w:pPr>
      <w:r w:rsidRPr="00E526BD">
        <w:t xml:space="preserve">Total number and average number (per million train-kilometres) of </w:t>
      </w:r>
      <w:r w:rsidRPr="00E526BD">
        <w:t>incidents and near misses, broken down into the following categories</w:t>
      </w:r>
    </w:p>
    <w:p w:rsidR="00765F11" w:rsidRPr="00E526BD" w:rsidP="00765F11">
      <w:pPr>
        <w:spacing w:before="4"/>
        <w:rPr>
          <w:b/>
          <w:sz w:val="13"/>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7"/>
        <w:gridCol w:w="873"/>
        <w:gridCol w:w="873"/>
        <w:gridCol w:w="873"/>
        <w:gridCol w:w="873"/>
        <w:gridCol w:w="873"/>
        <w:gridCol w:w="873"/>
        <w:gridCol w:w="873"/>
        <w:gridCol w:w="873"/>
      </w:tblGrid>
      <w:tr w:rsidTr="00765F11">
        <w:tblPrEx>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7"/>
        </w:trPr>
        <w:tc>
          <w:tcPr>
            <w:tcW w:w="1787" w:type="dxa"/>
            <w:tcBorders>
              <w:top w:val="nil"/>
              <w:left w:val="nil"/>
            </w:tcBorders>
          </w:tcPr>
          <w:p w:rsidR="00765F11" w:rsidRPr="00E526BD" w:rsidP="00E526BD">
            <w:pPr>
              <w:pStyle w:val="TableParagraph"/>
              <w:ind w:left="57"/>
              <w:jc w:val="left"/>
              <w:rPr>
                <w:sz w:val="8"/>
              </w:rPr>
            </w:pPr>
          </w:p>
        </w:tc>
        <w:tc>
          <w:tcPr>
            <w:tcW w:w="873" w:type="dxa"/>
            <w:vAlign w:val="center"/>
          </w:tcPr>
          <w:p w:rsidR="00765F11" w:rsidRPr="00E526BD" w:rsidP="00E526BD">
            <w:pPr>
              <w:pStyle w:val="TableParagraph"/>
              <w:spacing w:line="297" w:lineRule="auto"/>
              <w:ind w:left="57"/>
              <w:rPr>
                <w:sz w:val="8"/>
              </w:rPr>
            </w:pPr>
            <w:r w:rsidRPr="00E526BD">
              <w:rPr>
                <w:sz w:val="8"/>
              </w:rPr>
              <w:t>All incidents and near misses</w:t>
            </w:r>
          </w:p>
        </w:tc>
        <w:tc>
          <w:tcPr>
            <w:tcW w:w="873" w:type="dxa"/>
            <w:vAlign w:val="center"/>
          </w:tcPr>
          <w:p w:rsidR="00765F11" w:rsidRPr="00E526BD" w:rsidP="00E526BD">
            <w:pPr>
              <w:pStyle w:val="TableParagraph"/>
              <w:spacing w:line="298" w:lineRule="auto"/>
              <w:ind w:left="57" w:right="57"/>
              <w:rPr>
                <w:sz w:val="8"/>
              </w:rPr>
            </w:pPr>
            <w:r w:rsidRPr="00E526BD">
              <w:rPr>
                <w:sz w:val="8"/>
              </w:rPr>
              <w:t>Broken rails (only EIU)</w:t>
            </w:r>
          </w:p>
        </w:tc>
        <w:tc>
          <w:tcPr>
            <w:tcW w:w="873" w:type="dxa"/>
            <w:vAlign w:val="center"/>
          </w:tcPr>
          <w:p w:rsidR="00765F11" w:rsidRPr="00E526BD" w:rsidP="00E526BD">
            <w:pPr>
              <w:pStyle w:val="TableParagraph"/>
              <w:spacing w:before="16" w:line="297" w:lineRule="auto"/>
              <w:ind w:left="57" w:firstLine="20"/>
              <w:rPr>
                <w:sz w:val="8"/>
              </w:rPr>
            </w:pPr>
            <w:r w:rsidRPr="00E526BD">
              <w:rPr>
                <w:sz w:val="8"/>
              </w:rPr>
              <w:t>Buckled rails and other track layout failures (only EIU)</w:t>
            </w:r>
          </w:p>
        </w:tc>
        <w:tc>
          <w:tcPr>
            <w:tcW w:w="873" w:type="dxa"/>
            <w:vAlign w:val="center"/>
          </w:tcPr>
          <w:p w:rsidR="00765F11" w:rsidRPr="00E526BD" w:rsidP="00E526BD">
            <w:pPr>
              <w:pStyle w:val="TableParagraph"/>
              <w:spacing w:line="297" w:lineRule="auto"/>
              <w:ind w:left="57" w:hanging="219"/>
              <w:rPr>
                <w:sz w:val="8"/>
              </w:rPr>
            </w:pPr>
            <w:r w:rsidRPr="00E526BD">
              <w:rPr>
                <w:sz w:val="8"/>
              </w:rPr>
              <w:t>Signalling errors (only EIU)</w:t>
            </w:r>
          </w:p>
        </w:tc>
        <w:tc>
          <w:tcPr>
            <w:tcW w:w="873" w:type="dxa"/>
            <w:vAlign w:val="center"/>
          </w:tcPr>
          <w:p w:rsidR="00765F11" w:rsidRPr="00E526BD" w:rsidP="00E526BD">
            <w:pPr>
              <w:pStyle w:val="TableParagraph"/>
              <w:spacing w:line="297" w:lineRule="auto"/>
              <w:ind w:left="57" w:hanging="5"/>
              <w:rPr>
                <w:sz w:val="8"/>
              </w:rPr>
            </w:pPr>
            <w:r w:rsidRPr="00E526BD">
              <w:rPr>
                <w:sz w:val="8"/>
              </w:rPr>
              <w:t xml:space="preserve">Signals passed at danger with the danger </w:t>
            </w:r>
            <w:r w:rsidRPr="00E526BD">
              <w:rPr>
                <w:sz w:val="8"/>
              </w:rPr>
              <w:t>point being reached</w:t>
            </w:r>
          </w:p>
        </w:tc>
        <w:tc>
          <w:tcPr>
            <w:tcW w:w="873" w:type="dxa"/>
            <w:vAlign w:val="center"/>
          </w:tcPr>
          <w:p w:rsidR="00765F11" w:rsidRPr="00E526BD" w:rsidP="00E526BD">
            <w:pPr>
              <w:pStyle w:val="TableParagraph"/>
              <w:spacing w:line="297" w:lineRule="auto"/>
              <w:ind w:left="57" w:hanging="17"/>
              <w:rPr>
                <w:sz w:val="8"/>
              </w:rPr>
            </w:pPr>
            <w:r w:rsidRPr="00E526BD">
              <w:rPr>
                <w:sz w:val="8"/>
              </w:rPr>
              <w:t>Signals passed at danger without the danger point being reached</w:t>
            </w:r>
          </w:p>
        </w:tc>
        <w:tc>
          <w:tcPr>
            <w:tcW w:w="873" w:type="dxa"/>
            <w:vAlign w:val="center"/>
          </w:tcPr>
          <w:p w:rsidR="00765F11" w:rsidRPr="00E526BD" w:rsidP="00E526BD">
            <w:pPr>
              <w:pStyle w:val="TableParagraph"/>
              <w:spacing w:before="60"/>
              <w:ind w:left="57"/>
              <w:rPr>
                <w:sz w:val="8"/>
              </w:rPr>
            </w:pPr>
            <w:r w:rsidRPr="00E526BD">
              <w:rPr>
                <w:sz w:val="8"/>
              </w:rPr>
              <w:t>Broken wheels</w:t>
            </w:r>
          </w:p>
        </w:tc>
        <w:tc>
          <w:tcPr>
            <w:tcW w:w="873" w:type="dxa"/>
            <w:vAlign w:val="center"/>
          </w:tcPr>
          <w:p w:rsidR="00765F11" w:rsidRPr="00E526BD" w:rsidP="00E526BD">
            <w:pPr>
              <w:pStyle w:val="TableParagraph"/>
              <w:ind w:left="57"/>
              <w:rPr>
                <w:sz w:val="8"/>
              </w:rPr>
            </w:pPr>
            <w:r w:rsidRPr="00E526BD">
              <w:rPr>
                <w:sz w:val="8"/>
              </w:rPr>
              <w:t>Axle and wheelset axle breakages</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Total</w:t>
            </w:r>
          </w:p>
        </w:tc>
        <w:tc>
          <w:tcPr>
            <w:tcW w:w="873" w:type="dxa"/>
          </w:tcPr>
          <w:p w:rsidR="00765F11" w:rsidRPr="00E526BD" w:rsidP="00765F11">
            <w:pPr>
              <w:pStyle w:val="TableParagraph"/>
              <w:spacing w:before="44"/>
              <w:ind w:right="292"/>
              <w:jc w:val="right"/>
              <w:rPr>
                <w:sz w:val="15"/>
              </w:rPr>
            </w:pPr>
            <w:r w:rsidRPr="00E526BD">
              <w:rPr>
                <w:sz w:val="15"/>
              </w:rPr>
              <w:t>845</w:t>
            </w:r>
          </w:p>
        </w:tc>
        <w:tc>
          <w:tcPr>
            <w:tcW w:w="873" w:type="dxa"/>
          </w:tcPr>
          <w:p w:rsidR="00765F11" w:rsidRPr="00E526BD" w:rsidP="00765F11">
            <w:pPr>
              <w:pStyle w:val="TableParagraph"/>
              <w:spacing w:before="44"/>
              <w:ind w:left="314"/>
              <w:jc w:val="left"/>
              <w:rPr>
                <w:sz w:val="15"/>
              </w:rPr>
            </w:pPr>
            <w:r w:rsidRPr="00E526BD">
              <w:rPr>
                <w:w w:val="105"/>
                <w:sz w:val="15"/>
              </w:rPr>
              <w:t>284</w:t>
            </w:r>
          </w:p>
        </w:tc>
        <w:tc>
          <w:tcPr>
            <w:tcW w:w="873" w:type="dxa"/>
          </w:tcPr>
          <w:p w:rsidR="00765F11" w:rsidRPr="00E526BD" w:rsidP="00765F11">
            <w:pPr>
              <w:pStyle w:val="TableParagraph"/>
              <w:spacing w:before="44"/>
              <w:ind w:left="18"/>
              <w:rPr>
                <w:sz w:val="15"/>
              </w:rPr>
            </w:pPr>
            <w:r w:rsidRPr="00E526BD">
              <w:rPr>
                <w:w w:val="105"/>
                <w:sz w:val="15"/>
              </w:rPr>
              <w:t>17</w:t>
            </w:r>
          </w:p>
        </w:tc>
        <w:tc>
          <w:tcPr>
            <w:tcW w:w="873" w:type="dxa"/>
          </w:tcPr>
          <w:p w:rsidR="00765F11" w:rsidRPr="00E526BD" w:rsidP="00765F11">
            <w:pPr>
              <w:pStyle w:val="TableParagraph"/>
              <w:spacing w:before="44"/>
              <w:ind w:left="21"/>
              <w:rPr>
                <w:sz w:val="15"/>
              </w:rPr>
            </w:pPr>
            <w:r w:rsidRPr="00E526BD">
              <w:rPr>
                <w:w w:val="103"/>
                <w:sz w:val="15"/>
              </w:rPr>
              <w:t>1</w:t>
            </w:r>
          </w:p>
        </w:tc>
        <w:tc>
          <w:tcPr>
            <w:tcW w:w="873" w:type="dxa"/>
          </w:tcPr>
          <w:p w:rsidR="00765F11" w:rsidRPr="00E526BD" w:rsidP="00765F11">
            <w:pPr>
              <w:pStyle w:val="TableParagraph"/>
              <w:spacing w:before="44"/>
              <w:ind w:right="293"/>
              <w:jc w:val="right"/>
              <w:rPr>
                <w:sz w:val="15"/>
              </w:rPr>
            </w:pPr>
            <w:r w:rsidRPr="00E526BD">
              <w:rPr>
                <w:sz w:val="15"/>
              </w:rPr>
              <w:t>112</w:t>
            </w:r>
          </w:p>
        </w:tc>
        <w:tc>
          <w:tcPr>
            <w:tcW w:w="873" w:type="dxa"/>
          </w:tcPr>
          <w:p w:rsidR="00765F11" w:rsidRPr="00E526BD" w:rsidP="00765F11">
            <w:pPr>
              <w:pStyle w:val="TableParagraph"/>
              <w:spacing w:before="44"/>
              <w:ind w:right="294"/>
              <w:jc w:val="right"/>
              <w:rPr>
                <w:sz w:val="15"/>
              </w:rPr>
            </w:pPr>
            <w:r w:rsidRPr="00E526BD">
              <w:rPr>
                <w:sz w:val="15"/>
              </w:rPr>
              <w:t>431</w:t>
            </w:r>
          </w:p>
        </w:tc>
        <w:tc>
          <w:tcPr>
            <w:tcW w:w="873" w:type="dxa"/>
          </w:tcPr>
          <w:p w:rsidR="00765F11" w:rsidRPr="00E526BD" w:rsidP="00765F11">
            <w:pPr>
              <w:pStyle w:val="TableParagraph"/>
              <w:spacing w:before="44"/>
              <w:ind w:left="19"/>
              <w:rPr>
                <w:sz w:val="15"/>
              </w:rPr>
            </w:pPr>
            <w:r w:rsidRPr="00E526BD">
              <w:rPr>
                <w:w w:val="103"/>
                <w:sz w:val="15"/>
              </w:rPr>
              <w:t>0</w:t>
            </w:r>
          </w:p>
        </w:tc>
        <w:tc>
          <w:tcPr>
            <w:tcW w:w="873" w:type="dxa"/>
          </w:tcPr>
          <w:p w:rsidR="00765F11" w:rsidRPr="00E526BD" w:rsidP="00765F11">
            <w:pPr>
              <w:pStyle w:val="TableParagraph"/>
              <w:spacing w:before="44"/>
              <w:ind w:left="18"/>
              <w:rPr>
                <w:sz w:val="15"/>
              </w:rPr>
            </w:pPr>
            <w:r w:rsidRPr="00E526BD">
              <w:rPr>
                <w:w w:val="103"/>
                <w:sz w:val="15"/>
              </w:rPr>
              <w:t>0</w:t>
            </w:r>
          </w:p>
        </w:tc>
      </w:tr>
      <w:tr w:rsidTr="00765F11">
        <w:tblPrEx>
          <w:tblW w:w="0" w:type="auto"/>
          <w:tblInd w:w="335" w:type="dxa"/>
          <w:tblLayout w:type="fixed"/>
          <w:tblCellMar>
            <w:left w:w="0" w:type="dxa"/>
            <w:right w:w="0" w:type="dxa"/>
          </w:tblCellMar>
          <w:tblLook w:val="01E0"/>
        </w:tblPrEx>
        <w:trPr>
          <w:trHeight w:val="255"/>
        </w:trPr>
        <w:tc>
          <w:tcPr>
            <w:tcW w:w="1787" w:type="dxa"/>
            <w:vAlign w:val="center"/>
          </w:tcPr>
          <w:p w:rsidR="00765F11" w:rsidRPr="00E526BD" w:rsidP="00765F11">
            <w:pPr>
              <w:pStyle w:val="TableParagraph"/>
              <w:ind w:left="23"/>
              <w:jc w:val="left"/>
              <w:rPr>
                <w:sz w:val="8"/>
              </w:rPr>
            </w:pPr>
            <w:r w:rsidRPr="00E526BD">
              <w:rPr>
                <w:w w:val="105"/>
                <w:sz w:val="8"/>
              </w:rPr>
              <w:t>Average number</w:t>
            </w:r>
          </w:p>
        </w:tc>
        <w:tc>
          <w:tcPr>
            <w:tcW w:w="873" w:type="dxa"/>
          </w:tcPr>
          <w:p w:rsidR="00765F11" w:rsidRPr="00E526BD" w:rsidP="00765F11">
            <w:pPr>
              <w:pStyle w:val="TableParagraph"/>
              <w:spacing w:before="44"/>
              <w:ind w:right="229"/>
              <w:jc w:val="right"/>
              <w:rPr>
                <w:sz w:val="15"/>
              </w:rPr>
            </w:pPr>
            <w:r w:rsidRPr="00E526BD">
              <w:rPr>
                <w:sz w:val="15"/>
              </w:rPr>
              <w:t>0.788</w:t>
            </w:r>
          </w:p>
        </w:tc>
        <w:tc>
          <w:tcPr>
            <w:tcW w:w="873" w:type="dxa"/>
          </w:tcPr>
          <w:p w:rsidR="00765F11" w:rsidRPr="00E526BD" w:rsidP="00765F11">
            <w:pPr>
              <w:pStyle w:val="TableParagraph"/>
              <w:spacing w:before="44"/>
              <w:ind w:left="251"/>
              <w:jc w:val="left"/>
              <w:rPr>
                <w:sz w:val="15"/>
              </w:rPr>
            </w:pPr>
            <w:r w:rsidRPr="00E526BD">
              <w:rPr>
                <w:w w:val="105"/>
                <w:sz w:val="15"/>
              </w:rPr>
              <w:t>0.265</w:t>
            </w:r>
          </w:p>
        </w:tc>
        <w:tc>
          <w:tcPr>
            <w:tcW w:w="873" w:type="dxa"/>
          </w:tcPr>
          <w:p w:rsidR="00765F11" w:rsidRPr="00E526BD" w:rsidP="00765F11">
            <w:pPr>
              <w:pStyle w:val="TableParagraph"/>
              <w:spacing w:before="44"/>
              <w:ind w:left="18"/>
              <w:rPr>
                <w:sz w:val="15"/>
              </w:rPr>
            </w:pPr>
            <w:r w:rsidRPr="00E526BD">
              <w:rPr>
                <w:w w:val="105"/>
                <w:sz w:val="15"/>
              </w:rPr>
              <w:t>0.016</w:t>
            </w:r>
          </w:p>
        </w:tc>
        <w:tc>
          <w:tcPr>
            <w:tcW w:w="873" w:type="dxa"/>
          </w:tcPr>
          <w:p w:rsidR="00765F11" w:rsidRPr="00E526BD" w:rsidP="00765F11">
            <w:pPr>
              <w:pStyle w:val="TableParagraph"/>
              <w:spacing w:before="44"/>
              <w:ind w:left="18"/>
              <w:rPr>
                <w:sz w:val="15"/>
              </w:rPr>
            </w:pPr>
            <w:r w:rsidRPr="00E526BD">
              <w:rPr>
                <w:w w:val="105"/>
                <w:sz w:val="15"/>
              </w:rPr>
              <w:t>0.001</w:t>
            </w:r>
          </w:p>
        </w:tc>
        <w:tc>
          <w:tcPr>
            <w:tcW w:w="873" w:type="dxa"/>
          </w:tcPr>
          <w:p w:rsidR="00765F11" w:rsidRPr="00E526BD" w:rsidP="00765F11">
            <w:pPr>
              <w:pStyle w:val="TableParagraph"/>
              <w:spacing w:before="44"/>
              <w:ind w:right="231"/>
              <w:jc w:val="right"/>
              <w:rPr>
                <w:sz w:val="15"/>
              </w:rPr>
            </w:pPr>
            <w:r w:rsidRPr="00E526BD">
              <w:rPr>
                <w:sz w:val="15"/>
              </w:rPr>
              <w:t>0.104</w:t>
            </w:r>
          </w:p>
        </w:tc>
        <w:tc>
          <w:tcPr>
            <w:tcW w:w="873" w:type="dxa"/>
          </w:tcPr>
          <w:p w:rsidR="00765F11" w:rsidRPr="00E526BD" w:rsidP="00765F11">
            <w:pPr>
              <w:pStyle w:val="TableParagraph"/>
              <w:spacing w:before="44"/>
              <w:ind w:right="231"/>
              <w:jc w:val="right"/>
              <w:rPr>
                <w:sz w:val="15"/>
              </w:rPr>
            </w:pPr>
            <w:r w:rsidRPr="00E526BD">
              <w:rPr>
                <w:sz w:val="15"/>
              </w:rPr>
              <w:t>0.402</w:t>
            </w:r>
          </w:p>
        </w:tc>
        <w:tc>
          <w:tcPr>
            <w:tcW w:w="873" w:type="dxa"/>
          </w:tcPr>
          <w:p w:rsidR="00765F11" w:rsidRPr="00E526BD" w:rsidP="00765F11">
            <w:pPr>
              <w:pStyle w:val="TableParagraph"/>
              <w:spacing w:before="44"/>
              <w:ind w:left="16"/>
              <w:rPr>
                <w:sz w:val="15"/>
              </w:rPr>
            </w:pPr>
            <w:r w:rsidRPr="00E526BD">
              <w:rPr>
                <w:w w:val="105"/>
                <w:sz w:val="15"/>
              </w:rPr>
              <w:t>0.000</w:t>
            </w:r>
          </w:p>
        </w:tc>
        <w:tc>
          <w:tcPr>
            <w:tcW w:w="873" w:type="dxa"/>
          </w:tcPr>
          <w:p w:rsidR="00765F11" w:rsidRPr="00E526BD" w:rsidP="00765F11">
            <w:pPr>
              <w:pStyle w:val="TableParagraph"/>
              <w:spacing w:before="44"/>
              <w:ind w:left="15"/>
              <w:rPr>
                <w:sz w:val="15"/>
              </w:rPr>
            </w:pPr>
            <w:r w:rsidRPr="00E526BD">
              <w:rPr>
                <w:w w:val="105"/>
                <w:sz w:val="15"/>
              </w:rPr>
              <w:t>0.000</w:t>
            </w:r>
          </w:p>
        </w:tc>
      </w:tr>
    </w:tbl>
    <w:p w:rsidR="005B7DBD" w:rsidRPr="00E526BD" w:rsidP="009003F8">
      <w:pPr>
        <w:rPr>
          <w:b/>
          <w:sz w:val="14"/>
        </w:rPr>
      </w:pPr>
    </w:p>
    <w:p w:rsidR="005B7DBD" w:rsidRPr="00E526BD">
      <w:pPr>
        <w:rPr>
          <w:b/>
          <w:sz w:val="14"/>
        </w:rPr>
      </w:pPr>
      <w:r w:rsidRPr="00E526BD">
        <w:br w:type="page"/>
      </w:r>
    </w:p>
    <w:p w:rsidR="009003F8" w:rsidRPr="00E526BD" w:rsidP="009003F8">
      <w:pPr>
        <w:rPr>
          <w:b/>
          <w:sz w:val="14"/>
        </w:rPr>
      </w:pPr>
    </w:p>
    <w:p w:rsidR="009003F8" w:rsidRPr="00E526BD" w:rsidP="005B7DBD">
      <w:pPr>
        <w:pStyle w:val="Style1"/>
        <w:ind w:left="284" w:hanging="176"/>
        <w:outlineLvl w:val="9"/>
      </w:pPr>
      <w:r w:rsidRPr="00E526BD">
        <w:t xml:space="preserve">Indicators relating to </w:t>
      </w:r>
      <w:r w:rsidRPr="00E526BD">
        <w:t>the consequences of accidents</w:t>
      </w:r>
    </w:p>
    <w:p w:rsidR="009003F8" w:rsidRPr="00E526BD" w:rsidP="009003F8">
      <w:pPr>
        <w:rPr>
          <w:b/>
          <w:sz w:val="14"/>
        </w:rPr>
      </w:pPr>
    </w:p>
    <w:p w:rsidR="009003F8" w:rsidRPr="00E526BD" w:rsidP="009003F8">
      <w:pPr>
        <w:pStyle w:val="BodyText"/>
        <w:spacing w:before="100"/>
        <w:ind w:left="358"/>
      </w:pPr>
      <w:r w:rsidRPr="00E526BD">
        <w:t>Total amount in EUR and total delay in minutes and average values (per million train kilometres) for</w:t>
      </w:r>
    </w:p>
    <w:p w:rsidR="009003F8" w:rsidRPr="00E526BD" w:rsidP="009003F8">
      <w:pPr>
        <w:spacing w:before="7"/>
        <w:rPr>
          <w:b/>
          <w:sz w:val="16"/>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7"/>
        <w:gridCol w:w="873"/>
        <w:gridCol w:w="873"/>
      </w:tblGrid>
      <w:tr w:rsidTr="008F4FD3">
        <w:tblPrEx>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42"/>
        </w:trPr>
        <w:tc>
          <w:tcPr>
            <w:tcW w:w="1787" w:type="dxa"/>
            <w:tcBorders>
              <w:top w:val="nil"/>
              <w:left w:val="nil"/>
            </w:tcBorders>
          </w:tcPr>
          <w:p w:rsidR="009003F8" w:rsidRPr="00E526BD" w:rsidP="008F4FD3">
            <w:pPr>
              <w:pStyle w:val="TableParagraph"/>
              <w:rPr>
                <w:rFonts w:ascii="Times New Roman"/>
                <w:sz w:val="10"/>
              </w:rPr>
            </w:pPr>
          </w:p>
        </w:tc>
        <w:tc>
          <w:tcPr>
            <w:tcW w:w="873" w:type="dxa"/>
          </w:tcPr>
          <w:p w:rsidR="009003F8" w:rsidRPr="00E526BD" w:rsidP="00566FE9">
            <w:pPr>
              <w:pStyle w:val="TableParagraph"/>
              <w:spacing w:before="6" w:line="297" w:lineRule="auto"/>
              <w:ind w:left="117" w:right="81" w:firstLine="103"/>
              <w:rPr>
                <w:sz w:val="8"/>
              </w:rPr>
            </w:pPr>
            <w:r w:rsidRPr="00E526BD">
              <w:rPr>
                <w:w w:val="105"/>
                <w:sz w:val="8"/>
              </w:rPr>
              <w:t>Costs of damage to rolling stock and infrastructure</w:t>
            </w:r>
          </w:p>
        </w:tc>
        <w:tc>
          <w:tcPr>
            <w:tcW w:w="873" w:type="dxa"/>
          </w:tcPr>
          <w:p w:rsidR="009003F8" w:rsidRPr="00E526BD" w:rsidP="008F4FD3">
            <w:pPr>
              <w:pStyle w:val="TableParagraph"/>
              <w:spacing w:before="58" w:line="297" w:lineRule="auto"/>
              <w:ind w:left="85" w:right="36" w:hanging="33"/>
              <w:rPr>
                <w:sz w:val="8"/>
              </w:rPr>
            </w:pPr>
            <w:r w:rsidRPr="00E526BD">
              <w:rPr>
                <w:w w:val="105"/>
                <w:sz w:val="8"/>
              </w:rPr>
              <w:t>Costs of damage to the environment</w:t>
            </w:r>
          </w:p>
        </w:tc>
      </w:tr>
      <w:tr w:rsidTr="008F4FD3">
        <w:tblPrEx>
          <w:tblW w:w="0" w:type="auto"/>
          <w:tblInd w:w="335" w:type="dxa"/>
          <w:tblLayout w:type="fixed"/>
          <w:tblCellMar>
            <w:left w:w="0" w:type="dxa"/>
            <w:right w:w="0" w:type="dxa"/>
          </w:tblCellMar>
          <w:tblLook w:val="01E0"/>
        </w:tblPrEx>
        <w:trPr>
          <w:trHeight w:val="255"/>
        </w:trPr>
        <w:tc>
          <w:tcPr>
            <w:tcW w:w="1787" w:type="dxa"/>
            <w:vAlign w:val="center"/>
          </w:tcPr>
          <w:p w:rsidR="009003F8" w:rsidRPr="00E526BD" w:rsidP="008F4FD3">
            <w:pPr>
              <w:pStyle w:val="TableParagraph"/>
              <w:ind w:left="23"/>
              <w:jc w:val="left"/>
              <w:rPr>
                <w:sz w:val="8"/>
              </w:rPr>
            </w:pPr>
            <w:r w:rsidRPr="00E526BD">
              <w:rPr>
                <w:w w:val="105"/>
                <w:sz w:val="8"/>
              </w:rPr>
              <w:t>Total costs</w:t>
            </w:r>
          </w:p>
        </w:tc>
        <w:tc>
          <w:tcPr>
            <w:tcW w:w="873" w:type="dxa"/>
          </w:tcPr>
          <w:p w:rsidR="009003F8" w:rsidRPr="00E526BD" w:rsidP="008F4FD3">
            <w:pPr>
              <w:pStyle w:val="TableParagraph"/>
              <w:spacing w:before="44"/>
              <w:ind w:right="43"/>
              <w:jc w:val="right"/>
              <w:rPr>
                <w:sz w:val="15"/>
              </w:rPr>
            </w:pPr>
            <w:r w:rsidRPr="00E526BD">
              <w:rPr>
                <w:sz w:val="15"/>
              </w:rPr>
              <w:t>58,244,772</w:t>
            </w:r>
          </w:p>
        </w:tc>
        <w:tc>
          <w:tcPr>
            <w:tcW w:w="873" w:type="dxa"/>
          </w:tcPr>
          <w:p w:rsidR="009003F8" w:rsidRPr="00E526BD" w:rsidP="008F4FD3">
            <w:pPr>
              <w:pStyle w:val="TableParagraph"/>
              <w:spacing w:before="44"/>
              <w:ind w:right="147"/>
              <w:jc w:val="right"/>
              <w:rPr>
                <w:sz w:val="15"/>
              </w:rPr>
            </w:pPr>
            <w:r w:rsidRPr="00E526BD">
              <w:rPr>
                <w:sz w:val="15"/>
              </w:rPr>
              <w:t>175,000</w:t>
            </w:r>
          </w:p>
        </w:tc>
      </w:tr>
      <w:tr w:rsidTr="008F4FD3">
        <w:tblPrEx>
          <w:tblW w:w="0" w:type="auto"/>
          <w:tblInd w:w="335" w:type="dxa"/>
          <w:tblLayout w:type="fixed"/>
          <w:tblCellMar>
            <w:left w:w="0" w:type="dxa"/>
            <w:right w:w="0" w:type="dxa"/>
          </w:tblCellMar>
          <w:tblLook w:val="01E0"/>
        </w:tblPrEx>
        <w:trPr>
          <w:trHeight w:val="255"/>
        </w:trPr>
        <w:tc>
          <w:tcPr>
            <w:tcW w:w="1787" w:type="dxa"/>
            <w:vAlign w:val="center"/>
          </w:tcPr>
          <w:p w:rsidR="009003F8" w:rsidRPr="00E526BD" w:rsidP="008F4FD3">
            <w:pPr>
              <w:pStyle w:val="TableParagraph"/>
              <w:ind w:left="23"/>
              <w:jc w:val="left"/>
              <w:rPr>
                <w:sz w:val="8"/>
              </w:rPr>
            </w:pPr>
            <w:r w:rsidRPr="00E526BD">
              <w:rPr>
                <w:w w:val="105"/>
                <w:sz w:val="8"/>
              </w:rPr>
              <w:t>Average costs</w:t>
            </w:r>
          </w:p>
        </w:tc>
        <w:tc>
          <w:tcPr>
            <w:tcW w:w="873" w:type="dxa"/>
          </w:tcPr>
          <w:p w:rsidR="009003F8" w:rsidRPr="00E526BD" w:rsidP="008F4FD3">
            <w:pPr>
              <w:pStyle w:val="TableParagraph"/>
              <w:spacing w:before="44"/>
              <w:ind w:right="43"/>
              <w:jc w:val="right"/>
              <w:rPr>
                <w:sz w:val="15"/>
              </w:rPr>
            </w:pPr>
            <w:r w:rsidRPr="00E526BD">
              <w:rPr>
                <w:sz w:val="15"/>
              </w:rPr>
              <w:t>54,293.916</w:t>
            </w:r>
          </w:p>
        </w:tc>
        <w:tc>
          <w:tcPr>
            <w:tcW w:w="873" w:type="dxa"/>
          </w:tcPr>
          <w:p w:rsidR="009003F8" w:rsidRPr="00E526BD" w:rsidP="008F4FD3">
            <w:pPr>
              <w:pStyle w:val="TableParagraph"/>
              <w:spacing w:before="44"/>
              <w:ind w:right="147"/>
              <w:jc w:val="right"/>
              <w:rPr>
                <w:sz w:val="15"/>
              </w:rPr>
            </w:pPr>
            <w:r w:rsidRPr="00E526BD">
              <w:rPr>
                <w:sz w:val="15"/>
              </w:rPr>
              <w:t>163.129</w:t>
            </w:r>
          </w:p>
        </w:tc>
      </w:tr>
    </w:tbl>
    <w:p w:rsidR="009003F8" w:rsidRPr="00E526BD" w:rsidP="009003F8">
      <w:pPr>
        <w:spacing w:before="6" w:after="1"/>
        <w:rPr>
          <w:b/>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7"/>
        <w:gridCol w:w="873"/>
        <w:gridCol w:w="873"/>
      </w:tblGrid>
      <w:tr w:rsidTr="008F4FD3">
        <w:tblPrEx>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55"/>
        </w:trPr>
        <w:tc>
          <w:tcPr>
            <w:tcW w:w="1787" w:type="dxa"/>
            <w:tcBorders>
              <w:top w:val="nil"/>
              <w:left w:val="nil"/>
            </w:tcBorders>
          </w:tcPr>
          <w:p w:rsidR="009003F8" w:rsidRPr="00E526BD" w:rsidP="008F4FD3">
            <w:pPr>
              <w:pStyle w:val="TableParagraph"/>
              <w:rPr>
                <w:rFonts w:ascii="Times New Roman"/>
                <w:sz w:val="10"/>
              </w:rPr>
            </w:pPr>
          </w:p>
        </w:tc>
        <w:tc>
          <w:tcPr>
            <w:tcW w:w="873" w:type="dxa"/>
          </w:tcPr>
          <w:p w:rsidR="009003F8" w:rsidRPr="00E526BD" w:rsidP="008F4FD3">
            <w:pPr>
              <w:pStyle w:val="TableParagraph"/>
              <w:spacing w:before="8" w:line="110" w:lineRule="atLeast"/>
              <w:ind w:left="127" w:hanging="73"/>
              <w:rPr>
                <w:sz w:val="8"/>
              </w:rPr>
            </w:pPr>
            <w:r w:rsidRPr="00E526BD">
              <w:rPr>
                <w:sz w:val="8"/>
              </w:rPr>
              <w:t>Minutes of delay in passenger transport</w:t>
            </w:r>
          </w:p>
        </w:tc>
        <w:tc>
          <w:tcPr>
            <w:tcW w:w="873" w:type="dxa"/>
          </w:tcPr>
          <w:p w:rsidR="009003F8" w:rsidRPr="00E526BD" w:rsidP="008F4FD3">
            <w:pPr>
              <w:pStyle w:val="TableParagraph"/>
              <w:spacing w:before="8" w:line="110" w:lineRule="atLeast"/>
              <w:ind w:left="199" w:hanging="146"/>
              <w:rPr>
                <w:sz w:val="8"/>
              </w:rPr>
            </w:pPr>
            <w:r w:rsidRPr="00E526BD">
              <w:rPr>
                <w:sz w:val="8"/>
              </w:rPr>
              <w:t>Minutes of delay in freight transport</w:t>
            </w:r>
          </w:p>
        </w:tc>
      </w:tr>
      <w:tr w:rsidTr="008F4FD3">
        <w:tblPrEx>
          <w:tblW w:w="0" w:type="auto"/>
          <w:tblInd w:w="335" w:type="dxa"/>
          <w:tblLayout w:type="fixed"/>
          <w:tblCellMar>
            <w:left w:w="0" w:type="dxa"/>
            <w:right w:w="0" w:type="dxa"/>
          </w:tblCellMar>
          <w:tblLook w:val="01E0"/>
        </w:tblPrEx>
        <w:trPr>
          <w:trHeight w:val="255"/>
        </w:trPr>
        <w:tc>
          <w:tcPr>
            <w:tcW w:w="1787" w:type="dxa"/>
            <w:vAlign w:val="center"/>
          </w:tcPr>
          <w:p w:rsidR="009003F8" w:rsidRPr="00E526BD" w:rsidP="008F4FD3">
            <w:pPr>
              <w:pStyle w:val="TableParagraph"/>
              <w:ind w:left="23"/>
              <w:jc w:val="left"/>
              <w:rPr>
                <w:sz w:val="8"/>
              </w:rPr>
            </w:pPr>
            <w:r w:rsidRPr="00E526BD">
              <w:rPr>
                <w:w w:val="105"/>
                <w:sz w:val="8"/>
              </w:rPr>
              <w:t>Minutes of delay total</w:t>
            </w:r>
          </w:p>
        </w:tc>
        <w:tc>
          <w:tcPr>
            <w:tcW w:w="873" w:type="dxa"/>
          </w:tcPr>
          <w:p w:rsidR="009003F8" w:rsidRPr="00E526BD" w:rsidP="008F4FD3">
            <w:pPr>
              <w:pStyle w:val="TableParagraph"/>
              <w:spacing w:before="44"/>
              <w:ind w:right="188"/>
              <w:jc w:val="right"/>
              <w:rPr>
                <w:sz w:val="15"/>
              </w:rPr>
            </w:pPr>
            <w:r w:rsidRPr="00E526BD">
              <w:rPr>
                <w:sz w:val="15"/>
              </w:rPr>
              <w:t>92,387</w:t>
            </w:r>
          </w:p>
        </w:tc>
        <w:tc>
          <w:tcPr>
            <w:tcW w:w="873" w:type="dxa"/>
          </w:tcPr>
          <w:p w:rsidR="009003F8" w:rsidRPr="00E526BD" w:rsidP="008F4FD3">
            <w:pPr>
              <w:pStyle w:val="TableParagraph"/>
              <w:spacing w:before="44"/>
              <w:ind w:right="147"/>
              <w:jc w:val="right"/>
              <w:rPr>
                <w:sz w:val="15"/>
              </w:rPr>
            </w:pPr>
            <w:r w:rsidRPr="00E526BD">
              <w:rPr>
                <w:sz w:val="15"/>
              </w:rPr>
              <w:t>171,519</w:t>
            </w:r>
          </w:p>
        </w:tc>
      </w:tr>
      <w:tr w:rsidTr="008F4FD3">
        <w:tblPrEx>
          <w:tblW w:w="0" w:type="auto"/>
          <w:tblInd w:w="335" w:type="dxa"/>
          <w:tblLayout w:type="fixed"/>
          <w:tblCellMar>
            <w:left w:w="0" w:type="dxa"/>
            <w:right w:w="0" w:type="dxa"/>
          </w:tblCellMar>
          <w:tblLook w:val="01E0"/>
        </w:tblPrEx>
        <w:trPr>
          <w:trHeight w:val="255"/>
        </w:trPr>
        <w:tc>
          <w:tcPr>
            <w:tcW w:w="1787" w:type="dxa"/>
            <w:vAlign w:val="center"/>
          </w:tcPr>
          <w:p w:rsidR="009003F8" w:rsidRPr="00E526BD" w:rsidP="008F4FD3">
            <w:pPr>
              <w:pStyle w:val="TableParagraph"/>
              <w:ind w:left="23"/>
              <w:jc w:val="left"/>
              <w:rPr>
                <w:sz w:val="8"/>
              </w:rPr>
            </w:pPr>
            <w:r w:rsidRPr="00E526BD">
              <w:rPr>
                <w:w w:val="105"/>
                <w:sz w:val="8"/>
              </w:rPr>
              <w:t>Minutes of delay average</w:t>
            </w:r>
          </w:p>
        </w:tc>
        <w:tc>
          <w:tcPr>
            <w:tcW w:w="873" w:type="dxa"/>
          </w:tcPr>
          <w:p w:rsidR="009003F8" w:rsidRPr="00E526BD" w:rsidP="008F4FD3">
            <w:pPr>
              <w:pStyle w:val="TableParagraph"/>
              <w:spacing w:before="44"/>
              <w:ind w:right="147"/>
              <w:jc w:val="right"/>
              <w:rPr>
                <w:sz w:val="15"/>
              </w:rPr>
            </w:pPr>
            <w:r w:rsidRPr="00E526BD">
              <w:rPr>
                <w:sz w:val="15"/>
              </w:rPr>
              <w:t>115.093</w:t>
            </w:r>
          </w:p>
        </w:tc>
        <w:tc>
          <w:tcPr>
            <w:tcW w:w="873" w:type="dxa"/>
          </w:tcPr>
          <w:p w:rsidR="009003F8" w:rsidRPr="00E526BD" w:rsidP="008F4FD3">
            <w:pPr>
              <w:pStyle w:val="TableParagraph"/>
              <w:spacing w:before="44"/>
              <w:ind w:right="147"/>
              <w:jc w:val="right"/>
              <w:rPr>
                <w:sz w:val="15"/>
              </w:rPr>
            </w:pPr>
            <w:r w:rsidRPr="00E526BD">
              <w:rPr>
                <w:sz w:val="15"/>
              </w:rPr>
              <w:t>665.905</w:t>
            </w:r>
          </w:p>
        </w:tc>
      </w:tr>
    </w:tbl>
    <w:p w:rsidR="009003F8" w:rsidRPr="00E526BD" w:rsidP="009003F8">
      <w:pPr>
        <w:rPr>
          <w:b/>
          <w:sz w:val="14"/>
        </w:rPr>
      </w:pPr>
    </w:p>
    <w:p w:rsidR="009003F8" w:rsidRPr="00E526BD" w:rsidP="005B7DBD">
      <w:pPr>
        <w:pStyle w:val="Style2"/>
        <w:ind w:left="284" w:hanging="176"/>
        <w:outlineLvl w:val="9"/>
      </w:pPr>
      <w:r w:rsidRPr="00E526BD">
        <w:t xml:space="preserve">Indicators relating to technical safety of infrastructure </w:t>
      </w:r>
      <w:r w:rsidRPr="00E526BD">
        <w:t>and its implementation</w:t>
      </w:r>
    </w:p>
    <w:p w:rsidR="009003F8" w:rsidRPr="00E526BD" w:rsidP="009003F8">
      <w:pPr>
        <w:spacing w:before="8"/>
        <w:rPr>
          <w:b/>
          <w:sz w:val="15"/>
        </w:rPr>
      </w:pPr>
    </w:p>
    <w:p w:rsidR="009003F8" w:rsidRPr="00E526BD" w:rsidP="009003F8">
      <w:pPr>
        <w:pStyle w:val="ListParagraph"/>
        <w:widowControl w:val="0"/>
        <w:numPr>
          <w:ilvl w:val="1"/>
          <w:numId w:val="45"/>
        </w:numPr>
        <w:tabs>
          <w:tab w:val="left" w:pos="588"/>
        </w:tabs>
        <w:autoSpaceDE w:val="0"/>
        <w:autoSpaceDN w:val="0"/>
        <w:spacing w:before="101"/>
        <w:ind w:firstLine="0"/>
        <w:contextualSpacing w:val="0"/>
        <w:rPr>
          <w:b/>
          <w:sz w:val="13"/>
        </w:rPr>
      </w:pPr>
      <w:r w:rsidRPr="00E526BD">
        <w:rPr>
          <w:b/>
          <w:spacing w:val="-3"/>
          <w:w w:val="105"/>
          <w:sz w:val="13"/>
        </w:rPr>
        <w:t>Train protection systems</w:t>
      </w:r>
    </w:p>
    <w:p w:rsidR="009003F8" w:rsidRPr="00E526BD" w:rsidP="009003F8">
      <w:pPr>
        <w:rPr>
          <w:b/>
          <w:sz w:val="1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7"/>
        <w:gridCol w:w="873"/>
        <w:gridCol w:w="873"/>
        <w:gridCol w:w="873"/>
        <w:gridCol w:w="873"/>
        <w:gridCol w:w="873"/>
      </w:tblGrid>
      <w:tr w:rsidTr="008F4FD3">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28"/>
        </w:trPr>
        <w:tc>
          <w:tcPr>
            <w:tcW w:w="1787" w:type="dxa"/>
            <w:tcBorders>
              <w:top w:val="nil"/>
              <w:left w:val="nil"/>
            </w:tcBorders>
          </w:tcPr>
          <w:p w:rsidR="009003F8" w:rsidRPr="00E526BD" w:rsidP="008F4FD3">
            <w:pPr>
              <w:pStyle w:val="TableParagraph"/>
              <w:rPr>
                <w:rFonts w:ascii="Times New Roman"/>
                <w:sz w:val="10"/>
              </w:rPr>
            </w:pPr>
          </w:p>
        </w:tc>
        <w:tc>
          <w:tcPr>
            <w:tcW w:w="873" w:type="dxa"/>
            <w:vAlign w:val="center"/>
          </w:tcPr>
          <w:p w:rsidR="009003F8" w:rsidRPr="00E526BD" w:rsidP="008F4FD3">
            <w:pPr>
              <w:pStyle w:val="TableParagraph"/>
              <w:spacing w:before="55"/>
              <w:rPr>
                <w:sz w:val="8"/>
              </w:rPr>
            </w:pPr>
            <w:r w:rsidRPr="00E526BD">
              <w:rPr>
                <w:sz w:val="8"/>
              </w:rPr>
              <w:t>warning</w:t>
            </w:r>
          </w:p>
        </w:tc>
        <w:tc>
          <w:tcPr>
            <w:tcW w:w="873" w:type="dxa"/>
            <w:vAlign w:val="center"/>
          </w:tcPr>
          <w:p w:rsidR="009003F8" w:rsidRPr="00E526BD" w:rsidP="008F4FD3">
            <w:pPr>
              <w:pStyle w:val="TableParagraph"/>
              <w:spacing w:before="1" w:line="297" w:lineRule="auto"/>
              <w:ind w:firstLine="10"/>
              <w:rPr>
                <w:sz w:val="8"/>
              </w:rPr>
            </w:pPr>
            <w:r w:rsidRPr="00E526BD">
              <w:rPr>
                <w:w w:val="105"/>
                <w:sz w:val="8"/>
              </w:rPr>
              <w:t>warning and automatic stopping</w:t>
            </w:r>
          </w:p>
        </w:tc>
        <w:tc>
          <w:tcPr>
            <w:tcW w:w="873" w:type="dxa"/>
            <w:vAlign w:val="center"/>
          </w:tcPr>
          <w:p w:rsidR="009003F8" w:rsidRPr="00E526BD" w:rsidP="008F4FD3">
            <w:pPr>
              <w:pStyle w:val="TableParagraph"/>
              <w:spacing w:before="50" w:line="297" w:lineRule="auto"/>
              <w:ind w:firstLine="32"/>
              <w:rPr>
                <w:sz w:val="8"/>
              </w:rPr>
            </w:pPr>
            <w:r w:rsidRPr="00E526BD">
              <w:rPr>
                <w:w w:val="105"/>
                <w:sz w:val="8"/>
              </w:rPr>
              <w:t>Warning and automatic stopping as well as section-by-section speed monitoring</w:t>
            </w:r>
          </w:p>
        </w:tc>
        <w:tc>
          <w:tcPr>
            <w:tcW w:w="873" w:type="dxa"/>
            <w:tcBorders>
              <w:right w:val="single" w:sz="4" w:space="0" w:color="auto"/>
            </w:tcBorders>
            <w:vAlign w:val="center"/>
          </w:tcPr>
          <w:p w:rsidR="009003F8" w:rsidRPr="00E526BD" w:rsidP="008F4FD3">
            <w:pPr>
              <w:pStyle w:val="TableParagraph"/>
              <w:spacing w:before="50" w:line="297" w:lineRule="auto"/>
              <w:ind w:firstLine="32"/>
              <w:rPr>
                <w:sz w:val="8"/>
              </w:rPr>
            </w:pPr>
            <w:r w:rsidRPr="00E526BD">
              <w:rPr>
                <w:w w:val="105"/>
                <w:sz w:val="8"/>
              </w:rPr>
              <w:t>Warning and automatic stopping as well as continuous speed monitoring</w:t>
            </w:r>
          </w:p>
        </w:tc>
        <w:tc>
          <w:tcPr>
            <w:tcW w:w="873" w:type="dxa"/>
            <w:tcBorders>
              <w:top w:val="nil"/>
              <w:left w:val="single" w:sz="4" w:space="0" w:color="auto"/>
              <w:bottom w:val="nil"/>
              <w:right w:val="nil"/>
            </w:tcBorders>
          </w:tcPr>
          <w:p w:rsidR="009003F8" w:rsidRPr="00E526BD" w:rsidP="008F4FD3">
            <w:pPr>
              <w:pStyle w:val="TableParagraph"/>
              <w:rPr>
                <w:sz w:val="8"/>
              </w:rPr>
            </w:pPr>
          </w:p>
        </w:tc>
      </w:tr>
      <w:tr w:rsidTr="008F4FD3">
        <w:tblPrEx>
          <w:tblW w:w="0" w:type="auto"/>
          <w:tblLayout w:type="fixed"/>
          <w:tblCellMar>
            <w:left w:w="0" w:type="dxa"/>
            <w:right w:w="0" w:type="dxa"/>
          </w:tblCellMar>
          <w:tblLook w:val="01E0"/>
        </w:tblPrEx>
        <w:trPr>
          <w:trHeight w:val="400"/>
        </w:trPr>
        <w:tc>
          <w:tcPr>
            <w:tcW w:w="1787" w:type="dxa"/>
            <w:vAlign w:val="center"/>
          </w:tcPr>
          <w:p w:rsidR="009003F8" w:rsidRPr="00E526BD" w:rsidP="008F4FD3">
            <w:pPr>
              <w:pStyle w:val="TableParagraph"/>
              <w:spacing w:line="297" w:lineRule="auto"/>
              <w:ind w:left="23"/>
              <w:jc w:val="left"/>
              <w:rPr>
                <w:sz w:val="8"/>
              </w:rPr>
            </w:pPr>
            <w:r w:rsidRPr="00E526BD">
              <w:rPr>
                <w:w w:val="105"/>
                <w:sz w:val="8"/>
              </w:rPr>
              <w:t xml:space="preserve">Percentage of </w:t>
            </w:r>
            <w:r w:rsidRPr="00E526BD">
              <w:rPr>
                <w:w w:val="105"/>
                <w:sz w:val="8"/>
              </w:rPr>
              <w:t>lines with automatic train protection (EIUs only)</w:t>
            </w:r>
          </w:p>
        </w:tc>
        <w:tc>
          <w:tcPr>
            <w:tcW w:w="873" w:type="dxa"/>
          </w:tcPr>
          <w:p w:rsidR="009003F8" w:rsidRPr="00E526BD" w:rsidP="008F4FD3">
            <w:pPr>
              <w:pStyle w:val="TableParagraph"/>
              <w:spacing w:before="117"/>
              <w:ind w:right="250"/>
              <w:jc w:val="right"/>
              <w:rPr>
                <w:sz w:val="15"/>
              </w:rPr>
            </w:pPr>
            <w:r w:rsidRPr="00E526BD">
              <w:rPr>
                <w:sz w:val="15"/>
              </w:rPr>
              <w:t>1.6%</w:t>
            </w:r>
          </w:p>
        </w:tc>
        <w:tc>
          <w:tcPr>
            <w:tcW w:w="873" w:type="dxa"/>
          </w:tcPr>
          <w:p w:rsidR="009003F8" w:rsidRPr="00E526BD" w:rsidP="008F4FD3">
            <w:pPr>
              <w:pStyle w:val="TableParagraph"/>
              <w:spacing w:before="117"/>
              <w:ind w:right="251"/>
              <w:jc w:val="right"/>
              <w:rPr>
                <w:sz w:val="15"/>
              </w:rPr>
            </w:pPr>
            <w:r w:rsidRPr="00E526BD">
              <w:rPr>
                <w:sz w:val="15"/>
              </w:rPr>
              <w:t>1.7%</w:t>
            </w:r>
          </w:p>
        </w:tc>
        <w:tc>
          <w:tcPr>
            <w:tcW w:w="873" w:type="dxa"/>
          </w:tcPr>
          <w:p w:rsidR="009003F8" w:rsidRPr="00E526BD" w:rsidP="008F4FD3">
            <w:pPr>
              <w:pStyle w:val="TableParagraph"/>
              <w:spacing w:before="117"/>
              <w:ind w:left="179" w:right="171"/>
              <w:rPr>
                <w:sz w:val="15"/>
              </w:rPr>
            </w:pPr>
            <w:r w:rsidRPr="00E526BD">
              <w:rPr>
                <w:w w:val="105"/>
                <w:sz w:val="15"/>
              </w:rPr>
              <w:t>88.5%</w:t>
            </w:r>
          </w:p>
        </w:tc>
        <w:tc>
          <w:tcPr>
            <w:tcW w:w="873" w:type="dxa"/>
            <w:tcBorders>
              <w:right w:val="single" w:sz="4" w:space="0" w:color="auto"/>
            </w:tcBorders>
          </w:tcPr>
          <w:p w:rsidR="009003F8" w:rsidRPr="00E526BD" w:rsidP="008F4FD3">
            <w:pPr>
              <w:pStyle w:val="TableParagraph"/>
              <w:spacing w:before="117"/>
              <w:ind w:left="178" w:right="171"/>
              <w:rPr>
                <w:sz w:val="15"/>
              </w:rPr>
            </w:pPr>
            <w:r w:rsidRPr="00E526BD">
              <w:rPr>
                <w:w w:val="105"/>
                <w:sz w:val="15"/>
              </w:rPr>
              <w:t>8.0%</w:t>
            </w:r>
          </w:p>
        </w:tc>
        <w:tc>
          <w:tcPr>
            <w:tcW w:w="873" w:type="dxa"/>
            <w:tcBorders>
              <w:top w:val="nil"/>
              <w:left w:val="single" w:sz="4" w:space="0" w:color="auto"/>
              <w:bottom w:val="nil"/>
              <w:right w:val="nil"/>
            </w:tcBorders>
          </w:tcPr>
          <w:p w:rsidR="009003F8" w:rsidRPr="00E526BD" w:rsidP="008F4FD3">
            <w:pPr>
              <w:pStyle w:val="TableParagraph"/>
              <w:spacing w:before="117"/>
              <w:ind w:left="178" w:right="171"/>
              <w:rPr>
                <w:w w:val="105"/>
                <w:sz w:val="15"/>
              </w:rPr>
            </w:pPr>
          </w:p>
        </w:tc>
      </w:tr>
      <w:tr w:rsidTr="008F4FD3">
        <w:tblPrEx>
          <w:tblW w:w="0" w:type="auto"/>
          <w:tblLayout w:type="fixed"/>
          <w:tblCellMar>
            <w:left w:w="0" w:type="dxa"/>
            <w:right w:w="0" w:type="dxa"/>
          </w:tblCellMar>
          <w:tblLook w:val="01E0"/>
        </w:tblPrEx>
        <w:trPr>
          <w:trHeight w:val="400"/>
        </w:trPr>
        <w:tc>
          <w:tcPr>
            <w:tcW w:w="1787" w:type="dxa"/>
            <w:vAlign w:val="center"/>
          </w:tcPr>
          <w:p w:rsidR="009003F8" w:rsidRPr="00E526BD" w:rsidP="008F4FD3">
            <w:pPr>
              <w:pStyle w:val="TableParagraph"/>
              <w:spacing w:before="37" w:line="297" w:lineRule="auto"/>
              <w:ind w:left="23" w:right="18"/>
              <w:jc w:val="left"/>
              <w:rPr>
                <w:sz w:val="8"/>
              </w:rPr>
            </w:pPr>
            <w:r w:rsidRPr="00E526BD">
              <w:rPr>
                <w:w w:val="105"/>
                <w:sz w:val="8"/>
              </w:rPr>
              <w:t>Percentage of train-kilometres travelled for which on-board train protection systems are used</w:t>
            </w:r>
          </w:p>
        </w:tc>
        <w:tc>
          <w:tcPr>
            <w:tcW w:w="873" w:type="dxa"/>
          </w:tcPr>
          <w:p w:rsidR="009003F8" w:rsidRPr="00E526BD" w:rsidP="008F4FD3">
            <w:pPr>
              <w:pStyle w:val="TableParagraph"/>
              <w:spacing w:before="117"/>
              <w:ind w:right="250"/>
              <w:jc w:val="right"/>
              <w:rPr>
                <w:sz w:val="15"/>
              </w:rPr>
            </w:pPr>
            <w:r w:rsidRPr="00E526BD">
              <w:rPr>
                <w:sz w:val="15"/>
              </w:rPr>
              <w:t>0.0%</w:t>
            </w:r>
          </w:p>
        </w:tc>
        <w:tc>
          <w:tcPr>
            <w:tcW w:w="873" w:type="dxa"/>
          </w:tcPr>
          <w:p w:rsidR="009003F8" w:rsidRPr="00E526BD" w:rsidP="008F4FD3">
            <w:pPr>
              <w:pStyle w:val="TableParagraph"/>
              <w:spacing w:before="117"/>
              <w:ind w:right="251"/>
              <w:jc w:val="right"/>
              <w:rPr>
                <w:sz w:val="15"/>
              </w:rPr>
            </w:pPr>
            <w:r w:rsidRPr="00E526BD">
              <w:rPr>
                <w:sz w:val="15"/>
              </w:rPr>
              <w:t>1.0%</w:t>
            </w:r>
          </w:p>
        </w:tc>
        <w:tc>
          <w:tcPr>
            <w:tcW w:w="873" w:type="dxa"/>
          </w:tcPr>
          <w:p w:rsidR="009003F8" w:rsidRPr="00E526BD" w:rsidP="008F4FD3">
            <w:pPr>
              <w:pStyle w:val="TableParagraph"/>
              <w:spacing w:before="117"/>
              <w:ind w:left="179" w:right="171"/>
              <w:rPr>
                <w:sz w:val="15"/>
              </w:rPr>
            </w:pPr>
            <w:r w:rsidRPr="00E526BD">
              <w:rPr>
                <w:w w:val="105"/>
                <w:sz w:val="15"/>
              </w:rPr>
              <w:t>85.4%</w:t>
            </w:r>
          </w:p>
        </w:tc>
        <w:tc>
          <w:tcPr>
            <w:tcW w:w="873" w:type="dxa"/>
            <w:tcBorders>
              <w:right w:val="single" w:sz="4" w:space="0" w:color="auto"/>
            </w:tcBorders>
          </w:tcPr>
          <w:p w:rsidR="009003F8" w:rsidRPr="00E526BD" w:rsidP="008F4FD3">
            <w:pPr>
              <w:pStyle w:val="TableParagraph"/>
              <w:spacing w:before="117"/>
              <w:ind w:left="178" w:right="171"/>
              <w:rPr>
                <w:sz w:val="15"/>
              </w:rPr>
            </w:pPr>
            <w:r w:rsidRPr="00E526BD">
              <w:rPr>
                <w:w w:val="105"/>
                <w:sz w:val="15"/>
              </w:rPr>
              <w:t>13.5%</w:t>
            </w:r>
          </w:p>
        </w:tc>
        <w:tc>
          <w:tcPr>
            <w:tcW w:w="873" w:type="dxa"/>
            <w:tcBorders>
              <w:top w:val="nil"/>
              <w:left w:val="single" w:sz="4" w:space="0" w:color="auto"/>
              <w:bottom w:val="nil"/>
              <w:right w:val="nil"/>
            </w:tcBorders>
          </w:tcPr>
          <w:p w:rsidR="009003F8" w:rsidRPr="00E526BD" w:rsidP="008F4FD3">
            <w:pPr>
              <w:pStyle w:val="TableParagraph"/>
              <w:spacing w:before="117"/>
              <w:ind w:left="57"/>
              <w:jc w:val="left"/>
              <w:rPr>
                <w:w w:val="105"/>
                <w:sz w:val="15"/>
              </w:rPr>
            </w:pPr>
            <w:r w:rsidRPr="00E526BD">
              <w:rPr>
                <w:w w:val="103"/>
                <w:sz w:val="11"/>
              </w:rPr>
              <w:t>*</w:t>
            </w:r>
          </w:p>
        </w:tc>
      </w:tr>
    </w:tbl>
    <w:p w:rsidR="009003F8" w:rsidRPr="00E526BD" w:rsidP="009003F8">
      <w:pPr>
        <w:spacing w:before="125"/>
        <w:ind w:left="2251"/>
        <w:jc w:val="center"/>
        <w:rPr>
          <w:sz w:val="11"/>
        </w:rPr>
      </w:pPr>
    </w:p>
    <w:p w:rsidR="009003F8" w:rsidRPr="00E526BD" w:rsidP="009003F8">
      <w:pPr>
        <w:spacing w:before="10"/>
        <w:rPr>
          <w:sz w:val="23"/>
        </w:rPr>
      </w:pPr>
    </w:p>
    <w:p w:rsidR="009003F8" w:rsidRPr="00E526BD" w:rsidP="009003F8">
      <w:pPr>
        <w:pStyle w:val="ListParagraph"/>
        <w:widowControl w:val="0"/>
        <w:numPr>
          <w:ilvl w:val="1"/>
          <w:numId w:val="45"/>
        </w:numPr>
        <w:tabs>
          <w:tab w:val="left" w:pos="588"/>
        </w:tabs>
        <w:autoSpaceDE w:val="0"/>
        <w:autoSpaceDN w:val="0"/>
        <w:spacing w:before="100" w:line="283" w:lineRule="auto"/>
        <w:ind w:right="103" w:firstLine="0"/>
        <w:contextualSpacing w:val="0"/>
        <w:rPr>
          <w:b/>
          <w:sz w:val="13"/>
        </w:rPr>
      </w:pPr>
      <w:r w:rsidRPr="00E526BD">
        <w:rPr>
          <w:b/>
          <w:w w:val="105"/>
          <w:sz w:val="13"/>
        </w:rPr>
        <w:t xml:space="preserve">Number of level crossings (in total, per line kilometre and </w:t>
      </w:r>
      <w:r w:rsidRPr="00E526BD">
        <w:rPr>
          <w:b/>
          <w:w w:val="105"/>
          <w:sz w:val="13"/>
        </w:rPr>
        <w:t>per track kilometre), broken down into the following five types (only for EIU):</w:t>
      </w:r>
    </w:p>
    <w:p w:rsidR="009003F8" w:rsidRPr="00E526BD" w:rsidP="009003F8">
      <w:pPr>
        <w:spacing w:before="3" w:after="1"/>
        <w:rPr>
          <w:b/>
          <w:sz w:val="14"/>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7"/>
        <w:gridCol w:w="873"/>
        <w:gridCol w:w="873"/>
        <w:gridCol w:w="873"/>
        <w:gridCol w:w="788"/>
      </w:tblGrid>
      <w:tr w:rsidTr="00566FE9">
        <w:tblPrEx>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98"/>
        </w:trPr>
        <w:tc>
          <w:tcPr>
            <w:tcW w:w="1787" w:type="dxa"/>
            <w:tcBorders>
              <w:top w:val="nil"/>
              <w:left w:val="nil"/>
            </w:tcBorders>
          </w:tcPr>
          <w:p w:rsidR="009003F8" w:rsidRPr="00E526BD" w:rsidP="008F4FD3">
            <w:pPr>
              <w:pStyle w:val="TableParagraph"/>
              <w:rPr>
                <w:rFonts w:ascii="Times New Roman"/>
                <w:sz w:val="10"/>
              </w:rPr>
            </w:pPr>
          </w:p>
        </w:tc>
        <w:tc>
          <w:tcPr>
            <w:tcW w:w="873" w:type="dxa"/>
            <w:vAlign w:val="center"/>
          </w:tcPr>
          <w:p w:rsidR="009003F8" w:rsidRPr="00E526BD" w:rsidP="008F4FD3">
            <w:pPr>
              <w:pStyle w:val="TableParagraph"/>
              <w:spacing w:before="71"/>
              <w:rPr>
                <w:sz w:val="8"/>
              </w:rPr>
            </w:pPr>
            <w:r w:rsidRPr="00E526BD">
              <w:rPr>
                <w:sz w:val="8"/>
              </w:rPr>
              <w:t>manual</w:t>
            </w:r>
          </w:p>
        </w:tc>
        <w:tc>
          <w:tcPr>
            <w:tcW w:w="873" w:type="dxa"/>
            <w:vAlign w:val="center"/>
          </w:tcPr>
          <w:p w:rsidR="009003F8" w:rsidRPr="00E526BD" w:rsidP="008F4FD3">
            <w:pPr>
              <w:pStyle w:val="TableParagraph"/>
              <w:spacing w:before="49" w:line="297" w:lineRule="auto"/>
              <w:ind w:firstLine="10"/>
              <w:rPr>
                <w:sz w:val="8"/>
              </w:rPr>
            </w:pPr>
            <w:r w:rsidRPr="00E526BD">
              <w:rPr>
                <w:w w:val="105"/>
                <w:sz w:val="8"/>
              </w:rPr>
              <w:t>automatic with user warning</w:t>
            </w:r>
          </w:p>
        </w:tc>
        <w:tc>
          <w:tcPr>
            <w:tcW w:w="873" w:type="dxa"/>
            <w:vAlign w:val="center"/>
          </w:tcPr>
          <w:p w:rsidR="009003F8" w:rsidRPr="00E526BD" w:rsidP="008F4FD3">
            <w:pPr>
              <w:pStyle w:val="TableParagraph"/>
              <w:spacing w:before="49" w:line="297" w:lineRule="auto"/>
              <w:ind w:firstLine="11"/>
              <w:rPr>
                <w:sz w:val="8"/>
              </w:rPr>
            </w:pPr>
            <w:r w:rsidRPr="00E526BD">
              <w:rPr>
                <w:w w:val="105"/>
                <w:sz w:val="8"/>
              </w:rPr>
              <w:t>automatic with user protection</w:t>
            </w:r>
          </w:p>
        </w:tc>
        <w:tc>
          <w:tcPr>
            <w:tcW w:w="788" w:type="dxa"/>
            <w:vAlign w:val="center"/>
          </w:tcPr>
          <w:p w:rsidR="009003F8" w:rsidRPr="00E526BD" w:rsidP="008F4FD3">
            <w:pPr>
              <w:pStyle w:val="TableParagraph"/>
              <w:spacing w:before="1" w:line="298" w:lineRule="auto"/>
              <w:rPr>
                <w:sz w:val="8"/>
              </w:rPr>
            </w:pPr>
            <w:r w:rsidRPr="00E526BD">
              <w:rPr>
                <w:w w:val="105"/>
                <w:sz w:val="8"/>
              </w:rPr>
              <w:t>with trackside protection</w:t>
            </w:r>
          </w:p>
        </w:tc>
      </w:tr>
      <w:tr w:rsidTr="00566FE9">
        <w:tblPrEx>
          <w:tblW w:w="0" w:type="auto"/>
          <w:tblInd w:w="335" w:type="dxa"/>
          <w:tblLayout w:type="fixed"/>
          <w:tblCellMar>
            <w:left w:w="0" w:type="dxa"/>
            <w:right w:w="0" w:type="dxa"/>
          </w:tblCellMar>
          <w:tblLook w:val="01E0"/>
        </w:tblPrEx>
        <w:trPr>
          <w:trHeight w:val="255"/>
        </w:trPr>
        <w:tc>
          <w:tcPr>
            <w:tcW w:w="1787" w:type="dxa"/>
            <w:vAlign w:val="center"/>
          </w:tcPr>
          <w:p w:rsidR="009003F8" w:rsidRPr="00E526BD" w:rsidP="008F4FD3">
            <w:pPr>
              <w:pStyle w:val="TableParagraph"/>
              <w:ind w:left="23"/>
              <w:jc w:val="left"/>
              <w:rPr>
                <w:sz w:val="8"/>
              </w:rPr>
            </w:pPr>
            <w:r w:rsidRPr="00E526BD">
              <w:rPr>
                <w:w w:val="105"/>
                <w:sz w:val="8"/>
              </w:rPr>
              <w:t>Actively protected level crossings</w:t>
            </w:r>
          </w:p>
        </w:tc>
        <w:tc>
          <w:tcPr>
            <w:tcW w:w="873" w:type="dxa"/>
          </w:tcPr>
          <w:p w:rsidR="009003F8" w:rsidRPr="00E526BD" w:rsidP="008F4FD3">
            <w:pPr>
              <w:pStyle w:val="TableParagraph"/>
              <w:spacing w:before="44"/>
              <w:ind w:right="230"/>
              <w:jc w:val="right"/>
              <w:rPr>
                <w:sz w:val="15"/>
              </w:rPr>
            </w:pPr>
            <w:r w:rsidRPr="00E526BD">
              <w:rPr>
                <w:sz w:val="15"/>
              </w:rPr>
              <w:t>1,087</w:t>
            </w:r>
          </w:p>
        </w:tc>
        <w:tc>
          <w:tcPr>
            <w:tcW w:w="873" w:type="dxa"/>
          </w:tcPr>
          <w:p w:rsidR="009003F8" w:rsidRPr="00E526BD" w:rsidP="008F4FD3">
            <w:pPr>
              <w:pStyle w:val="TableParagraph"/>
              <w:spacing w:before="44"/>
              <w:ind w:left="314"/>
              <w:rPr>
                <w:sz w:val="15"/>
              </w:rPr>
            </w:pPr>
            <w:r w:rsidRPr="00E526BD">
              <w:rPr>
                <w:w w:val="105"/>
                <w:sz w:val="15"/>
              </w:rPr>
              <w:t>724</w:t>
            </w:r>
          </w:p>
        </w:tc>
        <w:tc>
          <w:tcPr>
            <w:tcW w:w="873" w:type="dxa"/>
          </w:tcPr>
          <w:p w:rsidR="009003F8" w:rsidRPr="00E526BD" w:rsidP="008F4FD3">
            <w:pPr>
              <w:pStyle w:val="TableParagraph"/>
              <w:spacing w:before="44"/>
              <w:ind w:left="189" w:right="171"/>
              <w:rPr>
                <w:sz w:val="15"/>
              </w:rPr>
            </w:pPr>
            <w:r w:rsidRPr="00E526BD">
              <w:rPr>
                <w:w w:val="105"/>
                <w:sz w:val="15"/>
              </w:rPr>
              <w:t>6,932</w:t>
            </w:r>
          </w:p>
        </w:tc>
        <w:tc>
          <w:tcPr>
            <w:tcW w:w="788" w:type="dxa"/>
          </w:tcPr>
          <w:p w:rsidR="009003F8" w:rsidRPr="00E526BD" w:rsidP="008F4FD3">
            <w:pPr>
              <w:pStyle w:val="TableParagraph"/>
              <w:spacing w:before="44"/>
              <w:ind w:left="189" w:right="171"/>
              <w:rPr>
                <w:sz w:val="15"/>
              </w:rPr>
            </w:pPr>
            <w:r w:rsidRPr="00E526BD">
              <w:rPr>
                <w:w w:val="105"/>
                <w:sz w:val="15"/>
              </w:rPr>
              <w:t>1,039</w:t>
            </w:r>
          </w:p>
        </w:tc>
      </w:tr>
      <w:tr w:rsidTr="00566FE9">
        <w:tblPrEx>
          <w:tblW w:w="0" w:type="auto"/>
          <w:tblInd w:w="335" w:type="dxa"/>
          <w:tblLayout w:type="fixed"/>
          <w:tblCellMar>
            <w:left w:w="0" w:type="dxa"/>
            <w:right w:w="0" w:type="dxa"/>
          </w:tblCellMar>
          <w:tblLook w:val="01E0"/>
        </w:tblPrEx>
        <w:trPr>
          <w:trHeight w:val="255"/>
        </w:trPr>
        <w:tc>
          <w:tcPr>
            <w:tcW w:w="1787" w:type="dxa"/>
            <w:vAlign w:val="center"/>
          </w:tcPr>
          <w:p w:rsidR="009003F8" w:rsidRPr="00E526BD" w:rsidP="008F4FD3">
            <w:pPr>
              <w:pStyle w:val="TableParagraph"/>
              <w:spacing w:before="16"/>
              <w:ind w:left="23"/>
              <w:jc w:val="left"/>
              <w:rPr>
                <w:sz w:val="8"/>
              </w:rPr>
            </w:pPr>
            <w:r w:rsidRPr="00E526BD">
              <w:rPr>
                <w:w w:val="105"/>
                <w:sz w:val="8"/>
              </w:rPr>
              <w:t>Average number per line</w:t>
            </w:r>
            <w:r w:rsidRPr="00E526BD">
              <w:rPr>
                <w:w w:val="105"/>
                <w:sz w:val="8"/>
              </w:rPr>
              <w:t xml:space="preserve"> kilometre</w:t>
            </w:r>
          </w:p>
        </w:tc>
        <w:tc>
          <w:tcPr>
            <w:tcW w:w="873" w:type="dxa"/>
          </w:tcPr>
          <w:p w:rsidR="009003F8" w:rsidRPr="00E526BD" w:rsidP="008F4FD3">
            <w:pPr>
              <w:pStyle w:val="TableParagraph"/>
              <w:spacing w:before="44"/>
              <w:ind w:right="230"/>
              <w:jc w:val="right"/>
              <w:rPr>
                <w:sz w:val="15"/>
              </w:rPr>
            </w:pPr>
            <w:r w:rsidRPr="00E526BD">
              <w:rPr>
                <w:sz w:val="15"/>
              </w:rPr>
              <w:t>0.032</w:t>
            </w:r>
          </w:p>
        </w:tc>
        <w:tc>
          <w:tcPr>
            <w:tcW w:w="873" w:type="dxa"/>
          </w:tcPr>
          <w:p w:rsidR="009003F8" w:rsidRPr="00E526BD" w:rsidP="008F4FD3">
            <w:pPr>
              <w:pStyle w:val="TableParagraph"/>
              <w:spacing w:before="44"/>
              <w:ind w:left="251"/>
              <w:rPr>
                <w:sz w:val="15"/>
              </w:rPr>
            </w:pPr>
            <w:r w:rsidRPr="00E526BD">
              <w:rPr>
                <w:w w:val="105"/>
                <w:sz w:val="15"/>
              </w:rPr>
              <w:t>0.022</w:t>
            </w:r>
          </w:p>
        </w:tc>
        <w:tc>
          <w:tcPr>
            <w:tcW w:w="873" w:type="dxa"/>
          </w:tcPr>
          <w:p w:rsidR="009003F8" w:rsidRPr="00E526BD" w:rsidP="008F4FD3">
            <w:pPr>
              <w:pStyle w:val="TableParagraph"/>
              <w:spacing w:before="44"/>
              <w:ind w:left="189" w:right="171"/>
              <w:rPr>
                <w:sz w:val="15"/>
              </w:rPr>
            </w:pPr>
            <w:r w:rsidRPr="00E526BD">
              <w:rPr>
                <w:w w:val="105"/>
                <w:sz w:val="15"/>
              </w:rPr>
              <w:t>0.207</w:t>
            </w:r>
          </w:p>
        </w:tc>
        <w:tc>
          <w:tcPr>
            <w:tcW w:w="788" w:type="dxa"/>
          </w:tcPr>
          <w:p w:rsidR="009003F8" w:rsidRPr="00E526BD" w:rsidP="008F4FD3">
            <w:pPr>
              <w:pStyle w:val="TableParagraph"/>
              <w:spacing w:before="44"/>
              <w:ind w:left="189" w:right="171"/>
              <w:rPr>
                <w:sz w:val="15"/>
              </w:rPr>
            </w:pPr>
            <w:r w:rsidRPr="00E526BD">
              <w:rPr>
                <w:w w:val="105"/>
                <w:sz w:val="15"/>
              </w:rPr>
              <w:t>0.031</w:t>
            </w:r>
          </w:p>
        </w:tc>
      </w:tr>
      <w:tr w:rsidTr="00566FE9">
        <w:tblPrEx>
          <w:tblW w:w="0" w:type="auto"/>
          <w:tblInd w:w="335" w:type="dxa"/>
          <w:tblLayout w:type="fixed"/>
          <w:tblCellMar>
            <w:left w:w="0" w:type="dxa"/>
            <w:right w:w="0" w:type="dxa"/>
          </w:tblCellMar>
          <w:tblLook w:val="01E0"/>
        </w:tblPrEx>
        <w:trPr>
          <w:trHeight w:val="255"/>
        </w:trPr>
        <w:tc>
          <w:tcPr>
            <w:tcW w:w="1787" w:type="dxa"/>
            <w:vAlign w:val="center"/>
          </w:tcPr>
          <w:p w:rsidR="009003F8" w:rsidRPr="00E526BD" w:rsidP="008F4FD3">
            <w:pPr>
              <w:pStyle w:val="TableParagraph"/>
              <w:ind w:left="23"/>
              <w:jc w:val="left"/>
              <w:rPr>
                <w:sz w:val="8"/>
              </w:rPr>
            </w:pPr>
            <w:r w:rsidRPr="00E526BD">
              <w:rPr>
                <w:w w:val="105"/>
                <w:sz w:val="8"/>
              </w:rPr>
              <w:t>Average number per track kilometre</w:t>
            </w:r>
          </w:p>
        </w:tc>
        <w:tc>
          <w:tcPr>
            <w:tcW w:w="873" w:type="dxa"/>
          </w:tcPr>
          <w:p w:rsidR="009003F8" w:rsidRPr="00E526BD" w:rsidP="008F4FD3">
            <w:pPr>
              <w:pStyle w:val="TableParagraph"/>
              <w:spacing w:before="44"/>
              <w:ind w:right="230"/>
              <w:jc w:val="right"/>
              <w:rPr>
                <w:sz w:val="15"/>
              </w:rPr>
            </w:pPr>
            <w:r w:rsidRPr="00E526BD">
              <w:rPr>
                <w:sz w:val="15"/>
              </w:rPr>
              <w:t>0.018</w:t>
            </w:r>
          </w:p>
        </w:tc>
        <w:tc>
          <w:tcPr>
            <w:tcW w:w="873" w:type="dxa"/>
          </w:tcPr>
          <w:p w:rsidR="009003F8" w:rsidRPr="00E526BD" w:rsidP="008F4FD3">
            <w:pPr>
              <w:pStyle w:val="TableParagraph"/>
              <w:spacing w:before="44"/>
              <w:ind w:left="251"/>
              <w:rPr>
                <w:sz w:val="15"/>
              </w:rPr>
            </w:pPr>
            <w:r w:rsidRPr="00E526BD">
              <w:rPr>
                <w:w w:val="105"/>
                <w:sz w:val="15"/>
              </w:rPr>
              <w:t>0.012</w:t>
            </w:r>
          </w:p>
        </w:tc>
        <w:tc>
          <w:tcPr>
            <w:tcW w:w="873" w:type="dxa"/>
          </w:tcPr>
          <w:p w:rsidR="009003F8" w:rsidRPr="00E526BD" w:rsidP="008F4FD3">
            <w:pPr>
              <w:pStyle w:val="TableParagraph"/>
              <w:spacing w:before="44"/>
              <w:ind w:left="189" w:right="171"/>
              <w:rPr>
                <w:sz w:val="15"/>
              </w:rPr>
            </w:pPr>
            <w:r w:rsidRPr="00E526BD">
              <w:rPr>
                <w:w w:val="105"/>
                <w:sz w:val="15"/>
              </w:rPr>
              <w:t>0.114</w:t>
            </w:r>
          </w:p>
        </w:tc>
        <w:tc>
          <w:tcPr>
            <w:tcW w:w="788" w:type="dxa"/>
          </w:tcPr>
          <w:p w:rsidR="009003F8" w:rsidRPr="00E526BD" w:rsidP="008F4FD3">
            <w:pPr>
              <w:pStyle w:val="TableParagraph"/>
              <w:spacing w:before="44"/>
              <w:ind w:left="189" w:right="171"/>
              <w:rPr>
                <w:sz w:val="15"/>
              </w:rPr>
            </w:pPr>
            <w:r w:rsidRPr="00E526BD">
              <w:rPr>
                <w:w w:val="105"/>
                <w:sz w:val="15"/>
              </w:rPr>
              <w:t>0.017</w:t>
            </w:r>
          </w:p>
        </w:tc>
      </w:tr>
    </w:tbl>
    <w:p w:rsidR="009003F8" w:rsidRPr="00E526BD" w:rsidP="009003F8">
      <w:pPr>
        <w:spacing w:before="6" w:after="1"/>
        <w:rPr>
          <w:b/>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87"/>
        <w:gridCol w:w="873"/>
      </w:tblGrid>
      <w:tr w:rsidTr="008F4FD3">
        <w:tblPrEx>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55"/>
        </w:trPr>
        <w:tc>
          <w:tcPr>
            <w:tcW w:w="1787" w:type="dxa"/>
            <w:tcBorders>
              <w:top w:val="nil"/>
              <w:left w:val="nil"/>
            </w:tcBorders>
          </w:tcPr>
          <w:p w:rsidR="009003F8" w:rsidRPr="00E526BD" w:rsidP="008F4FD3">
            <w:pPr>
              <w:pStyle w:val="TableParagraph"/>
              <w:rPr>
                <w:rFonts w:ascii="Times New Roman"/>
                <w:sz w:val="10"/>
              </w:rPr>
            </w:pPr>
          </w:p>
        </w:tc>
        <w:tc>
          <w:tcPr>
            <w:tcW w:w="873" w:type="dxa"/>
            <w:vAlign w:val="center"/>
          </w:tcPr>
          <w:p w:rsidR="009003F8" w:rsidRPr="00E526BD" w:rsidP="008F4FD3">
            <w:pPr>
              <w:pStyle w:val="TableParagraph"/>
              <w:ind w:left="189" w:right="162"/>
              <w:rPr>
                <w:sz w:val="8"/>
              </w:rPr>
            </w:pPr>
            <w:r w:rsidRPr="00E526BD">
              <w:rPr>
                <w:w w:val="105"/>
                <w:sz w:val="8"/>
              </w:rPr>
              <w:t>Total</w:t>
            </w:r>
          </w:p>
        </w:tc>
      </w:tr>
      <w:tr w:rsidTr="008F4FD3">
        <w:tblPrEx>
          <w:tblW w:w="0" w:type="auto"/>
          <w:tblInd w:w="335" w:type="dxa"/>
          <w:tblLayout w:type="fixed"/>
          <w:tblCellMar>
            <w:left w:w="0" w:type="dxa"/>
            <w:right w:w="0" w:type="dxa"/>
          </w:tblCellMar>
          <w:tblLook w:val="01E0"/>
        </w:tblPrEx>
        <w:trPr>
          <w:trHeight w:val="255"/>
        </w:trPr>
        <w:tc>
          <w:tcPr>
            <w:tcW w:w="1787" w:type="dxa"/>
            <w:vAlign w:val="center"/>
          </w:tcPr>
          <w:p w:rsidR="009003F8" w:rsidRPr="00E526BD" w:rsidP="008F4FD3">
            <w:pPr>
              <w:pStyle w:val="TableParagraph"/>
              <w:ind w:left="23"/>
              <w:jc w:val="left"/>
              <w:rPr>
                <w:sz w:val="8"/>
              </w:rPr>
            </w:pPr>
            <w:r w:rsidRPr="00E526BD">
              <w:rPr>
                <w:w w:val="105"/>
                <w:sz w:val="8"/>
              </w:rPr>
              <w:t>Passively protected level crossings</w:t>
            </w:r>
          </w:p>
        </w:tc>
        <w:tc>
          <w:tcPr>
            <w:tcW w:w="873" w:type="dxa"/>
          </w:tcPr>
          <w:p w:rsidR="009003F8" w:rsidRPr="00E526BD" w:rsidP="008F4FD3">
            <w:pPr>
              <w:pStyle w:val="TableParagraph"/>
              <w:spacing w:before="44"/>
              <w:ind w:left="189" w:right="169"/>
              <w:rPr>
                <w:sz w:val="15"/>
              </w:rPr>
            </w:pPr>
            <w:r w:rsidRPr="00E526BD">
              <w:rPr>
                <w:w w:val="105"/>
                <w:sz w:val="15"/>
              </w:rPr>
              <w:t>4,202</w:t>
            </w:r>
          </w:p>
        </w:tc>
      </w:tr>
      <w:tr w:rsidTr="008F4FD3">
        <w:tblPrEx>
          <w:tblW w:w="0" w:type="auto"/>
          <w:tblInd w:w="335" w:type="dxa"/>
          <w:tblLayout w:type="fixed"/>
          <w:tblCellMar>
            <w:left w:w="0" w:type="dxa"/>
            <w:right w:w="0" w:type="dxa"/>
          </w:tblCellMar>
          <w:tblLook w:val="01E0"/>
        </w:tblPrEx>
        <w:trPr>
          <w:trHeight w:val="255"/>
        </w:trPr>
        <w:tc>
          <w:tcPr>
            <w:tcW w:w="1787" w:type="dxa"/>
            <w:vAlign w:val="center"/>
          </w:tcPr>
          <w:p w:rsidR="009003F8" w:rsidRPr="00E526BD" w:rsidP="008F4FD3">
            <w:pPr>
              <w:pStyle w:val="TableParagraph"/>
              <w:spacing w:before="16"/>
              <w:ind w:left="23"/>
              <w:jc w:val="left"/>
              <w:rPr>
                <w:sz w:val="8"/>
              </w:rPr>
            </w:pPr>
            <w:r w:rsidRPr="00E526BD">
              <w:rPr>
                <w:w w:val="105"/>
                <w:sz w:val="8"/>
              </w:rPr>
              <w:t>Average number per</w:t>
            </w:r>
          </w:p>
          <w:p w:rsidR="009003F8" w:rsidRPr="00E526BD" w:rsidP="008F4FD3">
            <w:pPr>
              <w:pStyle w:val="TableParagraph"/>
              <w:spacing w:before="22"/>
              <w:ind w:left="23"/>
              <w:jc w:val="left"/>
              <w:rPr>
                <w:sz w:val="8"/>
              </w:rPr>
            </w:pPr>
            <w:r w:rsidRPr="00E526BD">
              <w:rPr>
                <w:w w:val="105"/>
                <w:sz w:val="8"/>
              </w:rPr>
              <w:t>kilometre of line</w:t>
            </w:r>
          </w:p>
        </w:tc>
        <w:tc>
          <w:tcPr>
            <w:tcW w:w="873" w:type="dxa"/>
          </w:tcPr>
          <w:p w:rsidR="009003F8" w:rsidRPr="00E526BD" w:rsidP="008F4FD3">
            <w:pPr>
              <w:pStyle w:val="TableParagraph"/>
              <w:spacing w:before="44"/>
              <w:ind w:left="189" w:right="169"/>
              <w:rPr>
                <w:sz w:val="15"/>
              </w:rPr>
            </w:pPr>
            <w:r w:rsidRPr="00E526BD">
              <w:rPr>
                <w:w w:val="105"/>
                <w:sz w:val="15"/>
              </w:rPr>
              <w:t>0.126</w:t>
            </w:r>
          </w:p>
        </w:tc>
      </w:tr>
      <w:tr w:rsidTr="008F4FD3">
        <w:tblPrEx>
          <w:tblW w:w="0" w:type="auto"/>
          <w:tblInd w:w="335" w:type="dxa"/>
          <w:tblLayout w:type="fixed"/>
          <w:tblCellMar>
            <w:left w:w="0" w:type="dxa"/>
            <w:right w:w="0" w:type="dxa"/>
          </w:tblCellMar>
          <w:tblLook w:val="01E0"/>
        </w:tblPrEx>
        <w:trPr>
          <w:trHeight w:val="255"/>
        </w:trPr>
        <w:tc>
          <w:tcPr>
            <w:tcW w:w="1787" w:type="dxa"/>
            <w:vAlign w:val="center"/>
          </w:tcPr>
          <w:p w:rsidR="009003F8" w:rsidRPr="00E526BD" w:rsidP="008F4FD3">
            <w:pPr>
              <w:pStyle w:val="TableParagraph"/>
              <w:ind w:left="23"/>
              <w:jc w:val="left"/>
              <w:rPr>
                <w:sz w:val="8"/>
              </w:rPr>
            </w:pPr>
            <w:r w:rsidRPr="00E526BD">
              <w:rPr>
                <w:w w:val="105"/>
                <w:sz w:val="8"/>
              </w:rPr>
              <w:t>Average number per track kilometre</w:t>
            </w:r>
          </w:p>
        </w:tc>
        <w:tc>
          <w:tcPr>
            <w:tcW w:w="873" w:type="dxa"/>
          </w:tcPr>
          <w:p w:rsidR="009003F8" w:rsidRPr="00E526BD" w:rsidP="008F4FD3">
            <w:pPr>
              <w:pStyle w:val="TableParagraph"/>
              <w:spacing w:before="44"/>
              <w:ind w:left="189" w:right="169"/>
              <w:rPr>
                <w:sz w:val="15"/>
              </w:rPr>
            </w:pPr>
            <w:r w:rsidRPr="00E526BD">
              <w:rPr>
                <w:w w:val="105"/>
                <w:sz w:val="15"/>
              </w:rPr>
              <w:t>0.069</w:t>
            </w:r>
          </w:p>
        </w:tc>
      </w:tr>
    </w:tbl>
    <w:p w:rsidR="009003F8" w:rsidRPr="00E526BD" w:rsidP="009003F8">
      <w:pPr>
        <w:rPr>
          <w:b/>
          <w:sz w:val="14"/>
        </w:rPr>
      </w:pPr>
    </w:p>
    <w:p w:rsidR="009003F8" w:rsidRPr="00E526BD" w:rsidP="009003F8">
      <w:pPr>
        <w:spacing w:before="120" w:line="295" w:lineRule="auto"/>
        <w:ind w:left="358"/>
        <w:rPr>
          <w:sz w:val="11"/>
        </w:rPr>
      </w:pPr>
      <w:r w:rsidRPr="00E526BD">
        <w:rPr>
          <w:w w:val="105"/>
          <w:sz w:val="11"/>
        </w:rPr>
        <w:t>* The train-kilometres travelled using on-board train protection systems are available for only some of the railway undertakings. These undertakings together provide approximately 70% of train-kilometres.</w:t>
      </w:r>
    </w:p>
    <w:p w:rsidR="009003F8" w:rsidRPr="00E526BD" w:rsidP="00426369">
      <w:pPr>
        <w:pStyle w:val="Text1"/>
        <w:spacing w:after="0"/>
        <w:ind w:left="0"/>
        <w:jc w:val="left"/>
      </w:pPr>
    </w:p>
    <w:p w:rsidR="00D06133" w:rsidRPr="00E526BD" w:rsidP="00426369">
      <w:pPr>
        <w:pStyle w:val="Text1"/>
        <w:spacing w:after="0"/>
        <w:ind w:left="0"/>
        <w:jc w:val="left"/>
        <w:rPr>
          <w:szCs w:val="24"/>
        </w:rPr>
      </w:pPr>
      <w:r w:rsidRPr="00E526BD">
        <w:br w:type="page"/>
      </w:r>
    </w:p>
    <w:p w:rsidR="00552FA3" w:rsidRPr="00E526BD" w:rsidP="005C78AA">
      <w:pPr>
        <w:pStyle w:val="Heading1"/>
        <w:spacing w:before="0" w:after="0"/>
      </w:pPr>
      <w:bookmarkStart w:id="38" w:name="_ANHANG_D:_Wichtige"/>
      <w:bookmarkStart w:id="39" w:name="_Toc530579252"/>
      <w:bookmarkEnd w:id="38"/>
      <w:r w:rsidRPr="00E526BD">
        <w:t>ANNEX B: Amended legal provisions</w:t>
      </w:r>
      <w:bookmarkEnd w:id="39"/>
    </w:p>
    <w:p w:rsidR="005C78AA" w:rsidRPr="00E526BD" w:rsidP="00B30FA2">
      <w:bookmarkStart w:id="40" w:name="_Tabelle_1:_Umsetzung"/>
      <w:bookmarkEnd w:id="40"/>
    </w:p>
    <w:p w:rsidR="005C78AA" w:rsidRPr="00E526BD" w:rsidP="00B30FA2"/>
    <w:p w:rsidR="00DB5308" w:rsidRPr="00E526BD" w:rsidP="005C78AA">
      <w:pPr>
        <w:pStyle w:val="Heading2"/>
        <w:spacing w:before="0" w:after="0"/>
      </w:pPr>
      <w:bookmarkStart w:id="41" w:name="_Tabelle_1:_Umsetzung_1"/>
      <w:bookmarkStart w:id="42" w:name="_Toc530579253"/>
      <w:bookmarkEnd w:id="41"/>
      <w:r w:rsidRPr="00E526BD">
        <w:t>Table 1: Imp</w:t>
      </w:r>
      <w:r w:rsidRPr="00E526BD">
        <w:t>lementation of the amendments to Directive 2004/49/EC</w:t>
      </w:r>
      <w:bookmarkEnd w:id="42"/>
    </w:p>
    <w:p w:rsidR="005C78AA" w:rsidRPr="00E526BD" w:rsidP="005C78AA"/>
    <w:tbl>
      <w:tblPr>
        <w:tblStyle w:val="TableGrid"/>
        <w:tblW w:w="0" w:type="auto"/>
        <w:tblLook w:val="04A0"/>
      </w:tblPr>
      <w:tblGrid>
        <w:gridCol w:w="2249"/>
        <w:gridCol w:w="1418"/>
        <w:gridCol w:w="3494"/>
        <w:gridCol w:w="1878"/>
      </w:tblGrid>
      <w:tr w:rsidTr="00CD49FF">
        <w:tblPrEx>
          <w:tblW w:w="0" w:type="auto"/>
          <w:tblLook w:val="04A0"/>
        </w:tblPrEx>
        <w:tc>
          <w:tcPr>
            <w:tcW w:w="2278" w:type="dxa"/>
          </w:tcPr>
          <w:p w:rsidR="00552FA3" w:rsidRPr="00E526BD" w:rsidP="005C78AA">
            <w:pPr>
              <w:spacing w:before="60" w:after="60"/>
              <w:rPr>
                <w:b/>
                <w:sz w:val="16"/>
                <w:szCs w:val="16"/>
              </w:rPr>
            </w:pPr>
            <w:r w:rsidRPr="00E526BD">
              <w:rPr>
                <w:b/>
                <w:sz w:val="16"/>
              </w:rPr>
              <w:t>amendments to Directive 2004/49/EC</w:t>
            </w:r>
          </w:p>
        </w:tc>
        <w:tc>
          <w:tcPr>
            <w:tcW w:w="1430" w:type="dxa"/>
          </w:tcPr>
          <w:p w:rsidR="00552FA3" w:rsidRPr="00E526BD" w:rsidP="005C78AA">
            <w:pPr>
              <w:spacing w:before="60" w:after="60"/>
              <w:rPr>
                <w:b/>
                <w:sz w:val="16"/>
                <w:szCs w:val="16"/>
              </w:rPr>
            </w:pPr>
            <w:r w:rsidRPr="00E526BD">
              <w:rPr>
                <w:b/>
                <w:sz w:val="16"/>
              </w:rPr>
              <w:t>Implemented (Yes/No)</w:t>
            </w:r>
          </w:p>
        </w:tc>
        <w:tc>
          <w:tcPr>
            <w:tcW w:w="3630" w:type="dxa"/>
          </w:tcPr>
          <w:p w:rsidR="00552FA3" w:rsidRPr="00E526BD" w:rsidP="005C78AA">
            <w:pPr>
              <w:spacing w:before="60" w:after="60"/>
              <w:rPr>
                <w:b/>
                <w:sz w:val="16"/>
                <w:szCs w:val="16"/>
              </w:rPr>
            </w:pPr>
            <w:r w:rsidRPr="00E526BD">
              <w:rPr>
                <w:b/>
                <w:sz w:val="16"/>
              </w:rPr>
              <w:t>Main legislative act</w:t>
            </w:r>
          </w:p>
        </w:tc>
        <w:tc>
          <w:tcPr>
            <w:tcW w:w="1927" w:type="dxa"/>
          </w:tcPr>
          <w:p w:rsidR="00552FA3" w:rsidRPr="00E526BD" w:rsidP="005C78AA">
            <w:pPr>
              <w:spacing w:before="60" w:after="60"/>
              <w:rPr>
                <w:b/>
                <w:sz w:val="16"/>
                <w:szCs w:val="16"/>
              </w:rPr>
            </w:pPr>
            <w:r w:rsidRPr="00E526BD">
              <w:rPr>
                <w:b/>
                <w:sz w:val="16"/>
              </w:rPr>
              <w:t>Date of entry into force</w:t>
            </w:r>
          </w:p>
        </w:tc>
      </w:tr>
      <w:tr w:rsidTr="00CD49FF">
        <w:tblPrEx>
          <w:tblW w:w="0" w:type="auto"/>
          <w:tblLook w:val="04A0"/>
        </w:tblPrEx>
        <w:tc>
          <w:tcPr>
            <w:tcW w:w="2278" w:type="dxa"/>
            <w:vMerge w:val="restart"/>
          </w:tcPr>
          <w:p w:rsidR="00230397" w:rsidRPr="00E526BD" w:rsidP="005C78AA">
            <w:pPr>
              <w:spacing w:before="60"/>
              <w:rPr>
                <w:sz w:val="16"/>
                <w:szCs w:val="16"/>
              </w:rPr>
            </w:pPr>
            <w:r w:rsidRPr="00E526BD">
              <w:rPr>
                <w:sz w:val="16"/>
              </w:rPr>
              <w:t>Directive 2008/57/EC</w:t>
            </w:r>
          </w:p>
        </w:tc>
        <w:tc>
          <w:tcPr>
            <w:tcW w:w="1430" w:type="dxa"/>
            <w:vMerge w:val="restart"/>
          </w:tcPr>
          <w:p w:rsidR="00230397" w:rsidRPr="00E526BD" w:rsidP="005C78AA">
            <w:pPr>
              <w:spacing w:before="60"/>
              <w:rPr>
                <w:sz w:val="16"/>
                <w:szCs w:val="16"/>
              </w:rPr>
            </w:pPr>
            <w:r w:rsidRPr="00E526BD">
              <w:rPr>
                <w:sz w:val="16"/>
              </w:rPr>
              <w:t>Yes</w:t>
            </w:r>
          </w:p>
        </w:tc>
        <w:tc>
          <w:tcPr>
            <w:tcW w:w="3630" w:type="dxa"/>
          </w:tcPr>
          <w:p w:rsidR="00230397" w:rsidRPr="00E526BD" w:rsidP="005C78AA">
            <w:pPr>
              <w:spacing w:before="60"/>
              <w:rPr>
                <w:sz w:val="16"/>
                <w:szCs w:val="16"/>
              </w:rPr>
            </w:pPr>
            <w:r w:rsidRPr="00E526BD">
              <w:rPr>
                <w:sz w:val="16"/>
              </w:rPr>
              <w:t>Eighth Act Amending the Statutory Provisions Governing Railways of 12 September 2012 (</w:t>
            </w:r>
            <w:r w:rsidRPr="00E526BD">
              <w:rPr>
                <w:sz w:val="16"/>
              </w:rPr>
              <w:t>BGBl</w:t>
            </w:r>
            <w:r w:rsidRPr="00E526BD">
              <w:rPr>
                <w:sz w:val="16"/>
              </w:rPr>
              <w:t xml:space="preserve">. I p. 1421) </w:t>
            </w:r>
          </w:p>
        </w:tc>
        <w:tc>
          <w:tcPr>
            <w:tcW w:w="1927" w:type="dxa"/>
          </w:tcPr>
          <w:p w:rsidR="00230397" w:rsidRPr="00E526BD" w:rsidP="005C78AA">
            <w:pPr>
              <w:spacing w:before="60"/>
              <w:rPr>
                <w:sz w:val="16"/>
                <w:szCs w:val="16"/>
              </w:rPr>
            </w:pPr>
            <w:r w:rsidRPr="00E526BD">
              <w:rPr>
                <w:sz w:val="16"/>
              </w:rPr>
              <w:t>18.09.2012</w:t>
            </w:r>
          </w:p>
        </w:tc>
      </w:tr>
      <w:tr w:rsidTr="00CD49FF">
        <w:tblPrEx>
          <w:tblW w:w="0" w:type="auto"/>
          <w:tblLook w:val="04A0"/>
        </w:tblPrEx>
        <w:tc>
          <w:tcPr>
            <w:tcW w:w="2278" w:type="dxa"/>
            <w:vMerge/>
          </w:tcPr>
          <w:p w:rsidR="00CD49FF" w:rsidRPr="00E526BD" w:rsidP="005C78AA">
            <w:pPr>
              <w:spacing w:before="60"/>
              <w:rPr>
                <w:sz w:val="16"/>
                <w:szCs w:val="16"/>
              </w:rPr>
            </w:pPr>
          </w:p>
        </w:tc>
        <w:tc>
          <w:tcPr>
            <w:tcW w:w="1430" w:type="dxa"/>
            <w:vMerge/>
          </w:tcPr>
          <w:p w:rsidR="00CD49FF" w:rsidRPr="00E526BD" w:rsidP="005C78AA">
            <w:pPr>
              <w:spacing w:before="60"/>
              <w:rPr>
                <w:sz w:val="16"/>
                <w:szCs w:val="16"/>
              </w:rPr>
            </w:pPr>
          </w:p>
        </w:tc>
        <w:tc>
          <w:tcPr>
            <w:tcW w:w="3630" w:type="dxa"/>
          </w:tcPr>
          <w:p w:rsidR="00CD49FF" w:rsidRPr="00E526BD" w:rsidP="005C78AA">
            <w:pPr>
              <w:spacing w:before="60"/>
              <w:rPr>
                <w:sz w:val="16"/>
                <w:szCs w:val="16"/>
              </w:rPr>
            </w:pPr>
            <w:r w:rsidRPr="00E526BD">
              <w:rPr>
                <w:sz w:val="16"/>
              </w:rPr>
              <w:t>Seventh Act Amending the Statutory Provisions Governing Railways of 10 December 2012 (</w:t>
            </w:r>
            <w:r w:rsidRPr="00E526BD">
              <w:rPr>
                <w:sz w:val="16"/>
              </w:rPr>
              <w:t>BGBl</w:t>
            </w:r>
            <w:r w:rsidRPr="00E526BD">
              <w:rPr>
                <w:sz w:val="16"/>
              </w:rPr>
              <w:t>. I p. 2632)</w:t>
            </w:r>
          </w:p>
        </w:tc>
        <w:tc>
          <w:tcPr>
            <w:tcW w:w="1927" w:type="dxa"/>
          </w:tcPr>
          <w:p w:rsidR="00CD49FF" w:rsidRPr="00E526BD" w:rsidP="005C78AA">
            <w:pPr>
              <w:spacing w:before="60"/>
              <w:rPr>
                <w:sz w:val="16"/>
                <w:szCs w:val="16"/>
              </w:rPr>
            </w:pPr>
            <w:r w:rsidRPr="00E526BD">
              <w:rPr>
                <w:sz w:val="16"/>
              </w:rPr>
              <w:t>20.12.2012</w:t>
            </w:r>
          </w:p>
        </w:tc>
      </w:tr>
      <w:tr w:rsidTr="00CD49FF">
        <w:tblPrEx>
          <w:tblW w:w="0" w:type="auto"/>
          <w:tblLook w:val="04A0"/>
        </w:tblPrEx>
        <w:tc>
          <w:tcPr>
            <w:tcW w:w="2278" w:type="dxa"/>
            <w:vMerge/>
          </w:tcPr>
          <w:p w:rsidR="00CD49FF" w:rsidRPr="00E526BD" w:rsidP="005C78AA">
            <w:pPr>
              <w:spacing w:before="60"/>
              <w:rPr>
                <w:sz w:val="16"/>
                <w:szCs w:val="16"/>
              </w:rPr>
            </w:pPr>
          </w:p>
        </w:tc>
        <w:tc>
          <w:tcPr>
            <w:tcW w:w="1430" w:type="dxa"/>
            <w:vMerge/>
          </w:tcPr>
          <w:p w:rsidR="00CD49FF" w:rsidRPr="00E526BD" w:rsidP="005C78AA">
            <w:pPr>
              <w:spacing w:before="60"/>
              <w:rPr>
                <w:sz w:val="16"/>
                <w:szCs w:val="16"/>
              </w:rPr>
            </w:pPr>
          </w:p>
        </w:tc>
        <w:tc>
          <w:tcPr>
            <w:tcW w:w="3630" w:type="dxa"/>
          </w:tcPr>
          <w:p w:rsidR="00CD49FF" w:rsidRPr="00E526BD" w:rsidP="005C78AA">
            <w:pPr>
              <w:spacing w:before="60"/>
              <w:rPr>
                <w:sz w:val="16"/>
                <w:szCs w:val="16"/>
              </w:rPr>
            </w:pPr>
            <w:r w:rsidRPr="00E526BD">
              <w:rPr>
                <w:sz w:val="16"/>
              </w:rPr>
              <w:t>Eighth Act Amending t</w:t>
            </w:r>
            <w:r w:rsidRPr="00E526BD">
              <w:rPr>
                <w:sz w:val="16"/>
              </w:rPr>
              <w:t>he Statutory Provisions Governing Railways of 22 November 2013 (</w:t>
            </w:r>
            <w:r w:rsidRPr="00E526BD">
              <w:rPr>
                <w:sz w:val="16"/>
              </w:rPr>
              <w:t>BGBl</w:t>
            </w:r>
            <w:r w:rsidRPr="00E526BD">
              <w:rPr>
                <w:sz w:val="16"/>
              </w:rPr>
              <w:t>. I p. 4008)</w:t>
            </w:r>
          </w:p>
        </w:tc>
        <w:tc>
          <w:tcPr>
            <w:tcW w:w="1927" w:type="dxa"/>
          </w:tcPr>
          <w:p w:rsidR="00CD49FF" w:rsidRPr="00E526BD" w:rsidP="005C78AA">
            <w:pPr>
              <w:spacing w:before="60"/>
              <w:rPr>
                <w:sz w:val="16"/>
                <w:szCs w:val="16"/>
              </w:rPr>
            </w:pPr>
            <w:r w:rsidRPr="00E526BD">
              <w:rPr>
                <w:sz w:val="16"/>
              </w:rPr>
              <w:t>29.11.2013</w:t>
            </w:r>
          </w:p>
        </w:tc>
      </w:tr>
      <w:tr w:rsidTr="00CD49FF">
        <w:tblPrEx>
          <w:tblW w:w="0" w:type="auto"/>
          <w:tblLook w:val="04A0"/>
        </w:tblPrEx>
        <w:tc>
          <w:tcPr>
            <w:tcW w:w="2278" w:type="dxa"/>
          </w:tcPr>
          <w:p w:rsidR="00CD49FF" w:rsidRPr="00E526BD" w:rsidP="005C78AA">
            <w:pPr>
              <w:spacing w:before="60"/>
              <w:rPr>
                <w:sz w:val="16"/>
                <w:szCs w:val="16"/>
              </w:rPr>
            </w:pPr>
            <w:r w:rsidRPr="00E526BD">
              <w:rPr>
                <w:sz w:val="16"/>
              </w:rPr>
              <w:t>Directive 2008/110/EC</w:t>
            </w:r>
          </w:p>
        </w:tc>
        <w:tc>
          <w:tcPr>
            <w:tcW w:w="1430" w:type="dxa"/>
          </w:tcPr>
          <w:p w:rsidR="00CD49FF" w:rsidRPr="00E526BD" w:rsidP="005C78AA">
            <w:pPr>
              <w:spacing w:before="60"/>
              <w:rPr>
                <w:sz w:val="16"/>
                <w:szCs w:val="16"/>
              </w:rPr>
            </w:pPr>
            <w:r w:rsidRPr="00E526BD">
              <w:rPr>
                <w:sz w:val="16"/>
              </w:rPr>
              <w:t>Yes</w:t>
            </w:r>
          </w:p>
        </w:tc>
        <w:tc>
          <w:tcPr>
            <w:tcW w:w="3630" w:type="dxa"/>
          </w:tcPr>
          <w:p w:rsidR="00CD49FF" w:rsidRPr="00E526BD" w:rsidP="005C78AA">
            <w:pPr>
              <w:spacing w:before="60"/>
              <w:rPr>
                <w:sz w:val="16"/>
                <w:szCs w:val="16"/>
              </w:rPr>
            </w:pPr>
            <w:r w:rsidRPr="00E526BD">
              <w:rPr>
                <w:sz w:val="16"/>
              </w:rPr>
              <w:t>Eighth Act Amending the Statutory Provisions Governing Railways of 12 September 2012 (</w:t>
            </w:r>
            <w:r w:rsidRPr="00E526BD">
              <w:rPr>
                <w:sz w:val="16"/>
              </w:rPr>
              <w:t>BGBl</w:t>
            </w:r>
            <w:r w:rsidRPr="00E526BD">
              <w:rPr>
                <w:sz w:val="16"/>
              </w:rPr>
              <w:t>. I p. 1421)</w:t>
            </w:r>
          </w:p>
        </w:tc>
        <w:tc>
          <w:tcPr>
            <w:tcW w:w="1927" w:type="dxa"/>
          </w:tcPr>
          <w:p w:rsidR="00CD49FF" w:rsidRPr="00E526BD" w:rsidP="005C78AA">
            <w:pPr>
              <w:spacing w:before="60"/>
              <w:rPr>
                <w:sz w:val="16"/>
                <w:szCs w:val="16"/>
              </w:rPr>
            </w:pPr>
            <w:r w:rsidRPr="00E526BD">
              <w:rPr>
                <w:sz w:val="16"/>
              </w:rPr>
              <w:t>18.09.2012</w:t>
            </w:r>
          </w:p>
        </w:tc>
      </w:tr>
      <w:tr w:rsidTr="00CD49FF">
        <w:tblPrEx>
          <w:tblW w:w="0" w:type="auto"/>
          <w:tblLook w:val="04A0"/>
        </w:tblPrEx>
        <w:tc>
          <w:tcPr>
            <w:tcW w:w="2278" w:type="dxa"/>
          </w:tcPr>
          <w:p w:rsidR="00CD49FF" w:rsidRPr="00E526BD" w:rsidP="005C78AA">
            <w:pPr>
              <w:spacing w:before="60"/>
              <w:rPr>
                <w:sz w:val="16"/>
                <w:szCs w:val="16"/>
              </w:rPr>
            </w:pPr>
            <w:r w:rsidRPr="00E526BD">
              <w:rPr>
                <w:sz w:val="16"/>
              </w:rPr>
              <w:t>Directive 2009/149/EC</w:t>
            </w:r>
          </w:p>
        </w:tc>
        <w:tc>
          <w:tcPr>
            <w:tcW w:w="1430" w:type="dxa"/>
          </w:tcPr>
          <w:p w:rsidR="00CD49FF" w:rsidRPr="00E526BD" w:rsidP="005C78AA">
            <w:pPr>
              <w:spacing w:before="60"/>
              <w:rPr>
                <w:sz w:val="16"/>
                <w:szCs w:val="16"/>
              </w:rPr>
            </w:pPr>
            <w:r w:rsidRPr="00E526BD">
              <w:rPr>
                <w:sz w:val="16"/>
              </w:rPr>
              <w:t>Yes</w:t>
            </w:r>
          </w:p>
        </w:tc>
        <w:tc>
          <w:tcPr>
            <w:tcW w:w="3630" w:type="dxa"/>
          </w:tcPr>
          <w:p w:rsidR="00CD49FF" w:rsidRPr="00E526BD" w:rsidP="005C78AA">
            <w:pPr>
              <w:spacing w:before="60"/>
              <w:rPr>
                <w:sz w:val="16"/>
                <w:szCs w:val="16"/>
              </w:rPr>
            </w:pPr>
            <w:r w:rsidRPr="00E526BD">
              <w:rPr>
                <w:sz w:val="16"/>
              </w:rPr>
              <w:t>Fifth Regulation on the Enactment and Amendment of the Statutory Provisions Governing Railways dated 29.04.2011 (</w:t>
            </w:r>
            <w:r w:rsidRPr="00E526BD">
              <w:rPr>
                <w:sz w:val="16"/>
              </w:rPr>
              <w:t>BGBl</w:t>
            </w:r>
            <w:r w:rsidRPr="00E526BD">
              <w:rPr>
                <w:sz w:val="16"/>
              </w:rPr>
              <w:t xml:space="preserve">. I p. 705) </w:t>
            </w:r>
          </w:p>
        </w:tc>
        <w:tc>
          <w:tcPr>
            <w:tcW w:w="1927" w:type="dxa"/>
          </w:tcPr>
          <w:p w:rsidR="00CD49FF" w:rsidRPr="00E526BD" w:rsidP="005C78AA">
            <w:pPr>
              <w:spacing w:before="60"/>
              <w:rPr>
                <w:sz w:val="16"/>
                <w:szCs w:val="16"/>
              </w:rPr>
            </w:pPr>
            <w:r w:rsidRPr="00E526BD">
              <w:rPr>
                <w:sz w:val="16"/>
              </w:rPr>
              <w:t>07.05.2011</w:t>
            </w:r>
          </w:p>
        </w:tc>
      </w:tr>
      <w:tr w:rsidTr="00CD49FF">
        <w:tblPrEx>
          <w:tblW w:w="0" w:type="auto"/>
          <w:tblLook w:val="04A0"/>
        </w:tblPrEx>
        <w:tc>
          <w:tcPr>
            <w:tcW w:w="2278" w:type="dxa"/>
          </w:tcPr>
          <w:p w:rsidR="000071A5" w:rsidRPr="00E526BD" w:rsidP="005C78AA">
            <w:pPr>
              <w:spacing w:before="60"/>
              <w:rPr>
                <w:sz w:val="16"/>
                <w:szCs w:val="16"/>
              </w:rPr>
            </w:pPr>
            <w:r w:rsidRPr="00E526BD">
              <w:rPr>
                <w:sz w:val="16"/>
              </w:rPr>
              <w:t>Directive 2014/88/EU</w:t>
            </w:r>
          </w:p>
        </w:tc>
        <w:tc>
          <w:tcPr>
            <w:tcW w:w="1430" w:type="dxa"/>
          </w:tcPr>
          <w:p w:rsidR="000071A5" w:rsidRPr="00E526BD" w:rsidP="005C78AA">
            <w:pPr>
              <w:spacing w:before="60"/>
              <w:rPr>
                <w:sz w:val="16"/>
                <w:szCs w:val="16"/>
              </w:rPr>
            </w:pPr>
            <w:r w:rsidRPr="00E526BD">
              <w:rPr>
                <w:sz w:val="16"/>
              </w:rPr>
              <w:t>Yes</w:t>
            </w:r>
          </w:p>
        </w:tc>
        <w:tc>
          <w:tcPr>
            <w:tcW w:w="3630" w:type="dxa"/>
          </w:tcPr>
          <w:p w:rsidR="000071A5" w:rsidRPr="00E526BD" w:rsidP="005C78AA">
            <w:pPr>
              <w:spacing w:before="60"/>
              <w:rPr>
                <w:sz w:val="16"/>
                <w:szCs w:val="16"/>
              </w:rPr>
            </w:pPr>
            <w:r w:rsidRPr="00E526BD">
              <w:rPr>
                <w:sz w:val="16"/>
              </w:rPr>
              <w:t>Ninth Regulation on the Amendment of the Statutory Provisions Governing Railways dated 19.11.2015 (</w:t>
            </w:r>
            <w:r w:rsidRPr="00E526BD">
              <w:rPr>
                <w:sz w:val="16"/>
              </w:rPr>
              <w:t>BGBl</w:t>
            </w:r>
            <w:r w:rsidRPr="00E526BD">
              <w:rPr>
                <w:sz w:val="16"/>
              </w:rPr>
              <w:t>. I p. 2105)</w:t>
            </w:r>
          </w:p>
        </w:tc>
        <w:tc>
          <w:tcPr>
            <w:tcW w:w="1927" w:type="dxa"/>
          </w:tcPr>
          <w:p w:rsidR="000071A5" w:rsidRPr="00E526BD" w:rsidP="005C78AA">
            <w:pPr>
              <w:spacing w:before="60"/>
              <w:rPr>
                <w:sz w:val="16"/>
                <w:szCs w:val="16"/>
              </w:rPr>
            </w:pPr>
            <w:r w:rsidRPr="00E526BD">
              <w:rPr>
                <w:sz w:val="16"/>
              </w:rPr>
              <w:t>01.01.2016</w:t>
            </w:r>
          </w:p>
        </w:tc>
      </w:tr>
    </w:tbl>
    <w:p w:rsidR="0006397F" w:rsidRPr="00E526BD" w:rsidP="00B30FA2">
      <w:bookmarkStart w:id="43" w:name="_ANHANG_E:_Erstellung"/>
      <w:bookmarkEnd w:id="43"/>
    </w:p>
    <w:p w:rsidR="0006397F" w:rsidRPr="00E526BD">
      <w:pPr>
        <w:rPr>
          <w:rFonts w:cs="Arial"/>
          <w:b/>
          <w:bCs/>
          <w:iCs/>
          <w:sz w:val="24"/>
          <w:szCs w:val="24"/>
        </w:rPr>
      </w:pPr>
      <w:r w:rsidRPr="00E526BD">
        <w:br w:type="page"/>
      </w:r>
    </w:p>
    <w:p w:rsidR="00552FA3" w:rsidRPr="00E526BD" w:rsidP="005C78AA">
      <w:pPr>
        <w:pStyle w:val="Heading2"/>
        <w:spacing w:before="0" w:after="0"/>
      </w:pPr>
      <w:bookmarkStart w:id="44" w:name="_Tabelle_2:_Änderungen"/>
      <w:bookmarkStart w:id="45" w:name="_Toc530579254"/>
      <w:bookmarkEnd w:id="44"/>
      <w:r w:rsidRPr="00E526BD">
        <w:t>Table 2: Changes to the national legal framework during 2017</w:t>
      </w:r>
      <w:bookmarkEnd w:id="45"/>
    </w:p>
    <w:p w:rsidR="005C78AA" w:rsidRPr="00E526BD" w:rsidP="005C78AA"/>
    <w:tbl>
      <w:tblPr>
        <w:tblStyle w:val="TableGrid"/>
        <w:tblW w:w="9464" w:type="dxa"/>
        <w:tblLayout w:type="fixed"/>
        <w:tblLook w:val="04A0"/>
      </w:tblPr>
      <w:tblGrid>
        <w:gridCol w:w="1951"/>
        <w:gridCol w:w="2552"/>
        <w:gridCol w:w="1276"/>
        <w:gridCol w:w="2126"/>
        <w:gridCol w:w="1559"/>
      </w:tblGrid>
      <w:tr w:rsidTr="00116919">
        <w:tblPrEx>
          <w:tblW w:w="9464" w:type="dxa"/>
          <w:tblLayout w:type="fixed"/>
          <w:tblLook w:val="04A0"/>
        </w:tblPrEx>
        <w:tc>
          <w:tcPr>
            <w:tcW w:w="1951" w:type="dxa"/>
          </w:tcPr>
          <w:p w:rsidR="00552FA3" w:rsidRPr="00E526BD" w:rsidP="005C78AA">
            <w:pPr>
              <w:spacing w:before="60" w:after="60"/>
              <w:rPr>
                <w:b/>
                <w:sz w:val="16"/>
                <w:szCs w:val="16"/>
              </w:rPr>
            </w:pPr>
            <w:r w:rsidRPr="00E526BD">
              <w:rPr>
                <w:b/>
                <w:sz w:val="16"/>
              </w:rPr>
              <w:t>Legal and administrative regulations</w:t>
            </w:r>
          </w:p>
        </w:tc>
        <w:tc>
          <w:tcPr>
            <w:tcW w:w="2552" w:type="dxa"/>
          </w:tcPr>
          <w:p w:rsidR="00552FA3" w:rsidRPr="00E526BD" w:rsidP="005C78AA">
            <w:pPr>
              <w:spacing w:before="60" w:after="60"/>
              <w:rPr>
                <w:b/>
                <w:sz w:val="16"/>
                <w:szCs w:val="16"/>
              </w:rPr>
            </w:pPr>
            <w:r w:rsidRPr="00E526BD">
              <w:rPr>
                <w:b/>
                <w:sz w:val="16"/>
              </w:rPr>
              <w:t>Provision</w:t>
            </w:r>
          </w:p>
        </w:tc>
        <w:tc>
          <w:tcPr>
            <w:tcW w:w="1276" w:type="dxa"/>
          </w:tcPr>
          <w:p w:rsidR="00552FA3" w:rsidRPr="00E526BD" w:rsidP="005C78AA">
            <w:pPr>
              <w:spacing w:before="60" w:after="60"/>
              <w:rPr>
                <w:b/>
                <w:sz w:val="16"/>
                <w:szCs w:val="16"/>
              </w:rPr>
            </w:pPr>
            <w:r w:rsidRPr="00E526BD">
              <w:rPr>
                <w:b/>
                <w:sz w:val="16"/>
              </w:rPr>
              <w:t>Date of entry in</w:t>
            </w:r>
            <w:r w:rsidRPr="00E526BD">
              <w:rPr>
                <w:b/>
                <w:sz w:val="16"/>
              </w:rPr>
              <w:t>to force</w:t>
            </w:r>
          </w:p>
        </w:tc>
        <w:tc>
          <w:tcPr>
            <w:tcW w:w="2126" w:type="dxa"/>
          </w:tcPr>
          <w:p w:rsidR="00552FA3" w:rsidRPr="00E526BD" w:rsidP="005C78AA">
            <w:pPr>
              <w:spacing w:before="60" w:after="60"/>
              <w:rPr>
                <w:b/>
                <w:sz w:val="16"/>
                <w:szCs w:val="16"/>
              </w:rPr>
            </w:pPr>
            <w:r w:rsidRPr="00E526BD">
              <w:rPr>
                <w:b/>
                <w:sz w:val="16"/>
              </w:rPr>
              <w:t>Description of the main change</w:t>
            </w:r>
          </w:p>
        </w:tc>
        <w:tc>
          <w:tcPr>
            <w:tcW w:w="1559" w:type="dxa"/>
          </w:tcPr>
          <w:p w:rsidR="00552FA3" w:rsidRPr="00E526BD" w:rsidP="005C78AA">
            <w:pPr>
              <w:spacing w:before="60" w:after="60"/>
              <w:rPr>
                <w:b/>
                <w:sz w:val="16"/>
                <w:szCs w:val="16"/>
              </w:rPr>
            </w:pPr>
            <w:r w:rsidRPr="00E526BD">
              <w:rPr>
                <w:b/>
                <w:sz w:val="16"/>
              </w:rPr>
              <w:t>Reasons for the change</w:t>
            </w:r>
          </w:p>
        </w:tc>
      </w:tr>
      <w:tr w:rsidTr="006D4598">
        <w:tblPrEx>
          <w:tblW w:w="9464" w:type="dxa"/>
          <w:tblLayout w:type="fixed"/>
          <w:tblLook w:val="04A0"/>
        </w:tblPrEx>
        <w:trPr>
          <w:trHeight w:val="2482"/>
        </w:trPr>
        <w:tc>
          <w:tcPr>
            <w:tcW w:w="1951" w:type="dxa"/>
          </w:tcPr>
          <w:p w:rsidR="00FA3385" w:rsidRPr="00E526BD" w:rsidP="005C78AA">
            <w:pPr>
              <w:spacing w:before="60"/>
              <w:rPr>
                <w:sz w:val="16"/>
                <w:szCs w:val="16"/>
              </w:rPr>
            </w:pPr>
            <w:r w:rsidRPr="00E526BD">
              <w:rPr>
                <w:sz w:val="16"/>
              </w:rPr>
              <w:t>Concerns railway undertakings / infrastructure managers / ECMs</w:t>
            </w:r>
          </w:p>
        </w:tc>
        <w:tc>
          <w:tcPr>
            <w:tcW w:w="2552" w:type="dxa"/>
          </w:tcPr>
          <w:p w:rsidR="00FA3385" w:rsidRPr="00E526BD" w:rsidP="00FA3385">
            <w:pPr>
              <w:spacing w:before="60"/>
              <w:rPr>
                <w:sz w:val="16"/>
                <w:szCs w:val="16"/>
              </w:rPr>
            </w:pPr>
            <w:r w:rsidRPr="00E526BD">
              <w:rPr>
                <w:sz w:val="16"/>
              </w:rPr>
              <w:t>Gesetz</w:t>
            </w:r>
            <w:r w:rsidRPr="00E526BD">
              <w:rPr>
                <w:sz w:val="16"/>
              </w:rPr>
              <w:t xml:space="preserve"> </w:t>
            </w:r>
            <w:r w:rsidRPr="00E526BD">
              <w:rPr>
                <w:sz w:val="16"/>
              </w:rPr>
              <w:t>zur</w:t>
            </w:r>
            <w:r w:rsidRPr="00E526BD">
              <w:rPr>
                <w:sz w:val="16"/>
              </w:rPr>
              <w:t xml:space="preserve"> </w:t>
            </w:r>
            <w:r w:rsidRPr="00E526BD">
              <w:rPr>
                <w:sz w:val="16"/>
              </w:rPr>
              <w:t>Neuordnung</w:t>
            </w:r>
            <w:r w:rsidRPr="00E526BD">
              <w:rPr>
                <w:sz w:val="16"/>
              </w:rPr>
              <w:t xml:space="preserve"> der </w:t>
            </w:r>
            <w:r w:rsidRPr="00E526BD">
              <w:rPr>
                <w:sz w:val="16"/>
              </w:rPr>
              <w:t>Eisenbahnunfalluntersuchung</w:t>
            </w:r>
            <w:r w:rsidRPr="00E526BD">
              <w:rPr>
                <w:sz w:val="16"/>
              </w:rPr>
              <w:t xml:space="preserve"> (German Federal Act on the Reorganisation of Railway Accident Investigations) of 27.06.2017 (</w:t>
            </w:r>
            <w:r w:rsidRPr="00E526BD">
              <w:rPr>
                <w:sz w:val="16"/>
              </w:rPr>
              <w:t>BGBl</w:t>
            </w:r>
            <w:r w:rsidRPr="00E526BD">
              <w:rPr>
                <w:sz w:val="16"/>
              </w:rPr>
              <w:t>. I p. 2085)</w:t>
            </w:r>
          </w:p>
        </w:tc>
        <w:tc>
          <w:tcPr>
            <w:tcW w:w="1276" w:type="dxa"/>
          </w:tcPr>
          <w:p w:rsidR="00FA3385" w:rsidRPr="00E526BD" w:rsidP="005974DC">
            <w:pPr>
              <w:spacing w:before="60"/>
              <w:jc w:val="center"/>
              <w:rPr>
                <w:sz w:val="16"/>
                <w:szCs w:val="16"/>
              </w:rPr>
            </w:pPr>
            <w:r w:rsidRPr="00E526BD">
              <w:rPr>
                <w:sz w:val="16"/>
              </w:rPr>
              <w:t>05.07.2017</w:t>
            </w:r>
          </w:p>
        </w:tc>
        <w:tc>
          <w:tcPr>
            <w:tcW w:w="2126" w:type="dxa"/>
          </w:tcPr>
          <w:p w:rsidR="00FA3385" w:rsidRPr="00E526BD" w:rsidP="00FA3385">
            <w:pPr>
              <w:spacing w:before="60"/>
              <w:rPr>
                <w:sz w:val="16"/>
                <w:szCs w:val="16"/>
              </w:rPr>
            </w:pPr>
            <w:r w:rsidRPr="00E526BD">
              <w:rPr>
                <w:sz w:val="16"/>
              </w:rPr>
              <w:t xml:space="preserve">Amendments to the </w:t>
            </w:r>
            <w:r w:rsidRPr="00E526BD">
              <w:rPr>
                <w:sz w:val="16"/>
              </w:rPr>
              <w:t>Allgemeinen</w:t>
            </w:r>
            <w:r w:rsidRPr="00E526BD">
              <w:rPr>
                <w:sz w:val="16"/>
              </w:rPr>
              <w:t xml:space="preserve"> </w:t>
            </w:r>
            <w:r w:rsidRPr="00E526BD">
              <w:rPr>
                <w:sz w:val="16"/>
              </w:rPr>
              <w:t>Eisenbahngesetzes</w:t>
            </w:r>
            <w:r w:rsidRPr="00E526BD">
              <w:rPr>
                <w:sz w:val="16"/>
              </w:rPr>
              <w:t xml:space="preserve"> (AEG) (German Railway Act), as we</w:t>
            </w:r>
            <w:r w:rsidRPr="00E526BD">
              <w:rPr>
                <w:sz w:val="16"/>
              </w:rPr>
              <w:t xml:space="preserve">ll as to the </w:t>
            </w:r>
            <w:r w:rsidRPr="00E526BD">
              <w:rPr>
                <w:sz w:val="16"/>
              </w:rPr>
              <w:t>Bundeseisenbahnverkehrsverwaltungsgesetztes</w:t>
            </w:r>
            <w:r w:rsidRPr="00E526BD">
              <w:rPr>
                <w:sz w:val="16"/>
              </w:rPr>
              <w:t xml:space="preserve"> (BEVVG) (German Federal Rail Traffic Management Act):</w:t>
            </w:r>
          </w:p>
          <w:p w:rsidR="00FA3385" w:rsidRPr="00E526BD" w:rsidP="00FA3385">
            <w:pPr>
              <w:spacing w:before="60"/>
              <w:rPr>
                <w:sz w:val="16"/>
                <w:szCs w:val="16"/>
              </w:rPr>
            </w:pPr>
            <w:r w:rsidRPr="00E526BD">
              <w:rPr>
                <w:sz w:val="16"/>
              </w:rPr>
              <w:t>Establishing the BEU (German Federal Office for Railway Accident Investigations)</w:t>
            </w:r>
          </w:p>
          <w:p w:rsidR="00FA3385" w:rsidRPr="00E526BD" w:rsidP="000117A9">
            <w:pPr>
              <w:spacing w:before="60"/>
              <w:ind w:left="33"/>
              <w:rPr>
                <w:sz w:val="16"/>
                <w:szCs w:val="16"/>
              </w:rPr>
            </w:pPr>
          </w:p>
        </w:tc>
        <w:tc>
          <w:tcPr>
            <w:tcW w:w="1559" w:type="dxa"/>
          </w:tcPr>
          <w:p w:rsidR="00FA3385" w:rsidRPr="00E526BD" w:rsidP="005C78AA">
            <w:pPr>
              <w:spacing w:before="60"/>
              <w:rPr>
                <w:sz w:val="16"/>
                <w:szCs w:val="16"/>
              </w:rPr>
            </w:pPr>
          </w:p>
        </w:tc>
      </w:tr>
      <w:tr w:rsidTr="00116919">
        <w:tblPrEx>
          <w:tblW w:w="9464" w:type="dxa"/>
          <w:tblLayout w:type="fixed"/>
          <w:tblLook w:val="04A0"/>
        </w:tblPrEx>
        <w:tc>
          <w:tcPr>
            <w:tcW w:w="1951" w:type="dxa"/>
          </w:tcPr>
          <w:p w:rsidR="00BE035A" w:rsidRPr="00E526BD" w:rsidP="005C78AA">
            <w:pPr>
              <w:spacing w:before="60"/>
              <w:rPr>
                <w:sz w:val="16"/>
                <w:szCs w:val="16"/>
              </w:rPr>
            </w:pPr>
            <w:r w:rsidRPr="00E526BD">
              <w:rPr>
                <w:sz w:val="16"/>
              </w:rPr>
              <w:t xml:space="preserve">Concerns railway undertakings / infrastructure managers / </w:t>
            </w:r>
            <w:r w:rsidRPr="00E526BD">
              <w:rPr>
                <w:sz w:val="16"/>
              </w:rPr>
              <w:t>ECMs</w:t>
            </w:r>
          </w:p>
        </w:tc>
        <w:tc>
          <w:tcPr>
            <w:tcW w:w="2552" w:type="dxa"/>
          </w:tcPr>
          <w:p w:rsidR="00BE035A" w:rsidRPr="00E526BD" w:rsidP="005974DC">
            <w:pPr>
              <w:spacing w:before="60"/>
              <w:rPr>
                <w:b/>
                <w:sz w:val="16"/>
                <w:szCs w:val="16"/>
              </w:rPr>
            </w:pPr>
            <w:r w:rsidRPr="00E526BD">
              <w:rPr>
                <w:sz w:val="16"/>
              </w:rPr>
              <w:t>Eighth Act Amending the Statutory Provisions Governing Railways of 26/07/2017 (</w:t>
            </w:r>
            <w:r w:rsidRPr="00E526BD">
              <w:rPr>
                <w:sz w:val="16"/>
              </w:rPr>
              <w:t>BGBl</w:t>
            </w:r>
            <w:r w:rsidRPr="00E526BD">
              <w:rPr>
                <w:sz w:val="16"/>
              </w:rPr>
              <w:t>. I p. 3054)</w:t>
            </w:r>
          </w:p>
        </w:tc>
        <w:tc>
          <w:tcPr>
            <w:tcW w:w="1276" w:type="dxa"/>
          </w:tcPr>
          <w:p w:rsidR="00BE035A" w:rsidRPr="00E526BD" w:rsidP="005974DC">
            <w:pPr>
              <w:spacing w:before="60"/>
              <w:jc w:val="center"/>
              <w:rPr>
                <w:b/>
                <w:sz w:val="16"/>
                <w:szCs w:val="16"/>
              </w:rPr>
            </w:pPr>
            <w:r w:rsidRPr="00E526BD">
              <w:rPr>
                <w:sz w:val="16"/>
              </w:rPr>
              <w:t>03.12.2015 and 01.01.2016</w:t>
            </w:r>
          </w:p>
        </w:tc>
        <w:tc>
          <w:tcPr>
            <w:tcW w:w="2126" w:type="dxa"/>
          </w:tcPr>
          <w:p w:rsidR="00E01802" w:rsidRPr="00E526BD" w:rsidP="00E01802">
            <w:pPr>
              <w:spacing w:before="60"/>
              <w:rPr>
                <w:sz w:val="16"/>
                <w:szCs w:val="16"/>
              </w:rPr>
            </w:pPr>
            <w:r w:rsidRPr="00E526BD">
              <w:rPr>
                <w:sz w:val="16"/>
              </w:rPr>
              <w:t>Railway Construction and Operation Code (</w:t>
            </w:r>
            <w:r w:rsidRPr="00E526BD">
              <w:rPr>
                <w:i/>
                <w:sz w:val="16"/>
              </w:rPr>
              <w:t>Eisenbahn-Bau</w:t>
            </w:r>
            <w:r w:rsidRPr="00E526BD">
              <w:rPr>
                <w:i/>
                <w:sz w:val="16"/>
              </w:rPr>
              <w:t xml:space="preserve">- und </w:t>
            </w:r>
            <w:r w:rsidRPr="00E526BD">
              <w:rPr>
                <w:i/>
                <w:sz w:val="16"/>
              </w:rPr>
              <w:t>Betriebsordnung</w:t>
            </w:r>
            <w:r w:rsidRPr="00E526BD">
              <w:rPr>
                <w:sz w:val="16"/>
              </w:rPr>
              <w:t>, EBO):</w:t>
            </w:r>
          </w:p>
          <w:p w:rsidR="00E01802" w:rsidRPr="00E526BD" w:rsidP="00E01802">
            <w:pPr>
              <w:pStyle w:val="ListParagraph"/>
              <w:numPr>
                <w:ilvl w:val="0"/>
                <w:numId w:val="38"/>
              </w:numPr>
              <w:spacing w:before="60"/>
              <w:ind w:left="175" w:hanging="142"/>
              <w:rPr>
                <w:sz w:val="16"/>
                <w:szCs w:val="16"/>
              </w:rPr>
            </w:pPr>
            <w:r w:rsidRPr="00E526BD">
              <w:rPr>
                <w:sz w:val="16"/>
              </w:rPr>
              <w:t>Amendment to §32(3) EBO (Ordinance on the Cons</w:t>
            </w:r>
            <w:r w:rsidRPr="00E526BD">
              <w:rPr>
                <w:sz w:val="16"/>
              </w:rPr>
              <w:t>truction and Operation of Railways), regarding setting deadlines for maintenance to be carried out by the ECM.</w:t>
            </w:r>
          </w:p>
          <w:p w:rsidR="00BE035A" w:rsidRPr="00E526BD" w:rsidP="00857393">
            <w:pPr>
              <w:spacing w:before="60"/>
              <w:rPr>
                <w:sz w:val="16"/>
                <w:szCs w:val="16"/>
              </w:rPr>
            </w:pPr>
          </w:p>
          <w:p w:rsidR="00E01802" w:rsidRPr="00E526BD" w:rsidP="00E01802">
            <w:pPr>
              <w:rPr>
                <w:sz w:val="16"/>
                <w:szCs w:val="16"/>
              </w:rPr>
            </w:pPr>
            <w:r w:rsidRPr="00E526BD">
              <w:rPr>
                <w:sz w:val="16"/>
              </w:rPr>
              <w:t>Traction Vehicle Driver's Licence Checking Regulation (</w:t>
            </w:r>
            <w:r w:rsidRPr="00E526BD">
              <w:rPr>
                <w:sz w:val="16"/>
              </w:rPr>
              <w:t>TfV</w:t>
            </w:r>
            <w:r w:rsidRPr="00E526BD">
              <w:rPr>
                <w:sz w:val="16"/>
              </w:rPr>
              <w:t>):</w:t>
            </w:r>
          </w:p>
          <w:p w:rsidR="00E01802" w:rsidRPr="00E526BD" w:rsidP="00E01802">
            <w:pPr>
              <w:pStyle w:val="ListParagraph"/>
              <w:numPr>
                <w:ilvl w:val="0"/>
                <w:numId w:val="40"/>
              </w:numPr>
              <w:ind w:left="175" w:hanging="142"/>
              <w:rPr>
                <w:sz w:val="16"/>
                <w:szCs w:val="16"/>
              </w:rPr>
            </w:pPr>
            <w:r w:rsidRPr="00E526BD">
              <w:rPr>
                <w:sz w:val="16"/>
              </w:rPr>
              <w:t>Option for exemptions from language requirements on cross-border lines.</w:t>
            </w:r>
          </w:p>
          <w:p w:rsidR="00BE035A" w:rsidRPr="00E526BD" w:rsidP="00857393">
            <w:pPr>
              <w:spacing w:before="60"/>
              <w:rPr>
                <w:b/>
                <w:sz w:val="16"/>
                <w:szCs w:val="16"/>
              </w:rPr>
            </w:pPr>
          </w:p>
        </w:tc>
        <w:tc>
          <w:tcPr>
            <w:tcW w:w="1559" w:type="dxa"/>
          </w:tcPr>
          <w:p w:rsidR="00BE035A" w:rsidRPr="00E526BD" w:rsidP="005C78AA">
            <w:pPr>
              <w:spacing w:before="60"/>
              <w:rPr>
                <w:sz w:val="16"/>
                <w:szCs w:val="16"/>
              </w:rPr>
            </w:pPr>
            <w:r w:rsidRPr="00E526BD">
              <w:rPr>
                <w:sz w:val="16"/>
              </w:rPr>
              <w:t xml:space="preserve">Defining </w:t>
            </w:r>
            <w:r w:rsidRPr="00E526BD">
              <w:rPr>
                <w:sz w:val="16"/>
              </w:rPr>
              <w:t>the obligations arising from Directive 2004/49/EC, as well as harmonisation with AEG.</w:t>
            </w:r>
          </w:p>
          <w:p w:rsidR="00E01802" w:rsidRPr="00E526BD" w:rsidP="005C78AA">
            <w:pPr>
              <w:spacing w:before="60"/>
              <w:rPr>
                <w:sz w:val="16"/>
                <w:szCs w:val="16"/>
              </w:rPr>
            </w:pPr>
          </w:p>
          <w:p w:rsidR="00E01802" w:rsidRPr="00E526BD" w:rsidP="005C78AA">
            <w:pPr>
              <w:spacing w:before="60"/>
              <w:rPr>
                <w:b/>
                <w:sz w:val="16"/>
                <w:szCs w:val="16"/>
              </w:rPr>
            </w:pPr>
            <w:r w:rsidRPr="00E526BD">
              <w:rPr>
                <w:sz w:val="16"/>
              </w:rPr>
              <w:t>Directive 2007/59/EC</w:t>
            </w:r>
          </w:p>
        </w:tc>
      </w:tr>
    </w:tbl>
    <w:p w:rsidR="0082567E" w:rsidRPr="00E526BD" w:rsidP="00313D31">
      <w:pPr>
        <w:pStyle w:val="Heading1"/>
      </w:pPr>
      <w:r w:rsidRPr="00E526BD">
        <w:br w:type="page"/>
      </w:r>
      <w:bookmarkStart w:id="46" w:name="_Anhang_F_–"/>
      <w:bookmarkStart w:id="47" w:name="_Toc530579255"/>
      <w:bookmarkEnd w:id="46"/>
      <w:r w:rsidRPr="00E526BD">
        <w:t>ANNEX C – Abbreviations</w:t>
      </w:r>
      <w:bookmarkEnd w:id="47"/>
    </w:p>
    <w:p w:rsidR="00B30FA2" w:rsidRPr="00E526BD" w:rsidP="00205ADD">
      <w:pPr>
        <w:ind w:left="1260" w:hanging="1260"/>
        <w:rPr>
          <w:sz w:val="16"/>
          <w:szCs w:val="16"/>
        </w:rPr>
      </w:pPr>
    </w:p>
    <w:p w:rsidR="00B30FA2" w:rsidRPr="00E526BD" w:rsidP="00205ADD">
      <w:pPr>
        <w:ind w:left="1260" w:hanging="126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5"/>
        <w:gridCol w:w="7554"/>
      </w:tblGrid>
      <w:tr w:rsidTr="00566FE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66FE9" w:rsidRPr="00E526BD" w:rsidP="005A4A6F">
            <w:pPr>
              <w:rPr>
                <w:sz w:val="16"/>
                <w:szCs w:val="16"/>
              </w:rPr>
            </w:pPr>
            <w:r w:rsidRPr="00E526BD">
              <w:rPr>
                <w:sz w:val="16"/>
              </w:rPr>
              <w:t>AEG</w:t>
            </w:r>
          </w:p>
        </w:tc>
        <w:tc>
          <w:tcPr>
            <w:tcW w:w="7739" w:type="dxa"/>
          </w:tcPr>
          <w:p w:rsidR="00566FE9" w:rsidRPr="00E526BD" w:rsidP="005A4A6F">
            <w:pPr>
              <w:rPr>
                <w:sz w:val="16"/>
                <w:szCs w:val="16"/>
              </w:rPr>
            </w:pPr>
            <w:r w:rsidRPr="00E526BD">
              <w:rPr>
                <w:sz w:val="16"/>
              </w:rPr>
              <w:t>General Railways Act [</w:t>
            </w:r>
            <w:r w:rsidRPr="00E526BD">
              <w:rPr>
                <w:i/>
                <w:sz w:val="16"/>
              </w:rPr>
              <w:t>Allgemeines</w:t>
            </w:r>
            <w:r w:rsidRPr="00E526BD">
              <w:rPr>
                <w:i/>
                <w:sz w:val="16"/>
              </w:rPr>
              <w:t xml:space="preserve"> </w:t>
            </w:r>
            <w:r w:rsidRPr="00E526BD">
              <w:rPr>
                <w:i/>
                <w:sz w:val="16"/>
              </w:rPr>
              <w:t>Eisenbahngesetz</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AsBo</w:t>
            </w:r>
          </w:p>
        </w:tc>
        <w:tc>
          <w:tcPr>
            <w:tcW w:w="7739" w:type="dxa"/>
          </w:tcPr>
          <w:p w:rsidR="00566FE9" w:rsidRPr="00E526BD" w:rsidP="005A4A6F">
            <w:pPr>
              <w:rPr>
                <w:sz w:val="16"/>
                <w:szCs w:val="16"/>
              </w:rPr>
            </w:pPr>
            <w:r w:rsidRPr="00E526BD">
              <w:rPr>
                <w:sz w:val="16"/>
              </w:rPr>
              <w:t>Assessment Body</w:t>
            </w:r>
          </w:p>
        </w:tc>
      </w:tr>
      <w:tr w:rsidTr="00566FE9">
        <w:tblPrEx>
          <w:tblW w:w="0" w:type="auto"/>
          <w:tblLook w:val="04A0"/>
        </w:tblPrEx>
        <w:tc>
          <w:tcPr>
            <w:tcW w:w="1526" w:type="dxa"/>
          </w:tcPr>
          <w:p w:rsidR="00566FE9" w:rsidRPr="00E526BD" w:rsidP="005A4A6F">
            <w:pPr>
              <w:rPr>
                <w:sz w:val="16"/>
                <w:szCs w:val="16"/>
              </w:rPr>
            </w:pPr>
            <w:r w:rsidRPr="00E526BD">
              <w:rPr>
                <w:sz w:val="16"/>
              </w:rPr>
              <w:t>BEGebV</w:t>
            </w:r>
          </w:p>
        </w:tc>
        <w:tc>
          <w:tcPr>
            <w:tcW w:w="7739" w:type="dxa"/>
          </w:tcPr>
          <w:p w:rsidR="00566FE9" w:rsidRPr="00E526BD" w:rsidP="005A4A6F">
            <w:pPr>
              <w:rPr>
                <w:sz w:val="16"/>
                <w:szCs w:val="16"/>
              </w:rPr>
            </w:pPr>
            <w:r w:rsidRPr="00E526BD">
              <w:rPr>
                <w:sz w:val="16"/>
              </w:rPr>
              <w:t xml:space="preserve">Regulation on Fees and Charges of </w:t>
            </w:r>
            <w:r w:rsidRPr="00E526BD">
              <w:rPr>
                <w:sz w:val="16"/>
              </w:rPr>
              <w:t>the Federal Railway Administrations (Federal Railway Fees Regulation) [</w:t>
            </w:r>
            <w:r w:rsidRPr="00E526BD">
              <w:rPr>
                <w:i/>
                <w:sz w:val="16"/>
              </w:rPr>
              <w:t>Verordnung</w:t>
            </w:r>
            <w:r w:rsidRPr="00E526BD">
              <w:rPr>
                <w:i/>
                <w:sz w:val="16"/>
              </w:rPr>
              <w:t xml:space="preserve"> </w:t>
            </w:r>
            <w:r w:rsidRPr="00E526BD">
              <w:rPr>
                <w:i/>
                <w:sz w:val="16"/>
              </w:rPr>
              <w:t>über</w:t>
            </w:r>
            <w:r w:rsidRPr="00E526BD">
              <w:rPr>
                <w:i/>
                <w:sz w:val="16"/>
              </w:rPr>
              <w:t xml:space="preserve"> die </w:t>
            </w:r>
            <w:r w:rsidRPr="00E526BD">
              <w:rPr>
                <w:i/>
                <w:sz w:val="16"/>
              </w:rPr>
              <w:t>Gebühren</w:t>
            </w:r>
            <w:r w:rsidRPr="00E526BD">
              <w:rPr>
                <w:i/>
                <w:sz w:val="16"/>
              </w:rPr>
              <w:t xml:space="preserve"> und </w:t>
            </w:r>
            <w:r w:rsidRPr="00E526BD">
              <w:rPr>
                <w:i/>
                <w:sz w:val="16"/>
              </w:rPr>
              <w:t>Auslagen</w:t>
            </w:r>
            <w:r w:rsidRPr="00E526BD">
              <w:rPr>
                <w:i/>
                <w:sz w:val="16"/>
              </w:rPr>
              <w:t xml:space="preserve"> der </w:t>
            </w:r>
            <w:r w:rsidRPr="00E526BD">
              <w:rPr>
                <w:i/>
                <w:sz w:val="16"/>
              </w:rPr>
              <w:t>Eisenbahnverkehrsverwaltungen</w:t>
            </w:r>
            <w:r w:rsidRPr="00E526BD">
              <w:rPr>
                <w:i/>
                <w:sz w:val="16"/>
              </w:rPr>
              <w:t xml:space="preserve"> des </w:t>
            </w:r>
            <w:r w:rsidRPr="00E526BD">
              <w:rPr>
                <w:i/>
                <w:sz w:val="16"/>
              </w:rPr>
              <w:t>Bundes</w:t>
            </w:r>
            <w:r w:rsidRPr="00E526BD">
              <w:rPr>
                <w:i/>
                <w:sz w:val="16"/>
              </w:rPr>
              <w:t xml:space="preserve"> (</w:t>
            </w:r>
            <w:r w:rsidRPr="00E526BD">
              <w:rPr>
                <w:i/>
                <w:sz w:val="16"/>
              </w:rPr>
              <w:t>Bundeseisenbahngebührenverordnung</w:t>
            </w:r>
            <w:r w:rsidRPr="00E526BD">
              <w:rPr>
                <w:i/>
                <w:sz w:val="16"/>
              </w:rPr>
              <w:t>)</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BEU</w:t>
            </w:r>
          </w:p>
        </w:tc>
        <w:tc>
          <w:tcPr>
            <w:tcW w:w="7739" w:type="dxa"/>
          </w:tcPr>
          <w:p w:rsidR="00566FE9" w:rsidRPr="00E526BD" w:rsidP="005A4A6F">
            <w:pPr>
              <w:rPr>
                <w:sz w:val="16"/>
                <w:szCs w:val="16"/>
              </w:rPr>
            </w:pPr>
            <w:r w:rsidRPr="00E526BD">
              <w:rPr>
                <w:sz w:val="16"/>
              </w:rPr>
              <w:t>Federal Office for Railway Accident Investigation [</w:t>
            </w:r>
            <w:r w:rsidRPr="00E526BD">
              <w:rPr>
                <w:i/>
                <w:sz w:val="16"/>
              </w:rPr>
              <w:t>Bunde</w:t>
            </w:r>
            <w:r w:rsidRPr="00E526BD">
              <w:rPr>
                <w:i/>
                <w:sz w:val="16"/>
              </w:rPr>
              <w:t>sstelle</w:t>
            </w:r>
            <w:r w:rsidRPr="00E526BD">
              <w:rPr>
                <w:i/>
                <w:sz w:val="16"/>
              </w:rPr>
              <w:t xml:space="preserve"> </w:t>
            </w:r>
            <w:r w:rsidRPr="00E526BD">
              <w:rPr>
                <w:i/>
                <w:sz w:val="16"/>
              </w:rPr>
              <w:t>für</w:t>
            </w:r>
            <w:r w:rsidRPr="00E526BD">
              <w:rPr>
                <w:i/>
                <w:sz w:val="16"/>
              </w:rPr>
              <w:t xml:space="preserve"> </w:t>
            </w:r>
            <w:r w:rsidRPr="00E526BD">
              <w:rPr>
                <w:i/>
                <w:sz w:val="16"/>
              </w:rPr>
              <w:t>Eisenbahnunfalluntersuchung</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BEVVG</w:t>
            </w:r>
          </w:p>
        </w:tc>
        <w:tc>
          <w:tcPr>
            <w:tcW w:w="7739" w:type="dxa"/>
          </w:tcPr>
          <w:p w:rsidR="00566FE9" w:rsidRPr="00E526BD" w:rsidP="00E526BD">
            <w:pPr>
              <w:rPr>
                <w:sz w:val="16"/>
                <w:szCs w:val="16"/>
              </w:rPr>
            </w:pPr>
            <w:r w:rsidRPr="00E526BD">
              <w:rPr>
                <w:sz w:val="16"/>
              </w:rPr>
              <w:t>Federal Rail Traffic Management Act [</w:t>
            </w:r>
            <w:r w:rsidRPr="00E526BD">
              <w:rPr>
                <w:i/>
                <w:sz w:val="16"/>
              </w:rPr>
              <w:t>Gesetz</w:t>
            </w:r>
            <w:r w:rsidRPr="00E526BD">
              <w:rPr>
                <w:i/>
                <w:sz w:val="16"/>
              </w:rPr>
              <w:t xml:space="preserve"> </w:t>
            </w:r>
            <w:r w:rsidRPr="00E526BD">
              <w:rPr>
                <w:i/>
                <w:sz w:val="16"/>
              </w:rPr>
              <w:t>über</w:t>
            </w:r>
            <w:r w:rsidRPr="00E526BD">
              <w:rPr>
                <w:i/>
                <w:sz w:val="16"/>
              </w:rPr>
              <w:t xml:space="preserve"> die </w:t>
            </w:r>
            <w:r w:rsidRPr="00E526BD">
              <w:rPr>
                <w:i/>
                <w:sz w:val="16"/>
              </w:rPr>
              <w:t>Eisenbahnverkehrsverwaltung</w:t>
            </w:r>
            <w:r w:rsidRPr="00E526BD">
              <w:rPr>
                <w:i/>
                <w:sz w:val="16"/>
              </w:rPr>
              <w:t xml:space="preserve"> des </w:t>
            </w:r>
            <w:r w:rsidRPr="00E526BD">
              <w:rPr>
                <w:i/>
                <w:sz w:val="16"/>
              </w:rPr>
              <w:t>Bundes</w:t>
            </w:r>
            <w:r w:rsidRPr="00E526BD">
              <w:rPr>
                <w:i/>
                <w:sz w:val="16"/>
              </w:rPr>
              <w:t xml:space="preserve"> (</w:t>
            </w:r>
            <w:r w:rsidRPr="00E526BD">
              <w:rPr>
                <w:i/>
                <w:sz w:val="16"/>
              </w:rPr>
              <w:t>Bundeseisenbahnverkehrsverwaltungsgesetz</w:t>
            </w:r>
            <w:r w:rsidRPr="00E526BD">
              <w:rPr>
                <w:i/>
                <w:sz w:val="16"/>
              </w:rPr>
              <w:t>)</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BGBl</w:t>
            </w:r>
          </w:p>
        </w:tc>
        <w:tc>
          <w:tcPr>
            <w:tcW w:w="7739" w:type="dxa"/>
          </w:tcPr>
          <w:p w:rsidR="00566FE9" w:rsidRPr="00E526BD" w:rsidP="005A4A6F">
            <w:pPr>
              <w:rPr>
                <w:sz w:val="16"/>
                <w:szCs w:val="16"/>
              </w:rPr>
            </w:pPr>
            <w:r w:rsidRPr="00E526BD">
              <w:rPr>
                <w:sz w:val="16"/>
              </w:rPr>
              <w:t>Federal Gazette [</w:t>
            </w:r>
            <w:r w:rsidRPr="00E526BD">
              <w:rPr>
                <w:i/>
                <w:sz w:val="16"/>
              </w:rPr>
              <w:t>Bundesgesetzblatt</w:t>
            </w:r>
            <w:r w:rsidRPr="00E526BD">
              <w:rPr>
                <w:i/>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BÜ</w:t>
            </w:r>
          </w:p>
        </w:tc>
        <w:tc>
          <w:tcPr>
            <w:tcW w:w="7739" w:type="dxa"/>
          </w:tcPr>
          <w:p w:rsidR="00566FE9" w:rsidRPr="00E526BD" w:rsidP="005A4A6F">
            <w:pPr>
              <w:rPr>
                <w:sz w:val="16"/>
                <w:szCs w:val="16"/>
              </w:rPr>
            </w:pPr>
            <w:r w:rsidRPr="00E526BD">
              <w:rPr>
                <w:sz w:val="16"/>
              </w:rPr>
              <w:t>Level crossing [</w:t>
            </w:r>
            <w:r w:rsidRPr="00E526BD">
              <w:rPr>
                <w:i/>
                <w:sz w:val="16"/>
              </w:rPr>
              <w:t>Bahnüberg</w:t>
            </w:r>
            <w:r w:rsidRPr="00E526BD">
              <w:rPr>
                <w:i/>
                <w:sz w:val="16"/>
              </w:rPr>
              <w:t>ang</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CSI</w:t>
            </w:r>
          </w:p>
        </w:tc>
        <w:tc>
          <w:tcPr>
            <w:tcW w:w="7739" w:type="dxa"/>
          </w:tcPr>
          <w:p w:rsidR="00566FE9" w:rsidRPr="00E526BD" w:rsidP="005A4A6F">
            <w:pPr>
              <w:rPr>
                <w:sz w:val="16"/>
                <w:szCs w:val="16"/>
              </w:rPr>
            </w:pPr>
            <w:r w:rsidRPr="00E526BD">
              <w:rPr>
                <w:sz w:val="16"/>
              </w:rPr>
              <w:t>Common Safety Indicators</w:t>
            </w:r>
          </w:p>
        </w:tc>
      </w:tr>
      <w:tr w:rsidTr="00566FE9">
        <w:tblPrEx>
          <w:tblW w:w="0" w:type="auto"/>
          <w:tblLook w:val="04A0"/>
        </w:tblPrEx>
        <w:tc>
          <w:tcPr>
            <w:tcW w:w="1526" w:type="dxa"/>
          </w:tcPr>
          <w:p w:rsidR="00566FE9" w:rsidRPr="00E526BD" w:rsidP="005A4A6F">
            <w:pPr>
              <w:rPr>
                <w:sz w:val="16"/>
                <w:szCs w:val="16"/>
              </w:rPr>
            </w:pPr>
            <w:r w:rsidRPr="00E526BD">
              <w:rPr>
                <w:sz w:val="16"/>
              </w:rPr>
              <w:t>CSM</w:t>
            </w:r>
          </w:p>
        </w:tc>
        <w:tc>
          <w:tcPr>
            <w:tcW w:w="7739" w:type="dxa"/>
          </w:tcPr>
          <w:p w:rsidR="00566FE9" w:rsidRPr="00E526BD" w:rsidP="005A4A6F">
            <w:pPr>
              <w:rPr>
                <w:sz w:val="16"/>
                <w:szCs w:val="16"/>
              </w:rPr>
            </w:pPr>
            <w:r w:rsidRPr="00E526BD">
              <w:rPr>
                <w:sz w:val="16"/>
              </w:rPr>
              <w:t>Common Safety Methods</w:t>
            </w:r>
          </w:p>
        </w:tc>
      </w:tr>
      <w:tr w:rsidTr="00566FE9">
        <w:tblPrEx>
          <w:tblW w:w="0" w:type="auto"/>
          <w:tblLook w:val="04A0"/>
        </w:tblPrEx>
        <w:tc>
          <w:tcPr>
            <w:tcW w:w="1526" w:type="dxa"/>
          </w:tcPr>
          <w:p w:rsidR="00566FE9" w:rsidRPr="00E526BD" w:rsidP="005A4A6F">
            <w:pPr>
              <w:rPr>
                <w:sz w:val="16"/>
                <w:szCs w:val="16"/>
              </w:rPr>
            </w:pPr>
            <w:r w:rsidRPr="00E526BD">
              <w:rPr>
                <w:sz w:val="16"/>
              </w:rPr>
              <w:t>DeBo</w:t>
            </w:r>
          </w:p>
        </w:tc>
        <w:tc>
          <w:tcPr>
            <w:tcW w:w="7739" w:type="dxa"/>
          </w:tcPr>
          <w:p w:rsidR="00566FE9" w:rsidRPr="00E526BD" w:rsidP="005A4A6F">
            <w:pPr>
              <w:rPr>
                <w:sz w:val="16"/>
                <w:szCs w:val="16"/>
              </w:rPr>
            </w:pPr>
            <w:r w:rsidRPr="00E526BD">
              <w:rPr>
                <w:sz w:val="16"/>
              </w:rPr>
              <w:t>Designated Body</w:t>
            </w:r>
          </w:p>
        </w:tc>
      </w:tr>
      <w:tr w:rsidTr="00566FE9">
        <w:tblPrEx>
          <w:tblW w:w="0" w:type="auto"/>
          <w:tblLook w:val="04A0"/>
        </w:tblPrEx>
        <w:tc>
          <w:tcPr>
            <w:tcW w:w="1526" w:type="dxa"/>
          </w:tcPr>
          <w:p w:rsidR="00566FE9" w:rsidRPr="00E526BD" w:rsidP="005A4A6F">
            <w:pPr>
              <w:rPr>
                <w:sz w:val="16"/>
                <w:szCs w:val="16"/>
              </w:rPr>
            </w:pPr>
            <w:r w:rsidRPr="00E526BD">
              <w:rPr>
                <w:sz w:val="16"/>
              </w:rPr>
              <w:t>EBA</w:t>
            </w:r>
          </w:p>
        </w:tc>
        <w:tc>
          <w:tcPr>
            <w:tcW w:w="7739" w:type="dxa"/>
          </w:tcPr>
          <w:p w:rsidR="00566FE9" w:rsidRPr="00E526BD" w:rsidP="005A4A6F">
            <w:pPr>
              <w:rPr>
                <w:sz w:val="16"/>
                <w:szCs w:val="16"/>
              </w:rPr>
            </w:pPr>
            <w:r w:rsidRPr="00E526BD">
              <w:rPr>
                <w:sz w:val="16"/>
              </w:rPr>
              <w:t>Federal Railway Authority [</w:t>
            </w:r>
            <w:r w:rsidRPr="00E526BD">
              <w:rPr>
                <w:i/>
                <w:sz w:val="16"/>
              </w:rPr>
              <w:t>Eisenbahn-Bundesamt</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EBL</w:t>
            </w:r>
          </w:p>
        </w:tc>
        <w:tc>
          <w:tcPr>
            <w:tcW w:w="7739" w:type="dxa"/>
          </w:tcPr>
          <w:p w:rsidR="00566FE9" w:rsidRPr="00E526BD" w:rsidP="005A4A6F">
            <w:pPr>
              <w:rPr>
                <w:sz w:val="16"/>
                <w:szCs w:val="16"/>
              </w:rPr>
            </w:pPr>
            <w:r w:rsidRPr="00E526BD">
              <w:rPr>
                <w:sz w:val="16"/>
              </w:rPr>
              <w:t>Railway Operating Manager [</w:t>
            </w:r>
            <w:r w:rsidRPr="00E526BD">
              <w:rPr>
                <w:i/>
                <w:sz w:val="16"/>
              </w:rPr>
              <w:t>Eisenbahnbetriebsleiter</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EBO</w:t>
            </w:r>
          </w:p>
        </w:tc>
        <w:tc>
          <w:tcPr>
            <w:tcW w:w="7739" w:type="dxa"/>
          </w:tcPr>
          <w:p w:rsidR="00566FE9" w:rsidRPr="00E526BD" w:rsidP="00E526BD">
            <w:pPr>
              <w:rPr>
                <w:sz w:val="16"/>
                <w:szCs w:val="16"/>
              </w:rPr>
            </w:pPr>
            <w:r w:rsidRPr="00E526BD">
              <w:rPr>
                <w:sz w:val="16"/>
              </w:rPr>
              <w:t>Railway Construction and Operation Code (</w:t>
            </w:r>
            <w:r w:rsidRPr="00E526BD">
              <w:rPr>
                <w:sz w:val="16"/>
              </w:rPr>
              <w:t>Eisenbahn-Bau</w:t>
            </w:r>
            <w:r w:rsidRPr="00E526BD">
              <w:rPr>
                <w:sz w:val="16"/>
              </w:rPr>
              <w:t xml:space="preserve">- </w:t>
            </w:r>
            <w:r w:rsidRPr="00E526BD">
              <w:rPr>
                <w:sz w:val="16"/>
              </w:rPr>
              <w:t>und</w:t>
            </w:r>
            <w:r>
              <w:rPr>
                <w:sz w:val="16"/>
              </w:rPr>
              <w:t xml:space="preserve"> </w:t>
            </w:r>
            <w:r w:rsidRPr="00E526BD">
              <w:rPr>
                <w:sz w:val="16"/>
              </w:rPr>
              <w:t>Betriebsordnung</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EBPV</w:t>
            </w:r>
          </w:p>
        </w:tc>
        <w:tc>
          <w:tcPr>
            <w:tcW w:w="7739" w:type="dxa"/>
          </w:tcPr>
          <w:p w:rsidR="00566FE9" w:rsidRPr="00E526BD" w:rsidP="005A4A6F">
            <w:pPr>
              <w:rPr>
                <w:sz w:val="16"/>
                <w:szCs w:val="16"/>
              </w:rPr>
            </w:pPr>
            <w:r w:rsidRPr="00E526BD">
              <w:rPr>
                <w:sz w:val="16"/>
              </w:rPr>
              <w:t>Regulation on the Examination for Railway Operations Managers [</w:t>
            </w:r>
            <w:r w:rsidRPr="00E526BD">
              <w:rPr>
                <w:i/>
                <w:sz w:val="16"/>
              </w:rPr>
              <w:t>Verordnung</w:t>
            </w:r>
            <w:r w:rsidRPr="00E526BD">
              <w:rPr>
                <w:i/>
                <w:sz w:val="16"/>
              </w:rPr>
              <w:t xml:space="preserve"> </w:t>
            </w:r>
            <w:r w:rsidRPr="00E526BD">
              <w:rPr>
                <w:i/>
                <w:sz w:val="16"/>
              </w:rPr>
              <w:t>über</w:t>
            </w:r>
            <w:r w:rsidRPr="00E526BD">
              <w:rPr>
                <w:i/>
                <w:sz w:val="16"/>
              </w:rPr>
              <w:t xml:space="preserve"> die </w:t>
            </w:r>
            <w:r w:rsidRPr="00E526BD">
              <w:rPr>
                <w:i/>
                <w:sz w:val="16"/>
              </w:rPr>
              <w:t>Prüfung</w:t>
            </w:r>
            <w:r w:rsidRPr="00E526BD">
              <w:rPr>
                <w:i/>
                <w:sz w:val="16"/>
              </w:rPr>
              <w:t xml:space="preserve"> </w:t>
            </w:r>
            <w:r w:rsidRPr="00E526BD">
              <w:rPr>
                <w:i/>
                <w:sz w:val="16"/>
              </w:rPr>
              <w:t>zum</w:t>
            </w:r>
            <w:r w:rsidRPr="00E526BD">
              <w:rPr>
                <w:i/>
                <w:sz w:val="16"/>
              </w:rPr>
              <w:t xml:space="preserve"> </w:t>
            </w:r>
            <w:r w:rsidRPr="00E526BD">
              <w:rPr>
                <w:i/>
                <w:sz w:val="16"/>
              </w:rPr>
              <w:t>Betriebsleiter</w:t>
            </w:r>
            <w:r w:rsidRPr="00E526BD">
              <w:rPr>
                <w:i/>
                <w:sz w:val="16"/>
              </w:rPr>
              <w:t xml:space="preserve"> </w:t>
            </w:r>
            <w:r w:rsidRPr="00E526BD">
              <w:rPr>
                <w:i/>
                <w:sz w:val="16"/>
              </w:rPr>
              <w:t>für</w:t>
            </w:r>
            <w:r w:rsidRPr="00E526BD">
              <w:rPr>
                <w:i/>
                <w:sz w:val="16"/>
              </w:rPr>
              <w:t xml:space="preserve"> </w:t>
            </w:r>
            <w:r w:rsidRPr="00E526BD">
              <w:rPr>
                <w:i/>
                <w:sz w:val="16"/>
              </w:rPr>
              <w:t>Eisenbahnen</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EBV</w:t>
            </w:r>
          </w:p>
        </w:tc>
        <w:tc>
          <w:tcPr>
            <w:tcW w:w="7739" w:type="dxa"/>
          </w:tcPr>
          <w:p w:rsidR="00566FE9" w:rsidRPr="00E526BD" w:rsidP="005A4A6F">
            <w:pPr>
              <w:rPr>
                <w:sz w:val="16"/>
                <w:szCs w:val="16"/>
              </w:rPr>
            </w:pPr>
            <w:r w:rsidRPr="00E526BD">
              <w:rPr>
                <w:sz w:val="16"/>
              </w:rPr>
              <w:t>Regulation on the Appointment, Confirmation, Tasks and Powers of Railway Operations Managers [</w:t>
            </w:r>
            <w:r w:rsidRPr="00E526BD">
              <w:rPr>
                <w:i/>
                <w:sz w:val="16"/>
              </w:rPr>
              <w:t>Verordnung</w:t>
            </w:r>
            <w:r w:rsidRPr="00E526BD">
              <w:rPr>
                <w:i/>
                <w:sz w:val="16"/>
              </w:rPr>
              <w:t xml:space="preserve"> </w:t>
            </w:r>
            <w:r w:rsidRPr="00E526BD">
              <w:rPr>
                <w:i/>
                <w:sz w:val="16"/>
              </w:rPr>
              <w:t>über</w:t>
            </w:r>
            <w:r w:rsidRPr="00E526BD">
              <w:rPr>
                <w:i/>
                <w:sz w:val="16"/>
              </w:rPr>
              <w:t xml:space="preserve"> die </w:t>
            </w:r>
            <w:r w:rsidRPr="00E526BD">
              <w:rPr>
                <w:i/>
                <w:sz w:val="16"/>
              </w:rPr>
              <w:t>Bestellung</w:t>
            </w:r>
            <w:r w:rsidRPr="00E526BD">
              <w:rPr>
                <w:i/>
                <w:sz w:val="16"/>
              </w:rPr>
              <w:t xml:space="preserve"> und </w:t>
            </w:r>
            <w:r w:rsidRPr="00E526BD">
              <w:rPr>
                <w:i/>
                <w:sz w:val="16"/>
              </w:rPr>
              <w:t>Bestätigung</w:t>
            </w:r>
            <w:r w:rsidRPr="00E526BD">
              <w:rPr>
                <w:i/>
                <w:sz w:val="16"/>
              </w:rPr>
              <w:t xml:space="preserve"> </w:t>
            </w:r>
            <w:r w:rsidRPr="00E526BD">
              <w:rPr>
                <w:i/>
                <w:sz w:val="16"/>
              </w:rPr>
              <w:t>sowie</w:t>
            </w:r>
            <w:r w:rsidRPr="00E526BD">
              <w:rPr>
                <w:i/>
                <w:sz w:val="16"/>
              </w:rPr>
              <w:t xml:space="preserve"> die </w:t>
            </w:r>
            <w:r w:rsidRPr="00E526BD">
              <w:rPr>
                <w:i/>
                <w:sz w:val="16"/>
              </w:rPr>
              <w:t>Aufgaben</w:t>
            </w:r>
            <w:r w:rsidRPr="00E526BD">
              <w:rPr>
                <w:i/>
                <w:sz w:val="16"/>
              </w:rPr>
              <w:t xml:space="preserve"> und </w:t>
            </w:r>
            <w:r w:rsidRPr="00E526BD">
              <w:rPr>
                <w:i/>
                <w:sz w:val="16"/>
              </w:rPr>
              <w:t>Befugnisse</w:t>
            </w:r>
            <w:r w:rsidRPr="00E526BD">
              <w:rPr>
                <w:i/>
                <w:sz w:val="16"/>
              </w:rPr>
              <w:t xml:space="preserve"> von </w:t>
            </w:r>
            <w:r w:rsidRPr="00E526BD">
              <w:rPr>
                <w:i/>
                <w:sz w:val="16"/>
              </w:rPr>
              <w:t>Betriebsleitern</w:t>
            </w:r>
            <w:r w:rsidRPr="00E526BD">
              <w:rPr>
                <w:i/>
                <w:sz w:val="16"/>
              </w:rPr>
              <w:t xml:space="preserve"> </w:t>
            </w:r>
            <w:r w:rsidRPr="00E526BD">
              <w:rPr>
                <w:i/>
                <w:sz w:val="16"/>
              </w:rPr>
              <w:t>für</w:t>
            </w:r>
            <w:r w:rsidRPr="00E526BD">
              <w:rPr>
                <w:i/>
                <w:sz w:val="16"/>
              </w:rPr>
              <w:t xml:space="preserve"> </w:t>
            </w:r>
            <w:r w:rsidRPr="00E526BD">
              <w:rPr>
                <w:i/>
                <w:sz w:val="16"/>
              </w:rPr>
              <w:t>Eisenbahnen</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EBZugV</w:t>
            </w:r>
          </w:p>
        </w:tc>
        <w:tc>
          <w:tcPr>
            <w:tcW w:w="7739" w:type="dxa"/>
          </w:tcPr>
          <w:p w:rsidR="00566FE9" w:rsidRPr="00E526BD" w:rsidP="005A4A6F">
            <w:pPr>
              <w:rPr>
                <w:sz w:val="16"/>
                <w:szCs w:val="16"/>
              </w:rPr>
            </w:pPr>
            <w:r w:rsidRPr="00E526BD">
              <w:rPr>
                <w:sz w:val="16"/>
              </w:rPr>
              <w:t>Regulation on Access to the Profession of Railway Entrepreneur [</w:t>
            </w:r>
            <w:r w:rsidRPr="00E526BD">
              <w:rPr>
                <w:i/>
                <w:sz w:val="16"/>
              </w:rPr>
              <w:t>Eisenbahnunternehmer-Berufszugangsverordnung</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ECM</w:t>
            </w:r>
          </w:p>
        </w:tc>
        <w:tc>
          <w:tcPr>
            <w:tcW w:w="7739" w:type="dxa"/>
          </w:tcPr>
          <w:p w:rsidR="00566FE9" w:rsidRPr="00E526BD" w:rsidP="005A4A6F">
            <w:pPr>
              <w:rPr>
                <w:sz w:val="16"/>
                <w:szCs w:val="16"/>
              </w:rPr>
            </w:pPr>
            <w:r w:rsidRPr="00E526BD">
              <w:rPr>
                <w:sz w:val="16"/>
              </w:rPr>
              <w:t>Entity in charg</w:t>
            </w:r>
            <w:r w:rsidRPr="00E526BD">
              <w:rPr>
                <w:sz w:val="16"/>
              </w:rPr>
              <w:t>e of maintenance</w:t>
            </w:r>
          </w:p>
        </w:tc>
      </w:tr>
      <w:tr w:rsidTr="00566FE9">
        <w:tblPrEx>
          <w:tblW w:w="0" w:type="auto"/>
          <w:tblLook w:val="04A0"/>
        </w:tblPrEx>
        <w:tc>
          <w:tcPr>
            <w:tcW w:w="1526" w:type="dxa"/>
          </w:tcPr>
          <w:p w:rsidR="00566FE9" w:rsidRPr="00E526BD" w:rsidP="005A4A6F">
            <w:pPr>
              <w:rPr>
                <w:sz w:val="16"/>
                <w:szCs w:val="16"/>
              </w:rPr>
            </w:pPr>
            <w:r w:rsidRPr="00E526BD">
              <w:rPr>
                <w:sz w:val="16"/>
              </w:rPr>
              <w:t>EC</w:t>
            </w:r>
          </w:p>
        </w:tc>
        <w:tc>
          <w:tcPr>
            <w:tcW w:w="7739" w:type="dxa"/>
          </w:tcPr>
          <w:p w:rsidR="00566FE9" w:rsidRPr="00E526BD" w:rsidP="005A4A6F">
            <w:pPr>
              <w:rPr>
                <w:sz w:val="16"/>
                <w:szCs w:val="16"/>
              </w:rPr>
            </w:pPr>
            <w:r w:rsidRPr="00E526BD">
              <w:rPr>
                <w:sz w:val="16"/>
              </w:rPr>
              <w:t>European Community</w:t>
            </w:r>
          </w:p>
        </w:tc>
      </w:tr>
      <w:tr w:rsidTr="00566FE9">
        <w:tblPrEx>
          <w:tblW w:w="0" w:type="auto"/>
          <w:tblLook w:val="04A0"/>
        </w:tblPrEx>
        <w:tc>
          <w:tcPr>
            <w:tcW w:w="1526" w:type="dxa"/>
          </w:tcPr>
          <w:p w:rsidR="00566FE9" w:rsidRPr="00E526BD" w:rsidP="005A4A6F">
            <w:pPr>
              <w:rPr>
                <w:sz w:val="16"/>
                <w:szCs w:val="16"/>
              </w:rPr>
            </w:pPr>
            <w:r w:rsidRPr="00E526BD">
              <w:rPr>
                <w:sz w:val="16"/>
              </w:rPr>
              <w:t>ESiV</w:t>
            </w:r>
          </w:p>
        </w:tc>
        <w:tc>
          <w:tcPr>
            <w:tcW w:w="7739" w:type="dxa"/>
          </w:tcPr>
          <w:p w:rsidR="00566FE9" w:rsidRPr="00E526BD" w:rsidP="005A4A6F">
            <w:pPr>
              <w:rPr>
                <w:sz w:val="16"/>
                <w:szCs w:val="16"/>
              </w:rPr>
            </w:pPr>
            <w:r w:rsidRPr="00E526BD">
              <w:rPr>
                <w:sz w:val="16"/>
              </w:rPr>
              <w:t>Railway Safety Regulation [</w:t>
            </w:r>
            <w:r w:rsidRPr="00E526BD">
              <w:rPr>
                <w:i/>
                <w:sz w:val="16"/>
              </w:rPr>
              <w:t>Verordnung</w:t>
            </w:r>
            <w:r w:rsidRPr="00E526BD">
              <w:rPr>
                <w:i/>
                <w:sz w:val="16"/>
              </w:rPr>
              <w:t xml:space="preserve"> </w:t>
            </w:r>
            <w:r w:rsidRPr="00E526BD">
              <w:rPr>
                <w:i/>
                <w:sz w:val="16"/>
              </w:rPr>
              <w:t>über</w:t>
            </w:r>
            <w:r w:rsidRPr="00E526BD">
              <w:rPr>
                <w:i/>
                <w:sz w:val="16"/>
              </w:rPr>
              <w:t xml:space="preserve"> die </w:t>
            </w:r>
            <w:r w:rsidRPr="00E526BD">
              <w:rPr>
                <w:i/>
                <w:sz w:val="16"/>
              </w:rPr>
              <w:t>Sicherheit</w:t>
            </w:r>
            <w:r w:rsidRPr="00E526BD">
              <w:rPr>
                <w:i/>
                <w:sz w:val="16"/>
              </w:rPr>
              <w:t xml:space="preserve"> des </w:t>
            </w:r>
            <w:r w:rsidRPr="00E526BD">
              <w:rPr>
                <w:i/>
                <w:sz w:val="16"/>
              </w:rPr>
              <w:t>Eisenbahnwesens</w:t>
            </w:r>
            <w:r w:rsidRPr="00E526BD">
              <w:rPr>
                <w:i/>
                <w:sz w:val="16"/>
              </w:rPr>
              <w:t xml:space="preserve"> (</w:t>
            </w:r>
            <w:r w:rsidRPr="00E526BD">
              <w:rPr>
                <w:i/>
                <w:sz w:val="16"/>
              </w:rPr>
              <w:t>Eisenbahn-Sicherheitsverordnung</w:t>
            </w:r>
            <w:r w:rsidRPr="00E526BD">
              <w:rPr>
                <w:i/>
                <w:sz w:val="16"/>
              </w:rPr>
              <w:t>)</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EU</w:t>
            </w:r>
          </w:p>
        </w:tc>
        <w:tc>
          <w:tcPr>
            <w:tcW w:w="7739" w:type="dxa"/>
          </w:tcPr>
          <w:p w:rsidR="00566FE9" w:rsidRPr="00E526BD" w:rsidP="005A4A6F">
            <w:pPr>
              <w:rPr>
                <w:sz w:val="16"/>
                <w:szCs w:val="16"/>
              </w:rPr>
            </w:pPr>
            <w:r w:rsidRPr="00E526BD">
              <w:rPr>
                <w:sz w:val="16"/>
              </w:rPr>
              <w:t>European Union</w:t>
            </w:r>
          </w:p>
        </w:tc>
      </w:tr>
      <w:tr w:rsidTr="00566FE9">
        <w:tblPrEx>
          <w:tblW w:w="0" w:type="auto"/>
          <w:tblLook w:val="04A0"/>
        </w:tblPrEx>
        <w:tc>
          <w:tcPr>
            <w:tcW w:w="1526" w:type="dxa"/>
          </w:tcPr>
          <w:p w:rsidR="00566FE9" w:rsidRPr="00E526BD" w:rsidP="005A4A6F">
            <w:pPr>
              <w:rPr>
                <w:sz w:val="16"/>
                <w:szCs w:val="16"/>
              </w:rPr>
            </w:pPr>
            <w:r w:rsidRPr="00E526BD">
              <w:rPr>
                <w:sz w:val="16"/>
              </w:rPr>
              <w:t>EUV</w:t>
            </w:r>
          </w:p>
        </w:tc>
        <w:tc>
          <w:tcPr>
            <w:tcW w:w="7739" w:type="dxa"/>
          </w:tcPr>
          <w:p w:rsidR="00566FE9" w:rsidRPr="00E526BD" w:rsidP="005A4A6F">
            <w:pPr>
              <w:rPr>
                <w:sz w:val="16"/>
                <w:szCs w:val="16"/>
              </w:rPr>
            </w:pPr>
            <w:r w:rsidRPr="00E526BD">
              <w:rPr>
                <w:sz w:val="16"/>
              </w:rPr>
              <w:t xml:space="preserve">Regulation on the Investigation of Dangerous Occurrences in Railway </w:t>
            </w:r>
            <w:r w:rsidRPr="00E526BD">
              <w:rPr>
                <w:sz w:val="16"/>
              </w:rPr>
              <w:t>Operations [</w:t>
            </w:r>
            <w:r w:rsidRPr="00E526BD">
              <w:rPr>
                <w:i/>
                <w:sz w:val="16"/>
              </w:rPr>
              <w:t>Verordnung</w:t>
            </w:r>
            <w:r w:rsidRPr="00E526BD">
              <w:rPr>
                <w:i/>
                <w:sz w:val="16"/>
              </w:rPr>
              <w:t xml:space="preserve"> </w:t>
            </w:r>
            <w:r w:rsidRPr="00E526BD">
              <w:rPr>
                <w:i/>
                <w:sz w:val="16"/>
              </w:rPr>
              <w:t>über</w:t>
            </w:r>
            <w:r w:rsidRPr="00E526BD">
              <w:rPr>
                <w:i/>
                <w:sz w:val="16"/>
              </w:rPr>
              <w:t xml:space="preserve"> die </w:t>
            </w:r>
            <w:r w:rsidRPr="00E526BD">
              <w:rPr>
                <w:i/>
                <w:sz w:val="16"/>
              </w:rPr>
              <w:t>Untersuchung</w:t>
            </w:r>
            <w:r w:rsidRPr="00E526BD">
              <w:rPr>
                <w:i/>
                <w:sz w:val="16"/>
              </w:rPr>
              <w:t xml:space="preserve"> </w:t>
            </w:r>
            <w:r w:rsidRPr="00E526BD">
              <w:rPr>
                <w:i/>
                <w:sz w:val="16"/>
              </w:rPr>
              <w:t>gefährlicher</w:t>
            </w:r>
            <w:r w:rsidRPr="00E526BD">
              <w:rPr>
                <w:i/>
                <w:sz w:val="16"/>
              </w:rPr>
              <w:t xml:space="preserve"> </w:t>
            </w:r>
            <w:r w:rsidRPr="00E526BD">
              <w:rPr>
                <w:i/>
                <w:sz w:val="16"/>
              </w:rPr>
              <w:t>Ereignisse</w:t>
            </w:r>
            <w:r w:rsidRPr="00E526BD">
              <w:rPr>
                <w:i/>
                <w:sz w:val="16"/>
              </w:rPr>
              <w:t xml:space="preserve"> </w:t>
            </w:r>
            <w:r w:rsidRPr="00E526BD">
              <w:rPr>
                <w:i/>
                <w:sz w:val="16"/>
              </w:rPr>
              <w:t>im</w:t>
            </w:r>
            <w:r w:rsidRPr="00E526BD">
              <w:rPr>
                <w:i/>
                <w:sz w:val="16"/>
              </w:rPr>
              <w:t xml:space="preserve"> </w:t>
            </w:r>
            <w:r w:rsidRPr="00E526BD">
              <w:rPr>
                <w:i/>
                <w:sz w:val="16"/>
              </w:rPr>
              <w:t>Eisenbahnbetrieb</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EVU</w:t>
            </w:r>
          </w:p>
        </w:tc>
        <w:tc>
          <w:tcPr>
            <w:tcW w:w="7739" w:type="dxa"/>
          </w:tcPr>
          <w:p w:rsidR="00566FE9" w:rsidRPr="00E526BD" w:rsidP="005A4A6F">
            <w:pPr>
              <w:rPr>
                <w:sz w:val="16"/>
                <w:szCs w:val="16"/>
              </w:rPr>
            </w:pPr>
            <w:r w:rsidRPr="00E526BD">
              <w:rPr>
                <w:sz w:val="16"/>
              </w:rPr>
              <w:t>Railway Undertaking</w:t>
            </w:r>
          </w:p>
        </w:tc>
      </w:tr>
      <w:tr w:rsidTr="00566FE9">
        <w:tblPrEx>
          <w:tblW w:w="0" w:type="auto"/>
          <w:tblLook w:val="04A0"/>
        </w:tblPrEx>
        <w:tc>
          <w:tcPr>
            <w:tcW w:w="1526" w:type="dxa"/>
          </w:tcPr>
          <w:p w:rsidR="00566FE9" w:rsidRPr="00E526BD" w:rsidP="005A4A6F">
            <w:pPr>
              <w:rPr>
                <w:sz w:val="16"/>
                <w:szCs w:val="16"/>
              </w:rPr>
            </w:pPr>
            <w:r w:rsidRPr="00E526BD">
              <w:rPr>
                <w:sz w:val="16"/>
              </w:rPr>
              <w:t>GSM-R</w:t>
            </w:r>
          </w:p>
        </w:tc>
        <w:tc>
          <w:tcPr>
            <w:tcW w:w="7739" w:type="dxa"/>
          </w:tcPr>
          <w:p w:rsidR="00566FE9" w:rsidRPr="00E526BD" w:rsidP="005A4A6F">
            <w:pPr>
              <w:rPr>
                <w:sz w:val="16"/>
                <w:szCs w:val="16"/>
              </w:rPr>
            </w:pPr>
            <w:r w:rsidRPr="00E526BD">
              <w:rPr>
                <w:sz w:val="16"/>
              </w:rPr>
              <w:t>Global System for Mobile Communications – Rail</w:t>
            </w:r>
          </w:p>
        </w:tc>
      </w:tr>
      <w:tr w:rsidTr="00566FE9">
        <w:tblPrEx>
          <w:tblW w:w="0" w:type="auto"/>
          <w:tblLook w:val="04A0"/>
        </w:tblPrEx>
        <w:tc>
          <w:tcPr>
            <w:tcW w:w="1526" w:type="dxa"/>
          </w:tcPr>
          <w:p w:rsidR="00566FE9" w:rsidRPr="00E526BD" w:rsidP="005A4A6F">
            <w:pPr>
              <w:rPr>
                <w:sz w:val="16"/>
                <w:szCs w:val="16"/>
              </w:rPr>
            </w:pPr>
            <w:r w:rsidRPr="00E526BD">
              <w:rPr>
                <w:sz w:val="16"/>
              </w:rPr>
              <w:t>ICE</w:t>
            </w:r>
          </w:p>
        </w:tc>
        <w:tc>
          <w:tcPr>
            <w:tcW w:w="7739" w:type="dxa"/>
          </w:tcPr>
          <w:p w:rsidR="00566FE9" w:rsidRPr="00E526BD" w:rsidP="005A4A6F">
            <w:pPr>
              <w:rPr>
                <w:sz w:val="16"/>
                <w:szCs w:val="16"/>
              </w:rPr>
            </w:pPr>
            <w:r w:rsidRPr="00E526BD">
              <w:rPr>
                <w:sz w:val="16"/>
              </w:rPr>
              <w:t>Intercity-Express</w:t>
            </w:r>
          </w:p>
        </w:tc>
      </w:tr>
      <w:tr w:rsidTr="00566FE9">
        <w:tblPrEx>
          <w:tblW w:w="0" w:type="auto"/>
          <w:tblLook w:val="04A0"/>
        </w:tblPrEx>
        <w:tc>
          <w:tcPr>
            <w:tcW w:w="1526" w:type="dxa"/>
          </w:tcPr>
          <w:p w:rsidR="00566FE9" w:rsidRPr="00E526BD" w:rsidP="005A4A6F">
            <w:pPr>
              <w:rPr>
                <w:sz w:val="16"/>
                <w:szCs w:val="16"/>
              </w:rPr>
            </w:pPr>
            <w:r w:rsidRPr="00E526BD">
              <w:rPr>
                <w:sz w:val="16"/>
              </w:rPr>
              <w:t>MoU</w:t>
            </w:r>
          </w:p>
        </w:tc>
        <w:tc>
          <w:tcPr>
            <w:tcW w:w="7739" w:type="dxa"/>
          </w:tcPr>
          <w:p w:rsidR="00566FE9" w:rsidRPr="00E526BD" w:rsidP="005A4A6F">
            <w:pPr>
              <w:rPr>
                <w:sz w:val="16"/>
                <w:szCs w:val="16"/>
              </w:rPr>
            </w:pPr>
            <w:r w:rsidRPr="00E526BD">
              <w:rPr>
                <w:sz w:val="16"/>
              </w:rPr>
              <w:t>Memorandum of Understanding</w:t>
            </w:r>
          </w:p>
        </w:tc>
      </w:tr>
      <w:tr w:rsidTr="00566FE9">
        <w:tblPrEx>
          <w:tblW w:w="0" w:type="auto"/>
          <w:tblLook w:val="04A0"/>
        </w:tblPrEx>
        <w:tc>
          <w:tcPr>
            <w:tcW w:w="1526" w:type="dxa"/>
          </w:tcPr>
          <w:p w:rsidR="00566FE9" w:rsidRPr="00E526BD" w:rsidP="005A4A6F">
            <w:pPr>
              <w:rPr>
                <w:sz w:val="16"/>
                <w:szCs w:val="16"/>
              </w:rPr>
            </w:pPr>
            <w:r w:rsidRPr="00E526BD">
              <w:rPr>
                <w:sz w:val="16"/>
              </w:rPr>
              <w:t>NoBo</w:t>
            </w:r>
          </w:p>
        </w:tc>
        <w:tc>
          <w:tcPr>
            <w:tcW w:w="7739" w:type="dxa"/>
          </w:tcPr>
          <w:p w:rsidR="00566FE9" w:rsidRPr="00E526BD" w:rsidP="005A4A6F">
            <w:pPr>
              <w:rPr>
                <w:sz w:val="16"/>
                <w:szCs w:val="16"/>
              </w:rPr>
            </w:pPr>
            <w:r w:rsidRPr="00E526BD">
              <w:rPr>
                <w:sz w:val="16"/>
              </w:rPr>
              <w:t>Notified Body Interoperab</w:t>
            </w:r>
            <w:r w:rsidRPr="00E526BD">
              <w:rPr>
                <w:sz w:val="16"/>
              </w:rPr>
              <w:t>ility</w:t>
            </w:r>
          </w:p>
        </w:tc>
      </w:tr>
      <w:tr w:rsidTr="00566FE9">
        <w:tblPrEx>
          <w:tblW w:w="0" w:type="auto"/>
          <w:tblLook w:val="04A0"/>
        </w:tblPrEx>
        <w:tc>
          <w:tcPr>
            <w:tcW w:w="1526" w:type="dxa"/>
          </w:tcPr>
          <w:p w:rsidR="00566FE9" w:rsidRPr="00E526BD" w:rsidP="005A4A6F">
            <w:pPr>
              <w:rPr>
                <w:sz w:val="16"/>
                <w:szCs w:val="16"/>
              </w:rPr>
            </w:pPr>
            <w:r w:rsidRPr="00E526BD">
              <w:rPr>
                <w:sz w:val="16"/>
              </w:rPr>
              <w:t>PRINS</w:t>
            </w:r>
          </w:p>
        </w:tc>
        <w:tc>
          <w:tcPr>
            <w:tcW w:w="7739" w:type="dxa"/>
          </w:tcPr>
          <w:p w:rsidR="00566FE9" w:rsidRPr="00E526BD" w:rsidP="005A4A6F">
            <w:pPr>
              <w:rPr>
                <w:sz w:val="16"/>
                <w:szCs w:val="16"/>
              </w:rPr>
            </w:pPr>
            <w:r w:rsidRPr="00E526BD">
              <w:rPr>
                <w:sz w:val="16"/>
              </w:rPr>
              <w:t>Project maintenance</w:t>
            </w:r>
          </w:p>
        </w:tc>
      </w:tr>
      <w:tr w:rsidTr="00566FE9">
        <w:tblPrEx>
          <w:tblW w:w="0" w:type="auto"/>
          <w:tblLook w:val="04A0"/>
        </w:tblPrEx>
        <w:tc>
          <w:tcPr>
            <w:tcW w:w="1526" w:type="dxa"/>
          </w:tcPr>
          <w:p w:rsidR="00566FE9" w:rsidRPr="00E526BD" w:rsidP="005A4A6F">
            <w:pPr>
              <w:rPr>
                <w:sz w:val="16"/>
                <w:szCs w:val="16"/>
              </w:rPr>
            </w:pPr>
            <w:r w:rsidRPr="00E526BD">
              <w:rPr>
                <w:sz w:val="16"/>
              </w:rPr>
              <w:t>PZB</w:t>
            </w:r>
          </w:p>
        </w:tc>
        <w:tc>
          <w:tcPr>
            <w:tcW w:w="7739" w:type="dxa"/>
          </w:tcPr>
          <w:p w:rsidR="00566FE9" w:rsidRPr="00E526BD" w:rsidP="005A4A6F">
            <w:pPr>
              <w:rPr>
                <w:sz w:val="16"/>
                <w:szCs w:val="16"/>
              </w:rPr>
            </w:pPr>
            <w:r w:rsidRPr="00E526BD">
              <w:rPr>
                <w:sz w:val="16"/>
              </w:rPr>
              <w:t>Intermittent automatic train control</w:t>
            </w:r>
          </w:p>
        </w:tc>
      </w:tr>
      <w:tr w:rsidTr="00566FE9">
        <w:tblPrEx>
          <w:tblW w:w="0" w:type="auto"/>
          <w:tblLook w:val="04A0"/>
        </w:tblPrEx>
        <w:tc>
          <w:tcPr>
            <w:tcW w:w="1526" w:type="dxa"/>
          </w:tcPr>
          <w:p w:rsidR="00566FE9" w:rsidRPr="00E526BD" w:rsidP="005A4A6F">
            <w:pPr>
              <w:rPr>
                <w:sz w:val="16"/>
                <w:szCs w:val="16"/>
              </w:rPr>
            </w:pPr>
            <w:r w:rsidRPr="00E526BD">
              <w:rPr>
                <w:sz w:val="16"/>
              </w:rPr>
              <w:t>RL</w:t>
            </w:r>
          </w:p>
        </w:tc>
        <w:tc>
          <w:tcPr>
            <w:tcW w:w="7739" w:type="dxa"/>
          </w:tcPr>
          <w:p w:rsidR="00566FE9" w:rsidRPr="00E526BD" w:rsidP="005A4A6F">
            <w:pPr>
              <w:rPr>
                <w:sz w:val="16"/>
                <w:szCs w:val="16"/>
              </w:rPr>
            </w:pPr>
            <w:r w:rsidRPr="00E526BD">
              <w:rPr>
                <w:sz w:val="16"/>
              </w:rPr>
              <w:t>Guideline [</w:t>
            </w:r>
            <w:r w:rsidRPr="00E526BD">
              <w:rPr>
                <w:i/>
                <w:sz w:val="16"/>
              </w:rPr>
              <w:t>Richtlinie</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Dir</w:t>
            </w:r>
          </w:p>
        </w:tc>
        <w:tc>
          <w:tcPr>
            <w:tcW w:w="7739" w:type="dxa"/>
          </w:tcPr>
          <w:p w:rsidR="00566FE9" w:rsidRPr="00E526BD" w:rsidP="005A4A6F">
            <w:pPr>
              <w:rPr>
                <w:sz w:val="16"/>
                <w:szCs w:val="16"/>
              </w:rPr>
            </w:pPr>
            <w:r w:rsidRPr="00E526BD">
              <w:rPr>
                <w:sz w:val="16"/>
              </w:rPr>
              <w:t xml:space="preserve">Deutsche </w:t>
            </w:r>
            <w:r w:rsidRPr="00E526BD">
              <w:rPr>
                <w:sz w:val="16"/>
              </w:rPr>
              <w:t>Bahn</w:t>
            </w:r>
            <w:r w:rsidRPr="00E526BD">
              <w:rPr>
                <w:sz w:val="16"/>
              </w:rPr>
              <w:t xml:space="preserve"> Group Guideline</w:t>
            </w:r>
          </w:p>
        </w:tc>
      </w:tr>
      <w:tr w:rsidTr="00566FE9">
        <w:tblPrEx>
          <w:tblW w:w="0" w:type="auto"/>
          <w:tblLook w:val="04A0"/>
        </w:tblPrEx>
        <w:tc>
          <w:tcPr>
            <w:tcW w:w="1526" w:type="dxa"/>
          </w:tcPr>
          <w:p w:rsidR="00566FE9" w:rsidRPr="00E526BD" w:rsidP="005A4A6F">
            <w:pPr>
              <w:rPr>
                <w:sz w:val="16"/>
                <w:szCs w:val="16"/>
              </w:rPr>
            </w:pPr>
            <w:r w:rsidRPr="00E526BD">
              <w:rPr>
                <w:sz w:val="16"/>
              </w:rPr>
              <w:t>SIRF</w:t>
            </w:r>
          </w:p>
        </w:tc>
        <w:tc>
          <w:tcPr>
            <w:tcW w:w="7739" w:type="dxa"/>
          </w:tcPr>
          <w:p w:rsidR="00566FE9" w:rsidRPr="00E526BD" w:rsidP="005A4A6F">
            <w:pPr>
              <w:rPr>
                <w:sz w:val="16"/>
                <w:szCs w:val="16"/>
              </w:rPr>
            </w:pPr>
            <w:r w:rsidRPr="00E526BD">
              <w:rPr>
                <w:sz w:val="16"/>
              </w:rPr>
              <w:t>Rolling Stock Safety Regulations [</w:t>
            </w:r>
            <w:r w:rsidRPr="00E526BD">
              <w:rPr>
                <w:i/>
                <w:sz w:val="16"/>
              </w:rPr>
              <w:t>Sicherheits-Regelwerk</w:t>
            </w:r>
            <w:r w:rsidRPr="00E526BD">
              <w:rPr>
                <w:i/>
                <w:sz w:val="16"/>
              </w:rPr>
              <w:t xml:space="preserve"> </w:t>
            </w:r>
            <w:r w:rsidRPr="00E526BD">
              <w:rPr>
                <w:i/>
                <w:sz w:val="16"/>
              </w:rPr>
              <w:t>Fahrzeuge</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STE</w:t>
            </w:r>
          </w:p>
        </w:tc>
        <w:tc>
          <w:tcPr>
            <w:tcW w:w="7739" w:type="dxa"/>
          </w:tcPr>
          <w:p w:rsidR="00566FE9" w:rsidRPr="00E526BD" w:rsidP="005A4A6F">
            <w:pPr>
              <w:rPr>
                <w:sz w:val="16"/>
                <w:szCs w:val="16"/>
              </w:rPr>
            </w:pPr>
            <w:r w:rsidRPr="00E526BD">
              <w:rPr>
                <w:sz w:val="16"/>
              </w:rPr>
              <w:t xml:space="preserve">Signalling, telecommunication and </w:t>
            </w:r>
            <w:r w:rsidRPr="00E526BD">
              <w:rPr>
                <w:sz w:val="16"/>
              </w:rPr>
              <w:t>electrical engineering [</w:t>
            </w:r>
            <w:r w:rsidRPr="00E526BD">
              <w:rPr>
                <w:i/>
                <w:sz w:val="16"/>
              </w:rPr>
              <w:t>Signaltechnik</w:t>
            </w:r>
            <w:r w:rsidRPr="00E526BD">
              <w:rPr>
                <w:i/>
                <w:sz w:val="16"/>
              </w:rPr>
              <w:t xml:space="preserve">, </w:t>
            </w:r>
            <w:r w:rsidRPr="00E526BD">
              <w:rPr>
                <w:i/>
                <w:sz w:val="16"/>
              </w:rPr>
              <w:t>Telekommunikation</w:t>
            </w:r>
            <w:r w:rsidRPr="00E526BD">
              <w:rPr>
                <w:i/>
                <w:sz w:val="16"/>
              </w:rPr>
              <w:t xml:space="preserve"> und</w:t>
            </w:r>
            <w:r w:rsidRPr="00E526BD">
              <w:rPr>
                <w:sz w:val="16"/>
                <w:szCs w:val="16"/>
              </w:rPr>
              <w:br/>
            </w:r>
            <w:r w:rsidRPr="00E526BD">
              <w:rPr>
                <w:i/>
                <w:sz w:val="16"/>
              </w:rPr>
              <w:t>Elektrotechnik</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TEIV</w:t>
            </w:r>
          </w:p>
        </w:tc>
        <w:tc>
          <w:tcPr>
            <w:tcW w:w="7739" w:type="dxa"/>
          </w:tcPr>
          <w:p w:rsidR="00566FE9" w:rsidRPr="00E526BD" w:rsidP="005A4A6F">
            <w:pPr>
              <w:rPr>
                <w:sz w:val="16"/>
                <w:szCs w:val="16"/>
              </w:rPr>
            </w:pPr>
            <w:r w:rsidRPr="00E526BD">
              <w:rPr>
                <w:sz w:val="16"/>
              </w:rPr>
              <w:t>Trans-European Railway Interoperability Regulation [</w:t>
            </w:r>
            <w:r w:rsidRPr="00E526BD">
              <w:rPr>
                <w:i/>
                <w:sz w:val="16"/>
              </w:rPr>
              <w:t>Verordnung</w:t>
            </w:r>
            <w:r w:rsidRPr="00E526BD">
              <w:rPr>
                <w:i/>
                <w:sz w:val="16"/>
              </w:rPr>
              <w:t xml:space="preserve"> </w:t>
            </w:r>
            <w:r w:rsidRPr="00E526BD">
              <w:rPr>
                <w:i/>
                <w:sz w:val="16"/>
              </w:rPr>
              <w:t>über</w:t>
            </w:r>
            <w:r w:rsidRPr="00E526BD">
              <w:rPr>
                <w:i/>
                <w:sz w:val="16"/>
              </w:rPr>
              <w:t xml:space="preserve"> die </w:t>
            </w:r>
            <w:r w:rsidRPr="00E526BD">
              <w:rPr>
                <w:i/>
                <w:sz w:val="16"/>
              </w:rPr>
              <w:t>Interoperabilität</w:t>
            </w:r>
            <w:r w:rsidRPr="00E526BD">
              <w:rPr>
                <w:i/>
                <w:sz w:val="16"/>
              </w:rPr>
              <w:t xml:space="preserve"> des</w:t>
            </w:r>
            <w:r w:rsidRPr="00E526BD">
              <w:rPr>
                <w:sz w:val="16"/>
                <w:szCs w:val="16"/>
              </w:rPr>
              <w:br/>
            </w:r>
            <w:r w:rsidRPr="00E526BD">
              <w:rPr>
                <w:i/>
                <w:sz w:val="16"/>
              </w:rPr>
              <w:t>transeuropäischen</w:t>
            </w:r>
            <w:r w:rsidRPr="00E526BD">
              <w:rPr>
                <w:i/>
                <w:sz w:val="16"/>
              </w:rPr>
              <w:t xml:space="preserve"> </w:t>
            </w:r>
            <w:r w:rsidRPr="00E526BD">
              <w:rPr>
                <w:i/>
                <w:sz w:val="16"/>
              </w:rPr>
              <w:t>Eisenbahnsystems</w:t>
            </w:r>
            <w:r w:rsidRPr="00E526BD">
              <w:rPr>
                <w:i/>
                <w:sz w:val="16"/>
              </w:rPr>
              <w:t xml:space="preserve"> (</w:t>
            </w:r>
            <w:r w:rsidRPr="00E526BD">
              <w:rPr>
                <w:i/>
                <w:sz w:val="16"/>
              </w:rPr>
              <w:t>Transeuropäische-Eisenbahn-Interoperabilitä</w:t>
            </w:r>
            <w:r w:rsidRPr="00E526BD">
              <w:rPr>
                <w:i/>
                <w:sz w:val="16"/>
              </w:rPr>
              <w:t>tsverordnung</w:t>
            </w:r>
            <w:r w:rsidRPr="00E526BD">
              <w:rPr>
                <w:i/>
                <w:sz w:val="16"/>
              </w:rPr>
              <w:t>)</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TSI</w:t>
            </w:r>
          </w:p>
        </w:tc>
        <w:tc>
          <w:tcPr>
            <w:tcW w:w="7739" w:type="dxa"/>
          </w:tcPr>
          <w:p w:rsidR="00566FE9" w:rsidRPr="00E526BD" w:rsidP="005A4A6F">
            <w:pPr>
              <w:rPr>
                <w:sz w:val="16"/>
                <w:szCs w:val="16"/>
              </w:rPr>
            </w:pPr>
            <w:r w:rsidRPr="00E526BD">
              <w:rPr>
                <w:sz w:val="16"/>
              </w:rPr>
              <w:t>Technical Specification for Interoperability</w:t>
            </w:r>
          </w:p>
        </w:tc>
      </w:tr>
      <w:tr w:rsidTr="00566FE9">
        <w:tblPrEx>
          <w:tblW w:w="0" w:type="auto"/>
          <w:tblLook w:val="04A0"/>
        </w:tblPrEx>
        <w:tc>
          <w:tcPr>
            <w:tcW w:w="1526" w:type="dxa"/>
          </w:tcPr>
          <w:p w:rsidR="00566FE9" w:rsidRPr="00E526BD" w:rsidP="005A4A6F">
            <w:pPr>
              <w:rPr>
                <w:sz w:val="16"/>
                <w:szCs w:val="16"/>
              </w:rPr>
            </w:pPr>
            <w:r w:rsidRPr="00E526BD">
              <w:rPr>
                <w:sz w:val="16"/>
              </w:rPr>
              <w:t>VDV</w:t>
            </w:r>
          </w:p>
        </w:tc>
        <w:tc>
          <w:tcPr>
            <w:tcW w:w="7739" w:type="dxa"/>
          </w:tcPr>
          <w:p w:rsidR="00566FE9" w:rsidRPr="00E526BD" w:rsidP="005A4A6F">
            <w:pPr>
              <w:rPr>
                <w:sz w:val="16"/>
                <w:szCs w:val="16"/>
              </w:rPr>
            </w:pPr>
            <w:r w:rsidRPr="00E526BD">
              <w:rPr>
                <w:sz w:val="16"/>
              </w:rPr>
              <w:t>Verband</w:t>
            </w:r>
            <w:r w:rsidRPr="00E526BD">
              <w:rPr>
                <w:sz w:val="16"/>
              </w:rPr>
              <w:t xml:space="preserve"> </w:t>
            </w:r>
            <w:r w:rsidRPr="00E526BD">
              <w:rPr>
                <w:sz w:val="16"/>
              </w:rPr>
              <w:t>Deutscher</w:t>
            </w:r>
            <w:r w:rsidRPr="00E526BD">
              <w:rPr>
                <w:sz w:val="16"/>
              </w:rPr>
              <w:t xml:space="preserve"> </w:t>
            </w:r>
            <w:r w:rsidRPr="00E526BD">
              <w:rPr>
                <w:sz w:val="16"/>
              </w:rPr>
              <w:t>Verkehrsunternehmen</w:t>
            </w:r>
            <w:r w:rsidRPr="00E526BD">
              <w:rPr>
                <w:sz w:val="16"/>
              </w:rPr>
              <w:t xml:space="preserve"> e. V. (Association of German Transport Undertakings)</w:t>
            </w:r>
          </w:p>
        </w:tc>
      </w:tr>
      <w:tr w:rsidTr="00566FE9">
        <w:tblPrEx>
          <w:tblW w:w="0" w:type="auto"/>
          <w:tblLook w:val="04A0"/>
        </w:tblPrEx>
        <w:tc>
          <w:tcPr>
            <w:tcW w:w="1526" w:type="dxa"/>
          </w:tcPr>
          <w:p w:rsidR="00566FE9" w:rsidRPr="00E526BD" w:rsidP="005A4A6F">
            <w:pPr>
              <w:rPr>
                <w:sz w:val="16"/>
                <w:szCs w:val="16"/>
              </w:rPr>
            </w:pPr>
            <w:r w:rsidRPr="00E526BD">
              <w:rPr>
                <w:sz w:val="16"/>
              </w:rPr>
              <w:t>VO</w:t>
            </w:r>
          </w:p>
        </w:tc>
        <w:tc>
          <w:tcPr>
            <w:tcW w:w="7739" w:type="dxa"/>
          </w:tcPr>
          <w:p w:rsidR="00566FE9" w:rsidRPr="00E526BD" w:rsidP="005A4A6F">
            <w:pPr>
              <w:rPr>
                <w:sz w:val="16"/>
                <w:szCs w:val="16"/>
              </w:rPr>
            </w:pPr>
            <w:r w:rsidRPr="00E526BD">
              <w:rPr>
                <w:sz w:val="16"/>
              </w:rPr>
              <w:t>Regulation [</w:t>
            </w:r>
            <w:r w:rsidRPr="00E526BD">
              <w:rPr>
                <w:i/>
                <w:sz w:val="16"/>
              </w:rPr>
              <w:t>Verordnung</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VV IBG</w:t>
            </w:r>
          </w:p>
        </w:tc>
        <w:tc>
          <w:tcPr>
            <w:tcW w:w="7739" w:type="dxa"/>
          </w:tcPr>
          <w:p w:rsidR="00566FE9" w:rsidRPr="00E526BD" w:rsidP="005A4A6F">
            <w:pPr>
              <w:rPr>
                <w:sz w:val="16"/>
                <w:szCs w:val="16"/>
              </w:rPr>
            </w:pPr>
            <w:r w:rsidRPr="00E526BD">
              <w:rPr>
                <w:sz w:val="16"/>
              </w:rPr>
              <w:t xml:space="preserve">Administrative Regulation on Authorisation for Placing </w:t>
            </w:r>
            <w:r w:rsidRPr="00E526BD">
              <w:rPr>
                <w:sz w:val="16"/>
              </w:rPr>
              <w:t>Rolling Stock in Service [</w:t>
            </w:r>
            <w:r w:rsidRPr="00E526BD">
              <w:rPr>
                <w:i/>
                <w:sz w:val="16"/>
              </w:rPr>
              <w:t>Verwaltungsvorschrift</w:t>
            </w:r>
            <w:r w:rsidRPr="00E526BD">
              <w:rPr>
                <w:i/>
                <w:sz w:val="16"/>
              </w:rPr>
              <w:t xml:space="preserve"> </w:t>
            </w:r>
            <w:r w:rsidRPr="00E526BD">
              <w:rPr>
                <w:i/>
                <w:sz w:val="16"/>
              </w:rPr>
              <w:t>über</w:t>
            </w:r>
            <w:r w:rsidRPr="00E526BD">
              <w:rPr>
                <w:i/>
                <w:sz w:val="16"/>
              </w:rPr>
              <w:t xml:space="preserve"> die </w:t>
            </w:r>
            <w:r w:rsidRPr="00E526BD">
              <w:rPr>
                <w:i/>
                <w:sz w:val="16"/>
              </w:rPr>
              <w:t>Inbetriebnahmegenehmigung</w:t>
            </w:r>
            <w:r w:rsidRPr="00E526BD">
              <w:rPr>
                <w:i/>
                <w:sz w:val="16"/>
              </w:rPr>
              <w:t xml:space="preserve"> von </w:t>
            </w:r>
            <w:r w:rsidRPr="00E526BD">
              <w:rPr>
                <w:i/>
                <w:sz w:val="16"/>
              </w:rPr>
              <w:t>Eisenbahnfahrzeugen</w:t>
            </w:r>
            <w:r w:rsidRPr="00E526BD">
              <w:rPr>
                <w:sz w:val="16"/>
              </w:rPr>
              <w:t>]</w:t>
            </w:r>
          </w:p>
        </w:tc>
      </w:tr>
      <w:tr w:rsidTr="00566FE9">
        <w:tblPrEx>
          <w:tblW w:w="0" w:type="auto"/>
          <w:tblLook w:val="04A0"/>
        </w:tblPrEx>
        <w:tc>
          <w:tcPr>
            <w:tcW w:w="1526" w:type="dxa"/>
          </w:tcPr>
          <w:p w:rsidR="00566FE9" w:rsidRPr="00E526BD" w:rsidP="005A4A6F">
            <w:pPr>
              <w:rPr>
                <w:sz w:val="16"/>
                <w:szCs w:val="16"/>
              </w:rPr>
            </w:pPr>
            <w:r w:rsidRPr="00E526BD">
              <w:rPr>
                <w:sz w:val="16"/>
              </w:rPr>
              <w:t>Zs</w:t>
            </w:r>
          </w:p>
        </w:tc>
        <w:tc>
          <w:tcPr>
            <w:tcW w:w="7739" w:type="dxa"/>
          </w:tcPr>
          <w:p w:rsidR="00566FE9" w:rsidRPr="00E526BD" w:rsidP="005A4A6F">
            <w:pPr>
              <w:rPr>
                <w:sz w:val="16"/>
                <w:szCs w:val="16"/>
              </w:rPr>
            </w:pPr>
            <w:r w:rsidRPr="00E526BD">
              <w:rPr>
                <w:sz w:val="16"/>
              </w:rPr>
              <w:t>Subsidiary signal</w:t>
            </w:r>
          </w:p>
        </w:tc>
      </w:tr>
    </w:tbl>
    <w:p w:rsidR="00E1680B" w:rsidRPr="00E526BD" w:rsidP="00566FE9">
      <w:pPr>
        <w:rPr>
          <w:sz w:val="16"/>
          <w:szCs w:val="16"/>
        </w:rPr>
      </w:pPr>
    </w:p>
    <w:sectPr w:rsidSect="00265B16">
      <w:headerReference w:type="first" r:id="rId17"/>
      <w:pgSz w:w="11906" w:h="16838"/>
      <w:pgMar w:top="2269" w:right="1417" w:bottom="1134"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PCPBA+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VG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5F11" w:rsidRPr="00E526BD" w:rsidP="00895BC6">
    <w:pPr>
      <w:pStyle w:val="Footer"/>
      <w:framePr w:wrap="around" w:vAnchor="text" w:hAnchor="margin" w:xAlign="right" w:y="1"/>
      <w:rPr>
        <w:rStyle w:val="PageNumber"/>
      </w:rPr>
    </w:pPr>
    <w:r w:rsidRPr="00E526BD">
      <w:rPr>
        <w:rStyle w:val="PageNumber"/>
      </w:rPr>
      <w:fldChar w:fldCharType="begin"/>
    </w:r>
    <w:r w:rsidRPr="00E526BD">
      <w:rPr>
        <w:rStyle w:val="PageNumber"/>
      </w:rPr>
      <w:instrText xml:space="preserve">PAGE  </w:instrText>
    </w:r>
    <w:r w:rsidRPr="00E526BD">
      <w:rPr>
        <w:rStyle w:val="PageNumber"/>
      </w:rPr>
      <w:fldChar w:fldCharType="separate"/>
    </w:r>
    <w:r w:rsidRPr="00E526BD">
      <w:rPr>
        <w:rStyle w:val="PageNumber"/>
      </w:rPr>
      <w:fldChar w:fldCharType="end"/>
    </w:r>
  </w:p>
  <w:p w:rsidR="00765F11" w:rsidRPr="00E526BD" w:rsidP="00A707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5F11" w:rsidRPr="00E526BD" w:rsidP="00895BC6">
    <w:pPr>
      <w:pStyle w:val="Footer"/>
      <w:framePr w:wrap="around" w:vAnchor="text" w:hAnchor="margin" w:xAlign="right" w:y="1"/>
      <w:rPr>
        <w:rStyle w:val="PageNumber"/>
      </w:rPr>
    </w:pPr>
    <w:r w:rsidRPr="00E526BD">
      <w:rPr>
        <w:rStyle w:val="PageNumber"/>
      </w:rPr>
      <w:fldChar w:fldCharType="begin"/>
    </w:r>
    <w:r w:rsidRPr="00E526BD">
      <w:rPr>
        <w:rStyle w:val="PageNumber"/>
      </w:rPr>
      <w:instrText xml:space="preserve">PAGE  </w:instrText>
    </w:r>
    <w:r w:rsidRPr="00E526BD">
      <w:rPr>
        <w:rStyle w:val="PageNumber"/>
      </w:rPr>
      <w:fldChar w:fldCharType="separate"/>
    </w:r>
    <w:r>
      <w:rPr>
        <w:rStyle w:val="PageNumber"/>
        <w:noProof/>
      </w:rPr>
      <w:t>7</w:t>
    </w:r>
    <w:r w:rsidRPr="00E526BD">
      <w:rPr>
        <w:rStyle w:val="PageNumber"/>
      </w:rPr>
      <w:fldChar w:fldCharType="end"/>
    </w:r>
  </w:p>
  <w:p w:rsidR="00765F11" w:rsidRPr="00E526BD" w:rsidP="00A707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A12F4" w:rsidRPr="00E526BD">
      <w:r w:rsidRPr="00E526BD">
        <w:separator/>
      </w:r>
    </w:p>
  </w:footnote>
  <w:footnote w:type="continuationSeparator" w:id="1">
    <w:p w:rsidR="00CA12F4" w:rsidRPr="00E526BD">
      <w:r w:rsidRPr="00E526BD">
        <w:continuationSeparator/>
      </w:r>
    </w:p>
  </w:footnote>
  <w:footnote w:id="2">
    <w:p w:rsidR="00765F11" w:rsidRPr="00E526BD" w:rsidP="00E526BD">
      <w:pPr>
        <w:pStyle w:val="FootnoteText"/>
        <w:ind w:left="142" w:hanging="142"/>
        <w:jc w:val="both"/>
        <w:rPr>
          <w:lang w:val="de-DE"/>
        </w:rPr>
      </w:pPr>
      <w:r w:rsidRPr="00E526BD">
        <w:rPr>
          <w:rStyle w:val="FootnoteReference"/>
        </w:rPr>
        <w:footnoteRef/>
      </w:r>
      <w:r w:rsidRPr="00E526BD">
        <w:t xml:space="preserve"> Under Directive 2004/49/EC, ‘significant accidents’ involve at least one rail vehicle in motion, resulting in at </w:t>
      </w:r>
      <w:r w:rsidRPr="00E526BD">
        <w:t>least one killed or seriously injured person, or in significant damage (at least EUR 150 000) to stock, track, other installations or environment, or extensive disruptions to traffic (suspension of train services on a main railway line for six hours or mor</w:t>
      </w:r>
      <w:r w:rsidRPr="00E526BD">
        <w: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5F11" w:rsidRPr="00E526BD">
    <w:pPr>
      <w:pStyle w:val="Header"/>
    </w:pPr>
    <w:r w:rsidRPr="00E526BD">
      <w:rPr>
        <w:noProof/>
        <w:lang w:val="en-US" w:eastAsia="en-US" w:bidi="ar-SA"/>
      </w:rPr>
      <w:drawing>
        <wp:inline distT="0" distB="0" distL="0" distR="0">
          <wp:extent cx="2165350" cy="892175"/>
          <wp:effectExtent l="0" t="0" r="6350" b="3175"/>
          <wp:docPr id="11" name="Bild 11" descr="Logo 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02503" name="Picture 11" descr="Logo EB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17349"/>
                  <a:stretch>
                    <a:fillRect/>
                  </a:stretch>
                </pic:blipFill>
                <pic:spPr bwMode="auto">
                  <a:xfrm>
                    <a:off x="0" y="0"/>
                    <a:ext cx="2165350" cy="892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5F11" w:rsidRPr="00E526BD">
    <w:pPr>
      <w:pStyle w:val="Header"/>
    </w:pPr>
    <w:r w:rsidRPr="00E526BD">
      <w:rPr>
        <w:noProof/>
        <w:lang w:val="en-US" w:eastAsia="en-US" w:bidi="ar-SA"/>
      </w:rPr>
      <w:drawing>
        <wp:anchor distT="0" distB="0" distL="114300" distR="114300" simplePos="0" relativeHeight="251658240" behindDoc="1" locked="0" layoutInCell="1" allowOverlap="0">
          <wp:simplePos x="0" y="0"/>
          <wp:positionH relativeFrom="column">
            <wp:align>left</wp:align>
          </wp:positionH>
          <wp:positionV relativeFrom="paragraph">
            <wp:posOffset>-2540</wp:posOffset>
          </wp:positionV>
          <wp:extent cx="2159635" cy="882650"/>
          <wp:effectExtent l="0" t="0" r="0" b="0"/>
          <wp:wrapTight wrapText="bothSides">
            <wp:wrapPolygon>
              <wp:start x="0" y="0"/>
              <wp:lineTo x="0" y="20978"/>
              <wp:lineTo x="21340" y="20978"/>
              <wp:lineTo x="21340" y="0"/>
              <wp:lineTo x="0" y="0"/>
            </wp:wrapPolygon>
          </wp:wrapTight>
          <wp:docPr id="2" name="Bild 2" descr="Logo 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64381" name="Picture 2" descr="Logo EB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17349"/>
                  <a:stretch>
                    <a:fillRect/>
                  </a:stretch>
                </pic:blipFill>
                <pic:spPr bwMode="auto">
                  <a:xfrm>
                    <a:off x="0" y="0"/>
                    <a:ext cx="2159635" cy="882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5F11" w:rsidRPr="00E526BD" w:rsidP="006303B7">
    <w:pPr>
      <w:pStyle w:val="Header"/>
    </w:pPr>
    <w:r w:rsidRPr="00E526BD">
      <w:rPr>
        <w:noProof/>
        <w:lang w:val="en-US" w:eastAsia="en-US" w:bidi="ar-SA"/>
      </w:rPr>
      <w:drawing>
        <wp:inline distT="0" distB="0" distL="0" distR="0">
          <wp:extent cx="2165350" cy="892175"/>
          <wp:effectExtent l="0" t="0" r="6350" b="3175"/>
          <wp:docPr id="3" name="Bild 12" descr="Logo 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18521" name="Picture 12" descr="Logo EB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17349"/>
                  <a:stretch>
                    <a:fillRect/>
                  </a:stretch>
                </pic:blipFill>
                <pic:spPr bwMode="auto">
                  <a:xfrm>
                    <a:off x="0" y="0"/>
                    <a:ext cx="2165350" cy="892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F53BB"/>
    <w:multiLevelType w:val="hybridMultilevel"/>
    <w:tmpl w:val="207EC9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82B08B1"/>
    <w:multiLevelType w:val="hybridMultilevel"/>
    <w:tmpl w:val="4A24B7D8"/>
    <w:lvl w:ilvl="0">
      <w:start w:val="0"/>
      <w:numFmt w:val="bullet"/>
      <w:lvlText w:val="-"/>
      <w:lvlJc w:val="left"/>
      <w:pPr>
        <w:tabs>
          <w:tab w:val="num" w:pos="2518"/>
        </w:tabs>
        <w:ind w:left="2518" w:hanging="360"/>
      </w:pPr>
      <w:rPr>
        <w:rFonts w:ascii="Helvetica" w:eastAsia="Times New Roman" w:hAnsi="Helvetica" w:cs="Helvetica" w:hint="default"/>
      </w:rPr>
    </w:lvl>
    <w:lvl w:ilvl="1" w:tentative="1">
      <w:start w:val="1"/>
      <w:numFmt w:val="bullet"/>
      <w:lvlText w:val="o"/>
      <w:lvlJc w:val="left"/>
      <w:pPr>
        <w:ind w:left="1474" w:hanging="360"/>
      </w:pPr>
      <w:rPr>
        <w:rFonts w:ascii="Courier New" w:hAnsi="Courier New" w:cs="Courier New" w:hint="default"/>
      </w:rPr>
    </w:lvl>
    <w:lvl w:ilvl="2" w:tentative="1">
      <w:start w:val="1"/>
      <w:numFmt w:val="bullet"/>
      <w:lvlText w:val=""/>
      <w:lvlJc w:val="left"/>
      <w:pPr>
        <w:ind w:left="2194" w:hanging="360"/>
      </w:pPr>
      <w:rPr>
        <w:rFonts w:ascii="Wingdings" w:hAnsi="Wingdings" w:hint="default"/>
      </w:rPr>
    </w:lvl>
    <w:lvl w:ilvl="3" w:tentative="1">
      <w:start w:val="1"/>
      <w:numFmt w:val="bullet"/>
      <w:lvlText w:val=""/>
      <w:lvlJc w:val="left"/>
      <w:pPr>
        <w:ind w:left="2914" w:hanging="360"/>
      </w:pPr>
      <w:rPr>
        <w:rFonts w:ascii="Symbol" w:hAnsi="Symbol" w:hint="default"/>
      </w:rPr>
    </w:lvl>
    <w:lvl w:ilvl="4" w:tentative="1">
      <w:start w:val="1"/>
      <w:numFmt w:val="bullet"/>
      <w:lvlText w:val="o"/>
      <w:lvlJc w:val="left"/>
      <w:pPr>
        <w:ind w:left="3634" w:hanging="360"/>
      </w:pPr>
      <w:rPr>
        <w:rFonts w:ascii="Courier New" w:hAnsi="Courier New" w:cs="Courier New" w:hint="default"/>
      </w:rPr>
    </w:lvl>
    <w:lvl w:ilvl="5" w:tentative="1">
      <w:start w:val="1"/>
      <w:numFmt w:val="bullet"/>
      <w:lvlText w:val=""/>
      <w:lvlJc w:val="left"/>
      <w:pPr>
        <w:ind w:left="4354" w:hanging="360"/>
      </w:pPr>
      <w:rPr>
        <w:rFonts w:ascii="Wingdings" w:hAnsi="Wingdings" w:hint="default"/>
      </w:rPr>
    </w:lvl>
    <w:lvl w:ilvl="6" w:tentative="1">
      <w:start w:val="1"/>
      <w:numFmt w:val="bullet"/>
      <w:lvlText w:val=""/>
      <w:lvlJc w:val="left"/>
      <w:pPr>
        <w:ind w:left="5074" w:hanging="360"/>
      </w:pPr>
      <w:rPr>
        <w:rFonts w:ascii="Symbol" w:hAnsi="Symbol" w:hint="default"/>
      </w:rPr>
    </w:lvl>
    <w:lvl w:ilvl="7" w:tentative="1">
      <w:start w:val="1"/>
      <w:numFmt w:val="bullet"/>
      <w:lvlText w:val="o"/>
      <w:lvlJc w:val="left"/>
      <w:pPr>
        <w:ind w:left="5794" w:hanging="360"/>
      </w:pPr>
      <w:rPr>
        <w:rFonts w:ascii="Courier New" w:hAnsi="Courier New" w:cs="Courier New" w:hint="default"/>
      </w:rPr>
    </w:lvl>
    <w:lvl w:ilvl="8" w:tentative="1">
      <w:start w:val="1"/>
      <w:numFmt w:val="bullet"/>
      <w:lvlText w:val=""/>
      <w:lvlJc w:val="left"/>
      <w:pPr>
        <w:ind w:left="6514" w:hanging="360"/>
      </w:pPr>
      <w:rPr>
        <w:rFonts w:ascii="Wingdings" w:hAnsi="Wingdings" w:hint="default"/>
      </w:rPr>
    </w:lvl>
  </w:abstractNum>
  <w:abstractNum w:abstractNumId="2">
    <w:nsid w:val="095A00A2"/>
    <w:multiLevelType w:val="hybridMultilevel"/>
    <w:tmpl w:val="7DD6EC0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7E54B2"/>
    <w:multiLevelType w:val="multilevel"/>
    <w:tmpl w:val="F952836C"/>
    <w:lvl w:ilvl="0">
      <w:start w:val="1"/>
      <w:numFmt w:val="decimal"/>
      <w:lvlText w:val="%1."/>
      <w:lvlJc w:val="left"/>
      <w:pPr>
        <w:ind w:left="286" w:hanging="177"/>
      </w:pPr>
      <w:rPr>
        <w:rFonts w:ascii="Arial" w:eastAsia="Arial" w:hAnsi="Arial" w:cs="Arial" w:hint="default"/>
        <w:b/>
        <w:bCs/>
        <w:w w:val="103"/>
        <w:sz w:val="16"/>
        <w:szCs w:val="16"/>
        <w:lang w:val="en-US" w:eastAsia="en-US" w:bidi="en-US"/>
      </w:rPr>
    </w:lvl>
    <w:lvl w:ilvl="1">
      <w:start w:val="1"/>
      <w:numFmt w:val="decimal"/>
      <w:lvlText w:val="%1.%2."/>
      <w:lvlJc w:val="left"/>
      <w:pPr>
        <w:ind w:left="358" w:hanging="271"/>
      </w:pPr>
      <w:rPr>
        <w:rFonts w:ascii="Arial" w:eastAsia="Arial" w:hAnsi="Arial" w:cs="Arial" w:hint="default"/>
        <w:b/>
        <w:bCs/>
        <w:spacing w:val="-3"/>
        <w:w w:val="103"/>
        <w:sz w:val="13"/>
        <w:szCs w:val="13"/>
        <w:lang w:val="en-US" w:eastAsia="en-US" w:bidi="en-US"/>
      </w:rPr>
    </w:lvl>
    <w:lvl w:ilvl="2">
      <w:start w:val="1"/>
      <w:numFmt w:val="decimal"/>
      <w:lvlText w:val="%1.%2.%3."/>
      <w:lvlJc w:val="left"/>
      <w:pPr>
        <w:ind w:left="743" w:hanging="385"/>
      </w:pPr>
      <w:rPr>
        <w:rFonts w:ascii="Arial" w:eastAsia="Arial" w:hAnsi="Arial" w:cs="Arial" w:hint="default"/>
        <w:spacing w:val="-3"/>
        <w:w w:val="103"/>
        <w:sz w:val="13"/>
        <w:szCs w:val="13"/>
        <w:lang w:val="en-US" w:eastAsia="en-US" w:bidi="en-US"/>
      </w:rPr>
    </w:lvl>
    <w:lvl w:ilvl="3">
      <w:start w:val="0"/>
      <w:numFmt w:val="bullet"/>
      <w:lvlText w:val="•"/>
      <w:lvlJc w:val="left"/>
      <w:pPr>
        <w:ind w:left="1800" w:hanging="385"/>
      </w:pPr>
      <w:rPr>
        <w:rFonts w:hint="default"/>
        <w:lang w:val="en-US" w:eastAsia="en-US" w:bidi="en-US"/>
      </w:rPr>
    </w:lvl>
    <w:lvl w:ilvl="4">
      <w:start w:val="0"/>
      <w:numFmt w:val="bullet"/>
      <w:lvlText w:val="•"/>
      <w:lvlJc w:val="left"/>
      <w:pPr>
        <w:ind w:left="2861" w:hanging="385"/>
      </w:pPr>
      <w:rPr>
        <w:rFonts w:hint="default"/>
        <w:lang w:val="en-US" w:eastAsia="en-US" w:bidi="en-US"/>
      </w:rPr>
    </w:lvl>
    <w:lvl w:ilvl="5">
      <w:start w:val="0"/>
      <w:numFmt w:val="bullet"/>
      <w:lvlText w:val="•"/>
      <w:lvlJc w:val="left"/>
      <w:pPr>
        <w:ind w:left="3922" w:hanging="385"/>
      </w:pPr>
      <w:rPr>
        <w:rFonts w:hint="default"/>
        <w:lang w:val="en-US" w:eastAsia="en-US" w:bidi="en-US"/>
      </w:rPr>
    </w:lvl>
    <w:lvl w:ilvl="6">
      <w:start w:val="0"/>
      <w:numFmt w:val="bullet"/>
      <w:lvlText w:val="•"/>
      <w:lvlJc w:val="left"/>
      <w:pPr>
        <w:ind w:left="4983" w:hanging="385"/>
      </w:pPr>
      <w:rPr>
        <w:rFonts w:hint="default"/>
        <w:lang w:val="en-US" w:eastAsia="en-US" w:bidi="en-US"/>
      </w:rPr>
    </w:lvl>
    <w:lvl w:ilvl="7">
      <w:start w:val="0"/>
      <w:numFmt w:val="bullet"/>
      <w:lvlText w:val="•"/>
      <w:lvlJc w:val="left"/>
      <w:pPr>
        <w:ind w:left="6044" w:hanging="385"/>
      </w:pPr>
      <w:rPr>
        <w:rFonts w:hint="default"/>
        <w:lang w:val="en-US" w:eastAsia="en-US" w:bidi="en-US"/>
      </w:rPr>
    </w:lvl>
    <w:lvl w:ilvl="8">
      <w:start w:val="0"/>
      <w:numFmt w:val="bullet"/>
      <w:lvlText w:val="•"/>
      <w:lvlJc w:val="left"/>
      <w:pPr>
        <w:ind w:left="7104" w:hanging="385"/>
      </w:pPr>
      <w:rPr>
        <w:rFonts w:hint="default"/>
        <w:lang w:val="en-US" w:eastAsia="en-US" w:bidi="en-US"/>
      </w:rPr>
    </w:lvl>
  </w:abstractNum>
  <w:abstractNum w:abstractNumId="4">
    <w:nsid w:val="11103D87"/>
    <w:multiLevelType w:val="hybridMultilevel"/>
    <w:tmpl w:val="58F051C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A06577"/>
    <w:multiLevelType w:val="hybridMultilevel"/>
    <w:tmpl w:val="83C0D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EC627D"/>
    <w:multiLevelType w:val="hybridMultilevel"/>
    <w:tmpl w:val="28A0E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41796C"/>
    <w:multiLevelType w:val="multilevel"/>
    <w:tmpl w:val="A6E8B1D0"/>
    <w:lvl w:ilvl="0">
      <w:start w:val="1"/>
      <w:numFmt w:val="decimal"/>
      <w:pStyle w:val="Ueber1"/>
      <w:lvlText w:val="%1"/>
      <w:lvlJc w:val="left"/>
      <w:pPr>
        <w:tabs>
          <w:tab w:val="num" w:pos="567"/>
        </w:tabs>
        <w:ind w:left="567" w:hanging="567"/>
      </w:pPr>
      <w:rPr>
        <w:rFonts w:ascii="Arial" w:hAnsi="Arial" w:hint="default"/>
        <w:b/>
        <w:i w:val="0"/>
        <w:sz w:val="28"/>
        <w:szCs w:val="28"/>
      </w:rPr>
    </w:lvl>
    <w:lvl w:ilvl="1">
      <w:start w:val="1"/>
      <w:numFmt w:val="decimal"/>
      <w:pStyle w:val="Ueber2"/>
      <w:lvlText w:val="%1.%2"/>
      <w:lvlJc w:val="left"/>
      <w:pPr>
        <w:tabs>
          <w:tab w:val="num" w:pos="907"/>
        </w:tabs>
        <w:ind w:left="907" w:hanging="567"/>
      </w:pPr>
      <w:rPr>
        <w:rFonts w:ascii="Arial" w:hAnsi="Arial" w:hint="default"/>
        <w:b/>
        <w:i/>
        <w:sz w:val="28"/>
        <w:szCs w:val="28"/>
      </w:rPr>
    </w:lvl>
    <w:lvl w:ilvl="2">
      <w:start w:val="1"/>
      <w:numFmt w:val="decimal"/>
      <w:pStyle w:val="Ueber3"/>
      <w:lvlText w:val="%1.%2.%3"/>
      <w:lvlJc w:val="left"/>
      <w:pPr>
        <w:tabs>
          <w:tab w:val="num" w:pos="1418"/>
        </w:tabs>
        <w:ind w:left="1418" w:hanging="738"/>
      </w:pPr>
      <w:rPr>
        <w:rFonts w:ascii="Arial" w:hAnsi="Arial" w:hint="default"/>
        <w:b/>
        <w:i w:val="0"/>
        <w:sz w:val="24"/>
        <w:szCs w:val="24"/>
      </w:rPr>
    </w:lvl>
    <w:lvl w:ilvl="3">
      <w:start w:val="1"/>
      <w:numFmt w:val="decimal"/>
      <w:lvlText w:val="%1.%2.%3.%4."/>
      <w:lvlJc w:val="left"/>
      <w:pPr>
        <w:tabs>
          <w:tab w:val="num" w:pos="3220"/>
        </w:tabs>
        <w:ind w:left="2068" w:hanging="648"/>
      </w:pPr>
      <w:rPr>
        <w:rFonts w:hint="default"/>
      </w:rPr>
    </w:lvl>
    <w:lvl w:ilvl="4">
      <w:start w:val="1"/>
      <w:numFmt w:val="decimal"/>
      <w:lvlText w:val="%1.%2.%3.%4.%5."/>
      <w:lvlJc w:val="left"/>
      <w:pPr>
        <w:tabs>
          <w:tab w:val="num" w:pos="3940"/>
        </w:tabs>
        <w:ind w:left="2572" w:hanging="792"/>
      </w:pPr>
      <w:rPr>
        <w:rFonts w:hint="default"/>
      </w:rPr>
    </w:lvl>
    <w:lvl w:ilvl="5">
      <w:start w:val="1"/>
      <w:numFmt w:val="decimal"/>
      <w:lvlText w:val="%1.%2.%3.%4.%5.%6."/>
      <w:lvlJc w:val="left"/>
      <w:pPr>
        <w:tabs>
          <w:tab w:val="num" w:pos="5020"/>
        </w:tabs>
        <w:ind w:left="3076" w:hanging="936"/>
      </w:pPr>
      <w:rPr>
        <w:rFonts w:hint="default"/>
      </w:rPr>
    </w:lvl>
    <w:lvl w:ilvl="6">
      <w:start w:val="1"/>
      <w:numFmt w:val="decimal"/>
      <w:lvlText w:val="%1.%2.%3.%4.%5.%6.%7."/>
      <w:lvlJc w:val="left"/>
      <w:pPr>
        <w:tabs>
          <w:tab w:val="num" w:pos="5740"/>
        </w:tabs>
        <w:ind w:left="3580" w:hanging="1080"/>
      </w:pPr>
      <w:rPr>
        <w:rFonts w:hint="default"/>
      </w:rPr>
    </w:lvl>
    <w:lvl w:ilvl="7">
      <w:start w:val="1"/>
      <w:numFmt w:val="decimal"/>
      <w:lvlText w:val="%1.%2.%3.%4.%5.%6.%7.%8."/>
      <w:lvlJc w:val="left"/>
      <w:pPr>
        <w:tabs>
          <w:tab w:val="num" w:pos="6460"/>
        </w:tabs>
        <w:ind w:left="4084" w:hanging="1224"/>
      </w:pPr>
      <w:rPr>
        <w:rFonts w:hint="default"/>
      </w:rPr>
    </w:lvl>
    <w:lvl w:ilvl="8">
      <w:start w:val="1"/>
      <w:numFmt w:val="decimal"/>
      <w:lvlText w:val="%1.%2.%3.%4.%5.%6.%7.%8.%9."/>
      <w:lvlJc w:val="left"/>
      <w:pPr>
        <w:tabs>
          <w:tab w:val="num" w:pos="7180"/>
        </w:tabs>
        <w:ind w:left="4660" w:hanging="1440"/>
      </w:pPr>
      <w:rPr>
        <w:rFonts w:hint="default"/>
      </w:rPr>
    </w:lvl>
  </w:abstractNum>
  <w:abstractNum w:abstractNumId="8">
    <w:nsid w:val="194935D8"/>
    <w:multiLevelType w:val="hybridMultilevel"/>
    <w:tmpl w:val="32A65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5E2B5F"/>
    <w:multiLevelType w:val="hybridMultilevel"/>
    <w:tmpl w:val="4BD0E99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C51E2D"/>
    <w:multiLevelType w:val="hybridMultilevel"/>
    <w:tmpl w:val="95348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E7344E"/>
    <w:multiLevelType w:val="hybridMultilevel"/>
    <w:tmpl w:val="C6AAE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6D38CE"/>
    <w:multiLevelType w:val="hybridMultilevel"/>
    <w:tmpl w:val="8B8C00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6890D10"/>
    <w:multiLevelType w:val="hybridMultilevel"/>
    <w:tmpl w:val="BD5CEC6E"/>
    <w:lvl w:ilvl="0">
      <w:start w:val="0"/>
      <w:numFmt w:val="bullet"/>
      <w:lvlText w:val="-"/>
      <w:lvlJc w:val="left"/>
      <w:pPr>
        <w:tabs>
          <w:tab w:val="num" w:pos="2484"/>
        </w:tabs>
        <w:ind w:left="2484" w:hanging="360"/>
      </w:pPr>
      <w:rPr>
        <w:rFonts w:ascii="Helvetica" w:eastAsia="Times New Roman" w:hAnsi="Helvetica" w:cs="Helvetica"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69A1137"/>
    <w:multiLevelType w:val="hybridMultilevel"/>
    <w:tmpl w:val="47CCD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1261DE"/>
    <w:multiLevelType w:val="hybridMultilevel"/>
    <w:tmpl w:val="B4B865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3B4DA7"/>
    <w:multiLevelType w:val="hybridMultilevel"/>
    <w:tmpl w:val="A3CC4F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AE0B77"/>
    <w:multiLevelType w:val="hybridMultilevel"/>
    <w:tmpl w:val="2B2ED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E1925AE"/>
    <w:multiLevelType w:val="hybridMultilevel"/>
    <w:tmpl w:val="ADA88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E2A4B87"/>
    <w:multiLevelType w:val="multilevel"/>
    <w:tmpl w:val="089CC472"/>
    <w:lvl w:ilvl="0">
      <w:start w:val="6"/>
      <w:numFmt w:val="decimal"/>
      <w:pStyle w:val="Style2"/>
      <w:lvlText w:val="%1."/>
      <w:lvlJc w:val="left"/>
      <w:pPr>
        <w:ind w:left="286" w:hanging="177"/>
      </w:pPr>
      <w:rPr>
        <w:rFonts w:ascii="Arial" w:eastAsia="Arial" w:hAnsi="Arial" w:cs="Arial" w:hint="default"/>
        <w:b/>
        <w:bCs/>
        <w:spacing w:val="0"/>
        <w:w w:val="103"/>
        <w:sz w:val="16"/>
        <w:szCs w:val="16"/>
        <w:lang w:val="en-US" w:eastAsia="en-US" w:bidi="en-US"/>
      </w:rPr>
    </w:lvl>
    <w:lvl w:ilvl="1">
      <w:start w:val="1"/>
      <w:numFmt w:val="decimal"/>
      <w:lvlText w:val="%1.%2"/>
      <w:lvlJc w:val="left"/>
      <w:pPr>
        <w:ind w:left="358" w:hanging="229"/>
      </w:pPr>
      <w:rPr>
        <w:rFonts w:ascii="Arial" w:eastAsia="Arial" w:hAnsi="Arial" w:cs="Arial" w:hint="default"/>
        <w:b/>
        <w:bCs/>
        <w:spacing w:val="-3"/>
        <w:w w:val="103"/>
        <w:sz w:val="13"/>
        <w:szCs w:val="13"/>
        <w:lang w:val="en-US" w:eastAsia="en-US" w:bidi="en-US"/>
      </w:rPr>
    </w:lvl>
    <w:lvl w:ilvl="2">
      <w:start w:val="0"/>
      <w:numFmt w:val="bullet"/>
      <w:lvlText w:val="•"/>
      <w:lvlJc w:val="left"/>
      <w:pPr>
        <w:ind w:left="1327" w:hanging="229"/>
      </w:pPr>
      <w:rPr>
        <w:rFonts w:hint="default"/>
        <w:lang w:val="en-US" w:eastAsia="en-US" w:bidi="en-US"/>
      </w:rPr>
    </w:lvl>
    <w:lvl w:ilvl="3">
      <w:start w:val="0"/>
      <w:numFmt w:val="bullet"/>
      <w:lvlText w:val="•"/>
      <w:lvlJc w:val="left"/>
      <w:pPr>
        <w:ind w:left="2294" w:hanging="229"/>
      </w:pPr>
      <w:rPr>
        <w:rFonts w:hint="default"/>
        <w:lang w:val="en-US" w:eastAsia="en-US" w:bidi="en-US"/>
      </w:rPr>
    </w:lvl>
    <w:lvl w:ilvl="4">
      <w:start w:val="0"/>
      <w:numFmt w:val="bullet"/>
      <w:lvlText w:val="•"/>
      <w:lvlJc w:val="left"/>
      <w:pPr>
        <w:ind w:left="3262" w:hanging="229"/>
      </w:pPr>
      <w:rPr>
        <w:rFonts w:hint="default"/>
        <w:lang w:val="en-US" w:eastAsia="en-US" w:bidi="en-US"/>
      </w:rPr>
    </w:lvl>
    <w:lvl w:ilvl="5">
      <w:start w:val="0"/>
      <w:numFmt w:val="bullet"/>
      <w:lvlText w:val="•"/>
      <w:lvlJc w:val="left"/>
      <w:pPr>
        <w:ind w:left="4229" w:hanging="229"/>
      </w:pPr>
      <w:rPr>
        <w:rFonts w:hint="default"/>
        <w:lang w:val="en-US" w:eastAsia="en-US" w:bidi="en-US"/>
      </w:rPr>
    </w:lvl>
    <w:lvl w:ilvl="6">
      <w:start w:val="0"/>
      <w:numFmt w:val="bullet"/>
      <w:lvlText w:val="•"/>
      <w:lvlJc w:val="left"/>
      <w:pPr>
        <w:ind w:left="5196" w:hanging="229"/>
      </w:pPr>
      <w:rPr>
        <w:rFonts w:hint="default"/>
        <w:lang w:val="en-US" w:eastAsia="en-US" w:bidi="en-US"/>
      </w:rPr>
    </w:lvl>
    <w:lvl w:ilvl="7">
      <w:start w:val="0"/>
      <w:numFmt w:val="bullet"/>
      <w:lvlText w:val="•"/>
      <w:lvlJc w:val="left"/>
      <w:pPr>
        <w:ind w:left="6164" w:hanging="229"/>
      </w:pPr>
      <w:rPr>
        <w:rFonts w:hint="default"/>
        <w:lang w:val="en-US" w:eastAsia="en-US" w:bidi="en-US"/>
      </w:rPr>
    </w:lvl>
    <w:lvl w:ilvl="8">
      <w:start w:val="0"/>
      <w:numFmt w:val="bullet"/>
      <w:lvlText w:val="•"/>
      <w:lvlJc w:val="left"/>
      <w:pPr>
        <w:ind w:left="7131" w:hanging="229"/>
      </w:pPr>
      <w:rPr>
        <w:rFonts w:hint="default"/>
        <w:lang w:val="en-US" w:eastAsia="en-US" w:bidi="en-US"/>
      </w:rPr>
    </w:lvl>
  </w:abstractNum>
  <w:abstractNum w:abstractNumId="20">
    <w:nsid w:val="2E505E9B"/>
    <w:multiLevelType w:val="hybridMultilevel"/>
    <w:tmpl w:val="662AE2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3EE7EDB"/>
    <w:multiLevelType w:val="hybridMultilevel"/>
    <w:tmpl w:val="E3E67B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C03732D"/>
    <w:multiLevelType w:val="hybridMultilevel"/>
    <w:tmpl w:val="D02CE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303AA3"/>
    <w:multiLevelType w:val="hybridMultilevel"/>
    <w:tmpl w:val="A27024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ECF3E50"/>
    <w:multiLevelType w:val="hybridMultilevel"/>
    <w:tmpl w:val="805E01D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1DE125E"/>
    <w:multiLevelType w:val="hybridMultilevel"/>
    <w:tmpl w:val="B4687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2A92282"/>
    <w:multiLevelType w:val="multilevel"/>
    <w:tmpl w:val="74520FC0"/>
    <w:lvl w:ilvl="0">
      <w:start w:val="1"/>
      <w:numFmt w:val="decimal"/>
      <w:pStyle w:val="Style1"/>
      <w:lvlText w:val="%1."/>
      <w:lvlJc w:val="left"/>
      <w:pPr>
        <w:ind w:left="286" w:hanging="177"/>
      </w:pPr>
      <w:rPr>
        <w:rFonts w:ascii="Arial" w:eastAsia="Arial" w:hAnsi="Arial" w:cs="Arial" w:hint="default"/>
        <w:b/>
        <w:bCs/>
        <w:w w:val="103"/>
        <w:sz w:val="16"/>
        <w:szCs w:val="16"/>
        <w:lang w:val="en-US" w:eastAsia="en-US" w:bidi="en-US"/>
      </w:rPr>
    </w:lvl>
    <w:lvl w:ilvl="1">
      <w:start w:val="1"/>
      <w:numFmt w:val="decimal"/>
      <w:lvlText w:val="%1.%2."/>
      <w:lvlJc w:val="left"/>
      <w:pPr>
        <w:ind w:left="358" w:hanging="271"/>
      </w:pPr>
      <w:rPr>
        <w:rFonts w:ascii="Arial" w:eastAsia="Arial" w:hAnsi="Arial" w:cs="Arial" w:hint="default"/>
        <w:b/>
        <w:bCs/>
        <w:spacing w:val="-3"/>
        <w:w w:val="103"/>
        <w:sz w:val="13"/>
        <w:szCs w:val="13"/>
        <w:lang w:val="en-US" w:eastAsia="en-US" w:bidi="en-US"/>
      </w:rPr>
    </w:lvl>
    <w:lvl w:ilvl="2">
      <w:start w:val="1"/>
      <w:numFmt w:val="decimal"/>
      <w:lvlText w:val="%1.%2.%3."/>
      <w:lvlJc w:val="left"/>
      <w:pPr>
        <w:ind w:left="743" w:hanging="385"/>
      </w:pPr>
      <w:rPr>
        <w:rFonts w:ascii="Arial" w:eastAsia="Arial" w:hAnsi="Arial" w:cs="Arial" w:hint="default"/>
        <w:spacing w:val="-3"/>
        <w:w w:val="103"/>
        <w:sz w:val="13"/>
        <w:szCs w:val="13"/>
        <w:lang w:val="en-US" w:eastAsia="en-US" w:bidi="en-US"/>
      </w:rPr>
    </w:lvl>
    <w:lvl w:ilvl="3">
      <w:start w:val="0"/>
      <w:numFmt w:val="bullet"/>
      <w:lvlText w:val="•"/>
      <w:lvlJc w:val="left"/>
      <w:pPr>
        <w:ind w:left="1800" w:hanging="385"/>
      </w:pPr>
      <w:rPr>
        <w:rFonts w:hint="default"/>
        <w:lang w:val="en-US" w:eastAsia="en-US" w:bidi="en-US"/>
      </w:rPr>
    </w:lvl>
    <w:lvl w:ilvl="4">
      <w:start w:val="0"/>
      <w:numFmt w:val="bullet"/>
      <w:lvlText w:val="•"/>
      <w:lvlJc w:val="left"/>
      <w:pPr>
        <w:ind w:left="2861" w:hanging="385"/>
      </w:pPr>
      <w:rPr>
        <w:rFonts w:hint="default"/>
        <w:lang w:val="en-US" w:eastAsia="en-US" w:bidi="en-US"/>
      </w:rPr>
    </w:lvl>
    <w:lvl w:ilvl="5">
      <w:start w:val="0"/>
      <w:numFmt w:val="bullet"/>
      <w:lvlText w:val="•"/>
      <w:lvlJc w:val="left"/>
      <w:pPr>
        <w:ind w:left="3922" w:hanging="385"/>
      </w:pPr>
      <w:rPr>
        <w:rFonts w:hint="default"/>
        <w:lang w:val="en-US" w:eastAsia="en-US" w:bidi="en-US"/>
      </w:rPr>
    </w:lvl>
    <w:lvl w:ilvl="6">
      <w:start w:val="0"/>
      <w:numFmt w:val="bullet"/>
      <w:lvlText w:val="•"/>
      <w:lvlJc w:val="left"/>
      <w:pPr>
        <w:ind w:left="4983" w:hanging="385"/>
      </w:pPr>
      <w:rPr>
        <w:rFonts w:hint="default"/>
        <w:lang w:val="en-US" w:eastAsia="en-US" w:bidi="en-US"/>
      </w:rPr>
    </w:lvl>
    <w:lvl w:ilvl="7">
      <w:start w:val="0"/>
      <w:numFmt w:val="bullet"/>
      <w:lvlText w:val="•"/>
      <w:lvlJc w:val="left"/>
      <w:pPr>
        <w:ind w:left="6044" w:hanging="385"/>
      </w:pPr>
      <w:rPr>
        <w:rFonts w:hint="default"/>
        <w:lang w:val="en-US" w:eastAsia="en-US" w:bidi="en-US"/>
      </w:rPr>
    </w:lvl>
    <w:lvl w:ilvl="8">
      <w:start w:val="0"/>
      <w:numFmt w:val="bullet"/>
      <w:lvlText w:val="•"/>
      <w:lvlJc w:val="left"/>
      <w:pPr>
        <w:ind w:left="7104" w:hanging="385"/>
      </w:pPr>
      <w:rPr>
        <w:rFonts w:hint="default"/>
        <w:lang w:val="en-US" w:eastAsia="en-US" w:bidi="en-US"/>
      </w:rPr>
    </w:lvl>
  </w:abstractNum>
  <w:abstractNum w:abstractNumId="27">
    <w:nsid w:val="46625FE8"/>
    <w:multiLevelType w:val="hybridMultilevel"/>
    <w:tmpl w:val="26F87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797FA7"/>
    <w:multiLevelType w:val="hybridMultilevel"/>
    <w:tmpl w:val="33C437FC"/>
    <w:lvl w:ilvl="0">
      <w:start w:val="1"/>
      <w:numFmt w:val="bullet"/>
      <w:lvlText w:val=""/>
      <w:lvlJc w:val="left"/>
      <w:pPr>
        <w:ind w:left="754" w:hanging="360"/>
      </w:pPr>
      <w:rPr>
        <w:rFonts w:ascii="Symbol" w:hAnsi="Symbol" w:hint="default"/>
      </w:rPr>
    </w:lvl>
    <w:lvl w:ilvl="1" w:tentative="1">
      <w:start w:val="1"/>
      <w:numFmt w:val="bullet"/>
      <w:lvlText w:val="o"/>
      <w:lvlJc w:val="left"/>
      <w:pPr>
        <w:ind w:left="1474" w:hanging="360"/>
      </w:pPr>
      <w:rPr>
        <w:rFonts w:ascii="Courier New" w:hAnsi="Courier New" w:cs="Courier New" w:hint="default"/>
      </w:rPr>
    </w:lvl>
    <w:lvl w:ilvl="2" w:tentative="1">
      <w:start w:val="1"/>
      <w:numFmt w:val="bullet"/>
      <w:lvlText w:val=""/>
      <w:lvlJc w:val="left"/>
      <w:pPr>
        <w:ind w:left="2194" w:hanging="360"/>
      </w:pPr>
      <w:rPr>
        <w:rFonts w:ascii="Wingdings" w:hAnsi="Wingdings" w:hint="default"/>
      </w:rPr>
    </w:lvl>
    <w:lvl w:ilvl="3" w:tentative="1">
      <w:start w:val="1"/>
      <w:numFmt w:val="bullet"/>
      <w:lvlText w:val=""/>
      <w:lvlJc w:val="left"/>
      <w:pPr>
        <w:ind w:left="2914" w:hanging="360"/>
      </w:pPr>
      <w:rPr>
        <w:rFonts w:ascii="Symbol" w:hAnsi="Symbol" w:hint="default"/>
      </w:rPr>
    </w:lvl>
    <w:lvl w:ilvl="4" w:tentative="1">
      <w:start w:val="1"/>
      <w:numFmt w:val="bullet"/>
      <w:lvlText w:val="o"/>
      <w:lvlJc w:val="left"/>
      <w:pPr>
        <w:ind w:left="3634" w:hanging="360"/>
      </w:pPr>
      <w:rPr>
        <w:rFonts w:ascii="Courier New" w:hAnsi="Courier New" w:cs="Courier New" w:hint="default"/>
      </w:rPr>
    </w:lvl>
    <w:lvl w:ilvl="5" w:tentative="1">
      <w:start w:val="1"/>
      <w:numFmt w:val="bullet"/>
      <w:lvlText w:val=""/>
      <w:lvlJc w:val="left"/>
      <w:pPr>
        <w:ind w:left="4354" w:hanging="360"/>
      </w:pPr>
      <w:rPr>
        <w:rFonts w:ascii="Wingdings" w:hAnsi="Wingdings" w:hint="default"/>
      </w:rPr>
    </w:lvl>
    <w:lvl w:ilvl="6" w:tentative="1">
      <w:start w:val="1"/>
      <w:numFmt w:val="bullet"/>
      <w:lvlText w:val=""/>
      <w:lvlJc w:val="left"/>
      <w:pPr>
        <w:ind w:left="5074" w:hanging="360"/>
      </w:pPr>
      <w:rPr>
        <w:rFonts w:ascii="Symbol" w:hAnsi="Symbol" w:hint="default"/>
      </w:rPr>
    </w:lvl>
    <w:lvl w:ilvl="7" w:tentative="1">
      <w:start w:val="1"/>
      <w:numFmt w:val="bullet"/>
      <w:lvlText w:val="o"/>
      <w:lvlJc w:val="left"/>
      <w:pPr>
        <w:ind w:left="5794" w:hanging="360"/>
      </w:pPr>
      <w:rPr>
        <w:rFonts w:ascii="Courier New" w:hAnsi="Courier New" w:cs="Courier New" w:hint="default"/>
      </w:rPr>
    </w:lvl>
    <w:lvl w:ilvl="8" w:tentative="1">
      <w:start w:val="1"/>
      <w:numFmt w:val="bullet"/>
      <w:lvlText w:val=""/>
      <w:lvlJc w:val="left"/>
      <w:pPr>
        <w:ind w:left="6514" w:hanging="360"/>
      </w:pPr>
      <w:rPr>
        <w:rFonts w:ascii="Wingdings" w:hAnsi="Wingdings" w:hint="default"/>
      </w:rPr>
    </w:lvl>
  </w:abstractNum>
  <w:abstractNum w:abstractNumId="29">
    <w:nsid w:val="4C9A05E3"/>
    <w:multiLevelType w:val="hybridMultilevel"/>
    <w:tmpl w:val="FE7475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37C0327"/>
    <w:multiLevelType w:val="hybridMultilevel"/>
    <w:tmpl w:val="1F705BE2"/>
    <w:lvl w:ilvl="0">
      <w:start w:val="1"/>
      <w:numFmt w:val="bullet"/>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B052304"/>
    <w:multiLevelType w:val="hybridMultilevel"/>
    <w:tmpl w:val="7DD6EC0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D550E0"/>
    <w:multiLevelType w:val="hybridMultilevel"/>
    <w:tmpl w:val="8B8C00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DF07D24"/>
    <w:multiLevelType w:val="hybridMultilevel"/>
    <w:tmpl w:val="06880D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35A454A"/>
    <w:multiLevelType w:val="hybridMultilevel"/>
    <w:tmpl w:val="ED2EAD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6D965933"/>
    <w:multiLevelType w:val="hybridMultilevel"/>
    <w:tmpl w:val="86584F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05943F8"/>
    <w:multiLevelType w:val="hybridMultilevel"/>
    <w:tmpl w:val="79DC7398"/>
    <w:lvl w:ilvl="0">
      <w:start w:val="1"/>
      <w:numFmt w:val="bullet"/>
      <w:lvlText w:val=""/>
      <w:lvlJc w:val="left"/>
      <w:pPr>
        <w:ind w:left="789" w:hanging="360"/>
      </w:pPr>
      <w:rPr>
        <w:rFonts w:ascii="Symbol" w:hAnsi="Symbol" w:hint="default"/>
      </w:rPr>
    </w:lvl>
    <w:lvl w:ilvl="1" w:tentative="1">
      <w:start w:val="1"/>
      <w:numFmt w:val="bullet"/>
      <w:lvlText w:val="o"/>
      <w:lvlJc w:val="left"/>
      <w:pPr>
        <w:ind w:left="1509" w:hanging="360"/>
      </w:pPr>
      <w:rPr>
        <w:rFonts w:ascii="Courier New" w:hAnsi="Courier New" w:cs="Courier New" w:hint="default"/>
      </w:rPr>
    </w:lvl>
    <w:lvl w:ilvl="2" w:tentative="1">
      <w:start w:val="1"/>
      <w:numFmt w:val="bullet"/>
      <w:lvlText w:val=""/>
      <w:lvlJc w:val="left"/>
      <w:pPr>
        <w:ind w:left="2229" w:hanging="360"/>
      </w:pPr>
      <w:rPr>
        <w:rFonts w:ascii="Wingdings" w:hAnsi="Wingdings" w:hint="default"/>
      </w:rPr>
    </w:lvl>
    <w:lvl w:ilvl="3" w:tentative="1">
      <w:start w:val="1"/>
      <w:numFmt w:val="bullet"/>
      <w:lvlText w:val=""/>
      <w:lvlJc w:val="left"/>
      <w:pPr>
        <w:ind w:left="2949" w:hanging="360"/>
      </w:pPr>
      <w:rPr>
        <w:rFonts w:ascii="Symbol" w:hAnsi="Symbol" w:hint="default"/>
      </w:rPr>
    </w:lvl>
    <w:lvl w:ilvl="4" w:tentative="1">
      <w:start w:val="1"/>
      <w:numFmt w:val="bullet"/>
      <w:lvlText w:val="o"/>
      <w:lvlJc w:val="left"/>
      <w:pPr>
        <w:ind w:left="3669" w:hanging="360"/>
      </w:pPr>
      <w:rPr>
        <w:rFonts w:ascii="Courier New" w:hAnsi="Courier New" w:cs="Courier New" w:hint="default"/>
      </w:rPr>
    </w:lvl>
    <w:lvl w:ilvl="5" w:tentative="1">
      <w:start w:val="1"/>
      <w:numFmt w:val="bullet"/>
      <w:lvlText w:val=""/>
      <w:lvlJc w:val="left"/>
      <w:pPr>
        <w:ind w:left="4389" w:hanging="360"/>
      </w:pPr>
      <w:rPr>
        <w:rFonts w:ascii="Wingdings" w:hAnsi="Wingdings" w:hint="default"/>
      </w:rPr>
    </w:lvl>
    <w:lvl w:ilvl="6" w:tentative="1">
      <w:start w:val="1"/>
      <w:numFmt w:val="bullet"/>
      <w:lvlText w:val=""/>
      <w:lvlJc w:val="left"/>
      <w:pPr>
        <w:ind w:left="5109" w:hanging="360"/>
      </w:pPr>
      <w:rPr>
        <w:rFonts w:ascii="Symbol" w:hAnsi="Symbol" w:hint="default"/>
      </w:rPr>
    </w:lvl>
    <w:lvl w:ilvl="7" w:tentative="1">
      <w:start w:val="1"/>
      <w:numFmt w:val="bullet"/>
      <w:lvlText w:val="o"/>
      <w:lvlJc w:val="left"/>
      <w:pPr>
        <w:ind w:left="5829" w:hanging="360"/>
      </w:pPr>
      <w:rPr>
        <w:rFonts w:ascii="Courier New" w:hAnsi="Courier New" w:cs="Courier New" w:hint="default"/>
      </w:rPr>
    </w:lvl>
    <w:lvl w:ilvl="8" w:tentative="1">
      <w:start w:val="1"/>
      <w:numFmt w:val="bullet"/>
      <w:lvlText w:val=""/>
      <w:lvlJc w:val="left"/>
      <w:pPr>
        <w:ind w:left="6549" w:hanging="360"/>
      </w:pPr>
      <w:rPr>
        <w:rFonts w:ascii="Wingdings" w:hAnsi="Wingdings" w:hint="default"/>
      </w:rPr>
    </w:lvl>
  </w:abstractNum>
  <w:abstractNum w:abstractNumId="37">
    <w:nsid w:val="71D00812"/>
    <w:multiLevelType w:val="hybridMultilevel"/>
    <w:tmpl w:val="99F02F3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5C5A59"/>
    <w:multiLevelType w:val="hybridMultilevel"/>
    <w:tmpl w:val="A3F2E68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48F6BAE"/>
    <w:multiLevelType w:val="hybridMultilevel"/>
    <w:tmpl w:val="6C740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5BC0AF9"/>
    <w:multiLevelType w:val="hybridMultilevel"/>
    <w:tmpl w:val="7B5260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89677C2"/>
    <w:multiLevelType w:val="hybridMultilevel"/>
    <w:tmpl w:val="4866F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8DC541D"/>
    <w:multiLevelType w:val="hybridMultilevel"/>
    <w:tmpl w:val="35D0D0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097671"/>
    <w:multiLevelType w:val="hybridMultilevel"/>
    <w:tmpl w:val="38AECFA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CA777A8"/>
    <w:multiLevelType w:val="hybridMultilevel"/>
    <w:tmpl w:val="63FE62C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30"/>
  </w:num>
  <w:num w:numId="3">
    <w:abstractNumId w:val="13"/>
  </w:num>
  <w:num w:numId="4">
    <w:abstractNumId w:val="16"/>
  </w:num>
  <w:num w:numId="5">
    <w:abstractNumId w:val="15"/>
  </w:num>
  <w:num w:numId="6">
    <w:abstractNumId w:val="27"/>
  </w:num>
  <w:num w:numId="7">
    <w:abstractNumId w:val="18"/>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3"/>
  </w:num>
  <w:num w:numId="14">
    <w:abstractNumId w:val="14"/>
  </w:num>
  <w:num w:numId="15">
    <w:abstractNumId w:val="11"/>
  </w:num>
  <w:num w:numId="16">
    <w:abstractNumId w:val="17"/>
  </w:num>
  <w:num w:numId="17">
    <w:abstractNumId w:val="41"/>
  </w:num>
  <w:num w:numId="18">
    <w:abstractNumId w:val="5"/>
  </w:num>
  <w:num w:numId="19">
    <w:abstractNumId w:val="25"/>
  </w:num>
  <w:num w:numId="20">
    <w:abstractNumId w:val="20"/>
  </w:num>
  <w:num w:numId="21">
    <w:abstractNumId w:val="42"/>
  </w:num>
  <w:num w:numId="22">
    <w:abstractNumId w:val="37"/>
  </w:num>
  <w:num w:numId="23">
    <w:abstractNumId w:val="21"/>
  </w:num>
  <w:num w:numId="24">
    <w:abstractNumId w:val="39"/>
  </w:num>
  <w:num w:numId="25">
    <w:abstractNumId w:val="8"/>
  </w:num>
  <w:num w:numId="26">
    <w:abstractNumId w:val="36"/>
  </w:num>
  <w:num w:numId="27">
    <w:abstractNumId w:val="35"/>
  </w:num>
  <w:num w:numId="28">
    <w:abstractNumId w:val="6"/>
  </w:num>
  <w:num w:numId="29">
    <w:abstractNumId w:val="40"/>
  </w:num>
  <w:num w:numId="30">
    <w:abstractNumId w:val="9"/>
  </w:num>
  <w:num w:numId="31">
    <w:abstractNumId w:val="44"/>
  </w:num>
  <w:num w:numId="32">
    <w:abstractNumId w:val="38"/>
  </w:num>
  <w:num w:numId="33">
    <w:abstractNumId w:val="29"/>
  </w:num>
  <w:num w:numId="34">
    <w:abstractNumId w:val="33"/>
  </w:num>
  <w:num w:numId="35">
    <w:abstractNumId w:val="24"/>
  </w:num>
  <w:num w:numId="36">
    <w:abstractNumId w:val="43"/>
  </w:num>
  <w:num w:numId="37">
    <w:abstractNumId w:val="10"/>
  </w:num>
  <w:num w:numId="38">
    <w:abstractNumId w:val="22"/>
  </w:num>
  <w:num w:numId="39">
    <w:abstractNumId w:val="1"/>
  </w:num>
  <w:num w:numId="40">
    <w:abstractNumId w:val="28"/>
  </w:num>
  <w:num w:numId="41">
    <w:abstractNumId w:val="12"/>
  </w:num>
  <w:num w:numId="42">
    <w:abstractNumId w:val="32"/>
  </w:num>
  <w:num w:numId="43">
    <w:abstractNumId w:val="26"/>
  </w:num>
  <w:num w:numId="44">
    <w:abstractNumId w:val="3"/>
  </w:num>
  <w:num w:numId="4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99"/>
    <w:rsid w:val="00000B43"/>
    <w:rsid w:val="00001D41"/>
    <w:rsid w:val="000020B6"/>
    <w:rsid w:val="0000225C"/>
    <w:rsid w:val="00005F05"/>
    <w:rsid w:val="000071A5"/>
    <w:rsid w:val="00007618"/>
    <w:rsid w:val="00007EA5"/>
    <w:rsid w:val="000117A9"/>
    <w:rsid w:val="00012FB0"/>
    <w:rsid w:val="00014279"/>
    <w:rsid w:val="00016674"/>
    <w:rsid w:val="00017543"/>
    <w:rsid w:val="00020CF7"/>
    <w:rsid w:val="00021EF0"/>
    <w:rsid w:val="0002221C"/>
    <w:rsid w:val="000243CC"/>
    <w:rsid w:val="00024E52"/>
    <w:rsid w:val="0002712C"/>
    <w:rsid w:val="00030CC9"/>
    <w:rsid w:val="00031B06"/>
    <w:rsid w:val="00032530"/>
    <w:rsid w:val="000326CB"/>
    <w:rsid w:val="00034176"/>
    <w:rsid w:val="00034185"/>
    <w:rsid w:val="000343CA"/>
    <w:rsid w:val="0003575B"/>
    <w:rsid w:val="00036145"/>
    <w:rsid w:val="00037C5F"/>
    <w:rsid w:val="00037E69"/>
    <w:rsid w:val="00041AAD"/>
    <w:rsid w:val="000434DE"/>
    <w:rsid w:val="00043B19"/>
    <w:rsid w:val="00043C15"/>
    <w:rsid w:val="00045395"/>
    <w:rsid w:val="0005016E"/>
    <w:rsid w:val="00053726"/>
    <w:rsid w:val="000538C3"/>
    <w:rsid w:val="00053A91"/>
    <w:rsid w:val="00053D8D"/>
    <w:rsid w:val="00054DFD"/>
    <w:rsid w:val="0005617A"/>
    <w:rsid w:val="00057275"/>
    <w:rsid w:val="000605BC"/>
    <w:rsid w:val="00061ED5"/>
    <w:rsid w:val="00062BDF"/>
    <w:rsid w:val="00063805"/>
    <w:rsid w:val="0006397F"/>
    <w:rsid w:val="000709FB"/>
    <w:rsid w:val="00070A18"/>
    <w:rsid w:val="000710A6"/>
    <w:rsid w:val="0007157A"/>
    <w:rsid w:val="00072EBA"/>
    <w:rsid w:val="0007338D"/>
    <w:rsid w:val="000733B0"/>
    <w:rsid w:val="000761F6"/>
    <w:rsid w:val="00076696"/>
    <w:rsid w:val="000768FD"/>
    <w:rsid w:val="000775C9"/>
    <w:rsid w:val="00077A42"/>
    <w:rsid w:val="0008357D"/>
    <w:rsid w:val="000845D6"/>
    <w:rsid w:val="000862F2"/>
    <w:rsid w:val="00086D21"/>
    <w:rsid w:val="00087511"/>
    <w:rsid w:val="000903AF"/>
    <w:rsid w:val="0009057B"/>
    <w:rsid w:val="00091C5B"/>
    <w:rsid w:val="00094D43"/>
    <w:rsid w:val="00095776"/>
    <w:rsid w:val="00095DD7"/>
    <w:rsid w:val="000A0AAA"/>
    <w:rsid w:val="000A1744"/>
    <w:rsid w:val="000A207C"/>
    <w:rsid w:val="000A2CC1"/>
    <w:rsid w:val="000A3D99"/>
    <w:rsid w:val="000A4D37"/>
    <w:rsid w:val="000A5D25"/>
    <w:rsid w:val="000A61DB"/>
    <w:rsid w:val="000A65C4"/>
    <w:rsid w:val="000A77CE"/>
    <w:rsid w:val="000B0EFC"/>
    <w:rsid w:val="000B154B"/>
    <w:rsid w:val="000B29FF"/>
    <w:rsid w:val="000B314E"/>
    <w:rsid w:val="000B3A3E"/>
    <w:rsid w:val="000B6A0E"/>
    <w:rsid w:val="000B7B0E"/>
    <w:rsid w:val="000C14C1"/>
    <w:rsid w:val="000C6B03"/>
    <w:rsid w:val="000D1286"/>
    <w:rsid w:val="000D1E45"/>
    <w:rsid w:val="000D64D8"/>
    <w:rsid w:val="000D70C3"/>
    <w:rsid w:val="000E1602"/>
    <w:rsid w:val="000E2861"/>
    <w:rsid w:val="000E2F56"/>
    <w:rsid w:val="000E3E51"/>
    <w:rsid w:val="000E6F97"/>
    <w:rsid w:val="000E7041"/>
    <w:rsid w:val="000F0701"/>
    <w:rsid w:val="000F0DA1"/>
    <w:rsid w:val="000F4692"/>
    <w:rsid w:val="000F71C0"/>
    <w:rsid w:val="000F7929"/>
    <w:rsid w:val="00100410"/>
    <w:rsid w:val="00100426"/>
    <w:rsid w:val="00101B59"/>
    <w:rsid w:val="00102B08"/>
    <w:rsid w:val="00103CA0"/>
    <w:rsid w:val="00105981"/>
    <w:rsid w:val="00106961"/>
    <w:rsid w:val="00106C61"/>
    <w:rsid w:val="00106DAA"/>
    <w:rsid w:val="00110A14"/>
    <w:rsid w:val="00112202"/>
    <w:rsid w:val="0011222D"/>
    <w:rsid w:val="00112344"/>
    <w:rsid w:val="00113944"/>
    <w:rsid w:val="00115168"/>
    <w:rsid w:val="00116919"/>
    <w:rsid w:val="00117076"/>
    <w:rsid w:val="00117AF3"/>
    <w:rsid w:val="00121D48"/>
    <w:rsid w:val="00122C04"/>
    <w:rsid w:val="0012408B"/>
    <w:rsid w:val="00124692"/>
    <w:rsid w:val="001269F7"/>
    <w:rsid w:val="00130EFE"/>
    <w:rsid w:val="00131008"/>
    <w:rsid w:val="00131D0B"/>
    <w:rsid w:val="00132144"/>
    <w:rsid w:val="00133609"/>
    <w:rsid w:val="00134C80"/>
    <w:rsid w:val="00135691"/>
    <w:rsid w:val="001367C2"/>
    <w:rsid w:val="001373C6"/>
    <w:rsid w:val="0014348E"/>
    <w:rsid w:val="001479E0"/>
    <w:rsid w:val="00150705"/>
    <w:rsid w:val="00150CB0"/>
    <w:rsid w:val="001533B3"/>
    <w:rsid w:val="00154328"/>
    <w:rsid w:val="00156B1A"/>
    <w:rsid w:val="00160651"/>
    <w:rsid w:val="0017008A"/>
    <w:rsid w:val="00171963"/>
    <w:rsid w:val="00172C20"/>
    <w:rsid w:val="00176550"/>
    <w:rsid w:val="001802CD"/>
    <w:rsid w:val="00182955"/>
    <w:rsid w:val="00183568"/>
    <w:rsid w:val="00184BAE"/>
    <w:rsid w:val="00185851"/>
    <w:rsid w:val="00187A58"/>
    <w:rsid w:val="00190C00"/>
    <w:rsid w:val="0019229A"/>
    <w:rsid w:val="00194DAF"/>
    <w:rsid w:val="001956DB"/>
    <w:rsid w:val="00196D87"/>
    <w:rsid w:val="00196DA8"/>
    <w:rsid w:val="001A4B15"/>
    <w:rsid w:val="001A6964"/>
    <w:rsid w:val="001A7CBD"/>
    <w:rsid w:val="001B13C9"/>
    <w:rsid w:val="001B2B58"/>
    <w:rsid w:val="001B3C0A"/>
    <w:rsid w:val="001B5945"/>
    <w:rsid w:val="001B6FBA"/>
    <w:rsid w:val="001C1316"/>
    <w:rsid w:val="001C18CA"/>
    <w:rsid w:val="001C2B6C"/>
    <w:rsid w:val="001C3569"/>
    <w:rsid w:val="001C56EF"/>
    <w:rsid w:val="001C62B5"/>
    <w:rsid w:val="001C70FA"/>
    <w:rsid w:val="001D37C9"/>
    <w:rsid w:val="001D5C7D"/>
    <w:rsid w:val="001E23F5"/>
    <w:rsid w:val="001E3073"/>
    <w:rsid w:val="001E336F"/>
    <w:rsid w:val="001E407D"/>
    <w:rsid w:val="001E4C4E"/>
    <w:rsid w:val="001E5372"/>
    <w:rsid w:val="001E63DB"/>
    <w:rsid w:val="001F074F"/>
    <w:rsid w:val="001F1372"/>
    <w:rsid w:val="001F1C1F"/>
    <w:rsid w:val="001F2922"/>
    <w:rsid w:val="001F6123"/>
    <w:rsid w:val="001F7F67"/>
    <w:rsid w:val="002002BF"/>
    <w:rsid w:val="0020349F"/>
    <w:rsid w:val="002035D0"/>
    <w:rsid w:val="00205ADD"/>
    <w:rsid w:val="00207774"/>
    <w:rsid w:val="0021038B"/>
    <w:rsid w:val="002107FC"/>
    <w:rsid w:val="00210E04"/>
    <w:rsid w:val="00212646"/>
    <w:rsid w:val="00212ED2"/>
    <w:rsid w:val="00214566"/>
    <w:rsid w:val="00214676"/>
    <w:rsid w:val="0021527F"/>
    <w:rsid w:val="002167D9"/>
    <w:rsid w:val="0022213C"/>
    <w:rsid w:val="00222350"/>
    <w:rsid w:val="00222B58"/>
    <w:rsid w:val="002264F7"/>
    <w:rsid w:val="002272F0"/>
    <w:rsid w:val="00230397"/>
    <w:rsid w:val="00231DFD"/>
    <w:rsid w:val="00233161"/>
    <w:rsid w:val="0023532E"/>
    <w:rsid w:val="002363D4"/>
    <w:rsid w:val="00244760"/>
    <w:rsid w:val="0025196B"/>
    <w:rsid w:val="00252B08"/>
    <w:rsid w:val="00253A2E"/>
    <w:rsid w:val="0025448A"/>
    <w:rsid w:val="002546E8"/>
    <w:rsid w:val="0026138A"/>
    <w:rsid w:val="00265133"/>
    <w:rsid w:val="00265B16"/>
    <w:rsid w:val="00266559"/>
    <w:rsid w:val="002700DA"/>
    <w:rsid w:val="00270A3E"/>
    <w:rsid w:val="002712A6"/>
    <w:rsid w:val="00271F1A"/>
    <w:rsid w:val="00272A13"/>
    <w:rsid w:val="002753D2"/>
    <w:rsid w:val="002759F4"/>
    <w:rsid w:val="00281BC2"/>
    <w:rsid w:val="00281D51"/>
    <w:rsid w:val="002829F1"/>
    <w:rsid w:val="00282E05"/>
    <w:rsid w:val="0028310E"/>
    <w:rsid w:val="002832BC"/>
    <w:rsid w:val="00283FE1"/>
    <w:rsid w:val="002841F9"/>
    <w:rsid w:val="00285D71"/>
    <w:rsid w:val="002861B2"/>
    <w:rsid w:val="00287E24"/>
    <w:rsid w:val="00292AFB"/>
    <w:rsid w:val="00292F5F"/>
    <w:rsid w:val="002967C1"/>
    <w:rsid w:val="002A033F"/>
    <w:rsid w:val="002A253F"/>
    <w:rsid w:val="002A4AB7"/>
    <w:rsid w:val="002A5675"/>
    <w:rsid w:val="002B12D2"/>
    <w:rsid w:val="002B1515"/>
    <w:rsid w:val="002B1F90"/>
    <w:rsid w:val="002B3E47"/>
    <w:rsid w:val="002B48F5"/>
    <w:rsid w:val="002B49EF"/>
    <w:rsid w:val="002B4A27"/>
    <w:rsid w:val="002C0971"/>
    <w:rsid w:val="002C1E19"/>
    <w:rsid w:val="002C5397"/>
    <w:rsid w:val="002C539D"/>
    <w:rsid w:val="002C5C09"/>
    <w:rsid w:val="002C73D3"/>
    <w:rsid w:val="002D0F49"/>
    <w:rsid w:val="002D1C0E"/>
    <w:rsid w:val="002D6765"/>
    <w:rsid w:val="002D6916"/>
    <w:rsid w:val="002E1EB8"/>
    <w:rsid w:val="002E30A0"/>
    <w:rsid w:val="002E5DD9"/>
    <w:rsid w:val="002E6CBB"/>
    <w:rsid w:val="002E7145"/>
    <w:rsid w:val="002F142A"/>
    <w:rsid w:val="002F3705"/>
    <w:rsid w:val="002F3D3A"/>
    <w:rsid w:val="002F440D"/>
    <w:rsid w:val="002F4C38"/>
    <w:rsid w:val="002F601A"/>
    <w:rsid w:val="002F7311"/>
    <w:rsid w:val="00300C92"/>
    <w:rsid w:val="00300FF9"/>
    <w:rsid w:val="00301FFD"/>
    <w:rsid w:val="00302321"/>
    <w:rsid w:val="00303485"/>
    <w:rsid w:val="0030473E"/>
    <w:rsid w:val="00306271"/>
    <w:rsid w:val="00306F77"/>
    <w:rsid w:val="003071A7"/>
    <w:rsid w:val="0031099B"/>
    <w:rsid w:val="003109CF"/>
    <w:rsid w:val="00311C00"/>
    <w:rsid w:val="00312337"/>
    <w:rsid w:val="00313D31"/>
    <w:rsid w:val="00315105"/>
    <w:rsid w:val="0031563E"/>
    <w:rsid w:val="00316305"/>
    <w:rsid w:val="00317538"/>
    <w:rsid w:val="0031792D"/>
    <w:rsid w:val="003209D8"/>
    <w:rsid w:val="00322F13"/>
    <w:rsid w:val="00323BB1"/>
    <w:rsid w:val="00323DAB"/>
    <w:rsid w:val="00325D97"/>
    <w:rsid w:val="00326598"/>
    <w:rsid w:val="00326694"/>
    <w:rsid w:val="00326E60"/>
    <w:rsid w:val="00330703"/>
    <w:rsid w:val="00330E6C"/>
    <w:rsid w:val="00332FD9"/>
    <w:rsid w:val="00334840"/>
    <w:rsid w:val="00335A64"/>
    <w:rsid w:val="003367C3"/>
    <w:rsid w:val="00336F1D"/>
    <w:rsid w:val="00340050"/>
    <w:rsid w:val="0034053C"/>
    <w:rsid w:val="00342B85"/>
    <w:rsid w:val="003431FF"/>
    <w:rsid w:val="00345D22"/>
    <w:rsid w:val="003474E6"/>
    <w:rsid w:val="00347D05"/>
    <w:rsid w:val="00350860"/>
    <w:rsid w:val="00350EF5"/>
    <w:rsid w:val="0035315F"/>
    <w:rsid w:val="00353FA4"/>
    <w:rsid w:val="0035446A"/>
    <w:rsid w:val="003544EF"/>
    <w:rsid w:val="00354FF2"/>
    <w:rsid w:val="00357EAB"/>
    <w:rsid w:val="00360744"/>
    <w:rsid w:val="0036247B"/>
    <w:rsid w:val="00362951"/>
    <w:rsid w:val="00363190"/>
    <w:rsid w:val="003639A8"/>
    <w:rsid w:val="00364DF6"/>
    <w:rsid w:val="00370AC2"/>
    <w:rsid w:val="00371231"/>
    <w:rsid w:val="00374CED"/>
    <w:rsid w:val="0037526D"/>
    <w:rsid w:val="00375AE0"/>
    <w:rsid w:val="00377783"/>
    <w:rsid w:val="003804EB"/>
    <w:rsid w:val="003816BA"/>
    <w:rsid w:val="003817D9"/>
    <w:rsid w:val="00381CD9"/>
    <w:rsid w:val="00386DBE"/>
    <w:rsid w:val="00392C66"/>
    <w:rsid w:val="00395276"/>
    <w:rsid w:val="00395543"/>
    <w:rsid w:val="0039626A"/>
    <w:rsid w:val="003972D7"/>
    <w:rsid w:val="003A0270"/>
    <w:rsid w:val="003A15C7"/>
    <w:rsid w:val="003A45B0"/>
    <w:rsid w:val="003A4936"/>
    <w:rsid w:val="003A4F1B"/>
    <w:rsid w:val="003B0114"/>
    <w:rsid w:val="003B461D"/>
    <w:rsid w:val="003B621C"/>
    <w:rsid w:val="003C025C"/>
    <w:rsid w:val="003C16E2"/>
    <w:rsid w:val="003C1AB4"/>
    <w:rsid w:val="003C3A0A"/>
    <w:rsid w:val="003C4560"/>
    <w:rsid w:val="003C5411"/>
    <w:rsid w:val="003C6556"/>
    <w:rsid w:val="003C67C0"/>
    <w:rsid w:val="003C6C58"/>
    <w:rsid w:val="003C77AF"/>
    <w:rsid w:val="003D28BA"/>
    <w:rsid w:val="003D34BD"/>
    <w:rsid w:val="003D3A9A"/>
    <w:rsid w:val="003D3CDD"/>
    <w:rsid w:val="003D44B9"/>
    <w:rsid w:val="003D4814"/>
    <w:rsid w:val="003D54A1"/>
    <w:rsid w:val="003D5982"/>
    <w:rsid w:val="003E17B4"/>
    <w:rsid w:val="003E24FB"/>
    <w:rsid w:val="003E2F6B"/>
    <w:rsid w:val="003E3093"/>
    <w:rsid w:val="003E6174"/>
    <w:rsid w:val="003E68DA"/>
    <w:rsid w:val="003E7507"/>
    <w:rsid w:val="003F091F"/>
    <w:rsid w:val="003F2C7F"/>
    <w:rsid w:val="003F3745"/>
    <w:rsid w:val="003F51A3"/>
    <w:rsid w:val="00400808"/>
    <w:rsid w:val="00405B7F"/>
    <w:rsid w:val="00405DD3"/>
    <w:rsid w:val="004063F2"/>
    <w:rsid w:val="0040763B"/>
    <w:rsid w:val="00407F80"/>
    <w:rsid w:val="00410D17"/>
    <w:rsid w:val="00410FF6"/>
    <w:rsid w:val="00412476"/>
    <w:rsid w:val="00412D32"/>
    <w:rsid w:val="004205E0"/>
    <w:rsid w:val="00422B27"/>
    <w:rsid w:val="00423F0F"/>
    <w:rsid w:val="0042424E"/>
    <w:rsid w:val="00426369"/>
    <w:rsid w:val="0043168F"/>
    <w:rsid w:val="004333E6"/>
    <w:rsid w:val="004361EC"/>
    <w:rsid w:val="004368A8"/>
    <w:rsid w:val="00437B96"/>
    <w:rsid w:val="00437BBE"/>
    <w:rsid w:val="00437CC1"/>
    <w:rsid w:val="004404C9"/>
    <w:rsid w:val="00442B5D"/>
    <w:rsid w:val="00443DD5"/>
    <w:rsid w:val="00447344"/>
    <w:rsid w:val="004501EB"/>
    <w:rsid w:val="00450446"/>
    <w:rsid w:val="004512F9"/>
    <w:rsid w:val="004517A9"/>
    <w:rsid w:val="00453924"/>
    <w:rsid w:val="00455A22"/>
    <w:rsid w:val="00455C40"/>
    <w:rsid w:val="00456E59"/>
    <w:rsid w:val="00461DF6"/>
    <w:rsid w:val="004637C1"/>
    <w:rsid w:val="00464A01"/>
    <w:rsid w:val="00466F18"/>
    <w:rsid w:val="004672C3"/>
    <w:rsid w:val="00470F9A"/>
    <w:rsid w:val="00471188"/>
    <w:rsid w:val="00474BC2"/>
    <w:rsid w:val="00475AAF"/>
    <w:rsid w:val="0047603A"/>
    <w:rsid w:val="0047656F"/>
    <w:rsid w:val="004772B1"/>
    <w:rsid w:val="0047732B"/>
    <w:rsid w:val="00480169"/>
    <w:rsid w:val="00480E1D"/>
    <w:rsid w:val="00481524"/>
    <w:rsid w:val="00483E81"/>
    <w:rsid w:val="0048418C"/>
    <w:rsid w:val="00484EB9"/>
    <w:rsid w:val="004865F0"/>
    <w:rsid w:val="00486DDA"/>
    <w:rsid w:val="00490B34"/>
    <w:rsid w:val="0049100C"/>
    <w:rsid w:val="004917E1"/>
    <w:rsid w:val="00493560"/>
    <w:rsid w:val="00494584"/>
    <w:rsid w:val="004945D5"/>
    <w:rsid w:val="00495185"/>
    <w:rsid w:val="00495362"/>
    <w:rsid w:val="004954A0"/>
    <w:rsid w:val="00495804"/>
    <w:rsid w:val="00495894"/>
    <w:rsid w:val="00497CDF"/>
    <w:rsid w:val="004A093D"/>
    <w:rsid w:val="004A1035"/>
    <w:rsid w:val="004A151B"/>
    <w:rsid w:val="004A34A1"/>
    <w:rsid w:val="004A5622"/>
    <w:rsid w:val="004A5EDA"/>
    <w:rsid w:val="004A6129"/>
    <w:rsid w:val="004B01E9"/>
    <w:rsid w:val="004B0252"/>
    <w:rsid w:val="004B09B9"/>
    <w:rsid w:val="004B3537"/>
    <w:rsid w:val="004B37A3"/>
    <w:rsid w:val="004B3A7F"/>
    <w:rsid w:val="004B4727"/>
    <w:rsid w:val="004B621D"/>
    <w:rsid w:val="004B63D4"/>
    <w:rsid w:val="004C0893"/>
    <w:rsid w:val="004C08AA"/>
    <w:rsid w:val="004C0B25"/>
    <w:rsid w:val="004C1B08"/>
    <w:rsid w:val="004C43EE"/>
    <w:rsid w:val="004C6CEF"/>
    <w:rsid w:val="004C6D00"/>
    <w:rsid w:val="004C7527"/>
    <w:rsid w:val="004C7DEB"/>
    <w:rsid w:val="004D034A"/>
    <w:rsid w:val="004D34F7"/>
    <w:rsid w:val="004D42E7"/>
    <w:rsid w:val="004D458B"/>
    <w:rsid w:val="004D6592"/>
    <w:rsid w:val="004D6DB4"/>
    <w:rsid w:val="004E0E30"/>
    <w:rsid w:val="004E15EA"/>
    <w:rsid w:val="004E3B1D"/>
    <w:rsid w:val="004E3DDE"/>
    <w:rsid w:val="004E6FE3"/>
    <w:rsid w:val="004F75A6"/>
    <w:rsid w:val="004F7611"/>
    <w:rsid w:val="005046D1"/>
    <w:rsid w:val="005054FB"/>
    <w:rsid w:val="005074AC"/>
    <w:rsid w:val="00507B26"/>
    <w:rsid w:val="005114E0"/>
    <w:rsid w:val="00514D6D"/>
    <w:rsid w:val="0051566C"/>
    <w:rsid w:val="00521BCA"/>
    <w:rsid w:val="00521CFE"/>
    <w:rsid w:val="00521F19"/>
    <w:rsid w:val="00522101"/>
    <w:rsid w:val="00526632"/>
    <w:rsid w:val="00526648"/>
    <w:rsid w:val="00530090"/>
    <w:rsid w:val="00534166"/>
    <w:rsid w:val="0053465A"/>
    <w:rsid w:val="00534C8D"/>
    <w:rsid w:val="0053604B"/>
    <w:rsid w:val="00540505"/>
    <w:rsid w:val="00542639"/>
    <w:rsid w:val="00542C0A"/>
    <w:rsid w:val="00543250"/>
    <w:rsid w:val="00543705"/>
    <w:rsid w:val="0054405E"/>
    <w:rsid w:val="00544CC2"/>
    <w:rsid w:val="005450C7"/>
    <w:rsid w:val="00545748"/>
    <w:rsid w:val="00546358"/>
    <w:rsid w:val="00552FA3"/>
    <w:rsid w:val="00553893"/>
    <w:rsid w:val="00554FCA"/>
    <w:rsid w:val="00555D4A"/>
    <w:rsid w:val="00561504"/>
    <w:rsid w:val="00562FB9"/>
    <w:rsid w:val="005655BC"/>
    <w:rsid w:val="005663B9"/>
    <w:rsid w:val="00566FE9"/>
    <w:rsid w:val="00567266"/>
    <w:rsid w:val="00570FA9"/>
    <w:rsid w:val="0057221B"/>
    <w:rsid w:val="005758AD"/>
    <w:rsid w:val="0058098B"/>
    <w:rsid w:val="00580A06"/>
    <w:rsid w:val="00582320"/>
    <w:rsid w:val="00587A49"/>
    <w:rsid w:val="00591255"/>
    <w:rsid w:val="005916DD"/>
    <w:rsid w:val="00591EA2"/>
    <w:rsid w:val="00593FAE"/>
    <w:rsid w:val="005941BC"/>
    <w:rsid w:val="005974DC"/>
    <w:rsid w:val="005A032C"/>
    <w:rsid w:val="005A0430"/>
    <w:rsid w:val="005A0EC4"/>
    <w:rsid w:val="005A1EFF"/>
    <w:rsid w:val="005A299A"/>
    <w:rsid w:val="005A2A37"/>
    <w:rsid w:val="005A3B51"/>
    <w:rsid w:val="005A3CF3"/>
    <w:rsid w:val="005A4A6F"/>
    <w:rsid w:val="005A516C"/>
    <w:rsid w:val="005A5A71"/>
    <w:rsid w:val="005A7286"/>
    <w:rsid w:val="005B1E17"/>
    <w:rsid w:val="005B61D9"/>
    <w:rsid w:val="005B71FD"/>
    <w:rsid w:val="005B7C70"/>
    <w:rsid w:val="005B7DBD"/>
    <w:rsid w:val="005C0E96"/>
    <w:rsid w:val="005C1360"/>
    <w:rsid w:val="005C171B"/>
    <w:rsid w:val="005C2023"/>
    <w:rsid w:val="005C26E2"/>
    <w:rsid w:val="005C3579"/>
    <w:rsid w:val="005C36C6"/>
    <w:rsid w:val="005C4AEB"/>
    <w:rsid w:val="005C528B"/>
    <w:rsid w:val="005C58EC"/>
    <w:rsid w:val="005C7117"/>
    <w:rsid w:val="005C78AA"/>
    <w:rsid w:val="005C7A8C"/>
    <w:rsid w:val="005D0993"/>
    <w:rsid w:val="005D274F"/>
    <w:rsid w:val="005D5D3B"/>
    <w:rsid w:val="005D66EF"/>
    <w:rsid w:val="005D71D7"/>
    <w:rsid w:val="005E064C"/>
    <w:rsid w:val="005E20AC"/>
    <w:rsid w:val="005E4DB8"/>
    <w:rsid w:val="005E6A78"/>
    <w:rsid w:val="005E6D96"/>
    <w:rsid w:val="005E770E"/>
    <w:rsid w:val="005F1E78"/>
    <w:rsid w:val="005F290E"/>
    <w:rsid w:val="005F2AF2"/>
    <w:rsid w:val="005F4E42"/>
    <w:rsid w:val="005F5D65"/>
    <w:rsid w:val="005F68C5"/>
    <w:rsid w:val="005F6C3A"/>
    <w:rsid w:val="005F7E9B"/>
    <w:rsid w:val="0060092B"/>
    <w:rsid w:val="006009EB"/>
    <w:rsid w:val="00601BC3"/>
    <w:rsid w:val="00602024"/>
    <w:rsid w:val="00603F19"/>
    <w:rsid w:val="00604032"/>
    <w:rsid w:val="006047FD"/>
    <w:rsid w:val="00604F89"/>
    <w:rsid w:val="00605412"/>
    <w:rsid w:val="00606268"/>
    <w:rsid w:val="00611180"/>
    <w:rsid w:val="0061146E"/>
    <w:rsid w:val="00615D68"/>
    <w:rsid w:val="00615F87"/>
    <w:rsid w:val="006168D2"/>
    <w:rsid w:val="00620335"/>
    <w:rsid w:val="0062088C"/>
    <w:rsid w:val="0062229B"/>
    <w:rsid w:val="00623119"/>
    <w:rsid w:val="006236CE"/>
    <w:rsid w:val="006245AF"/>
    <w:rsid w:val="00627154"/>
    <w:rsid w:val="00630124"/>
    <w:rsid w:val="006303B7"/>
    <w:rsid w:val="00630AA9"/>
    <w:rsid w:val="00632B6A"/>
    <w:rsid w:val="00633BEC"/>
    <w:rsid w:val="00635D4A"/>
    <w:rsid w:val="00636CB0"/>
    <w:rsid w:val="00637CEC"/>
    <w:rsid w:val="0064049B"/>
    <w:rsid w:val="00642FF7"/>
    <w:rsid w:val="00644D10"/>
    <w:rsid w:val="00645C9B"/>
    <w:rsid w:val="00646039"/>
    <w:rsid w:val="00646507"/>
    <w:rsid w:val="00646A0E"/>
    <w:rsid w:val="006470ED"/>
    <w:rsid w:val="006503F8"/>
    <w:rsid w:val="00653B7F"/>
    <w:rsid w:val="0065502A"/>
    <w:rsid w:val="006552C3"/>
    <w:rsid w:val="006565FC"/>
    <w:rsid w:val="00661FFB"/>
    <w:rsid w:val="006647CA"/>
    <w:rsid w:val="00670169"/>
    <w:rsid w:val="00674A9C"/>
    <w:rsid w:val="00677610"/>
    <w:rsid w:val="00681111"/>
    <w:rsid w:val="00681A95"/>
    <w:rsid w:val="00687FA3"/>
    <w:rsid w:val="006905A2"/>
    <w:rsid w:val="00692D2D"/>
    <w:rsid w:val="00693F29"/>
    <w:rsid w:val="00694737"/>
    <w:rsid w:val="006955A2"/>
    <w:rsid w:val="006A011B"/>
    <w:rsid w:val="006A17E0"/>
    <w:rsid w:val="006A23D4"/>
    <w:rsid w:val="006A2E17"/>
    <w:rsid w:val="006A6A8D"/>
    <w:rsid w:val="006B092D"/>
    <w:rsid w:val="006B5E34"/>
    <w:rsid w:val="006B6D69"/>
    <w:rsid w:val="006B7087"/>
    <w:rsid w:val="006C06E9"/>
    <w:rsid w:val="006C1A3B"/>
    <w:rsid w:val="006C2606"/>
    <w:rsid w:val="006C7F42"/>
    <w:rsid w:val="006D00F7"/>
    <w:rsid w:val="006D114F"/>
    <w:rsid w:val="006D2469"/>
    <w:rsid w:val="006D4598"/>
    <w:rsid w:val="006D64F3"/>
    <w:rsid w:val="006D7BBB"/>
    <w:rsid w:val="006E1A97"/>
    <w:rsid w:val="006E3C11"/>
    <w:rsid w:val="006E4E8F"/>
    <w:rsid w:val="006E50AE"/>
    <w:rsid w:val="006E5AA1"/>
    <w:rsid w:val="006E7BB7"/>
    <w:rsid w:val="006F2A8C"/>
    <w:rsid w:val="006F3149"/>
    <w:rsid w:val="006F3311"/>
    <w:rsid w:val="006F4A17"/>
    <w:rsid w:val="006F51C8"/>
    <w:rsid w:val="00700CBE"/>
    <w:rsid w:val="00700DA0"/>
    <w:rsid w:val="00700E64"/>
    <w:rsid w:val="0070147C"/>
    <w:rsid w:val="00705E02"/>
    <w:rsid w:val="00707B90"/>
    <w:rsid w:val="007122B9"/>
    <w:rsid w:val="00715D48"/>
    <w:rsid w:val="00715E03"/>
    <w:rsid w:val="00715F0E"/>
    <w:rsid w:val="00716EA7"/>
    <w:rsid w:val="00717108"/>
    <w:rsid w:val="007177BA"/>
    <w:rsid w:val="00721012"/>
    <w:rsid w:val="0072307D"/>
    <w:rsid w:val="00723BCE"/>
    <w:rsid w:val="00724942"/>
    <w:rsid w:val="00724B28"/>
    <w:rsid w:val="007256F6"/>
    <w:rsid w:val="00726AF1"/>
    <w:rsid w:val="00730769"/>
    <w:rsid w:val="00731FA8"/>
    <w:rsid w:val="00733B35"/>
    <w:rsid w:val="00736918"/>
    <w:rsid w:val="00736A98"/>
    <w:rsid w:val="00742CFA"/>
    <w:rsid w:val="00744044"/>
    <w:rsid w:val="00744082"/>
    <w:rsid w:val="00744453"/>
    <w:rsid w:val="007446E1"/>
    <w:rsid w:val="00744B36"/>
    <w:rsid w:val="00745157"/>
    <w:rsid w:val="00745FC1"/>
    <w:rsid w:val="0074787D"/>
    <w:rsid w:val="00750F63"/>
    <w:rsid w:val="00752D6F"/>
    <w:rsid w:val="00753124"/>
    <w:rsid w:val="00753286"/>
    <w:rsid w:val="007638C1"/>
    <w:rsid w:val="007642BA"/>
    <w:rsid w:val="00764DB2"/>
    <w:rsid w:val="0076510F"/>
    <w:rsid w:val="007654F0"/>
    <w:rsid w:val="00765EF5"/>
    <w:rsid w:val="00765F11"/>
    <w:rsid w:val="00766444"/>
    <w:rsid w:val="00770DAC"/>
    <w:rsid w:val="00771989"/>
    <w:rsid w:val="007723A3"/>
    <w:rsid w:val="0077362A"/>
    <w:rsid w:val="007819A0"/>
    <w:rsid w:val="00783542"/>
    <w:rsid w:val="0078372F"/>
    <w:rsid w:val="00783B7E"/>
    <w:rsid w:val="00784999"/>
    <w:rsid w:val="00786E75"/>
    <w:rsid w:val="00787DF3"/>
    <w:rsid w:val="00787F94"/>
    <w:rsid w:val="0079797F"/>
    <w:rsid w:val="00797EBF"/>
    <w:rsid w:val="00797F5B"/>
    <w:rsid w:val="007A0325"/>
    <w:rsid w:val="007A0E7B"/>
    <w:rsid w:val="007A15BC"/>
    <w:rsid w:val="007A23CE"/>
    <w:rsid w:val="007A2AEC"/>
    <w:rsid w:val="007A6284"/>
    <w:rsid w:val="007B147D"/>
    <w:rsid w:val="007B279E"/>
    <w:rsid w:val="007B538A"/>
    <w:rsid w:val="007B6EC4"/>
    <w:rsid w:val="007B6F13"/>
    <w:rsid w:val="007B6F53"/>
    <w:rsid w:val="007C0F50"/>
    <w:rsid w:val="007C1BAA"/>
    <w:rsid w:val="007C1C23"/>
    <w:rsid w:val="007C1E43"/>
    <w:rsid w:val="007C400F"/>
    <w:rsid w:val="007C5FED"/>
    <w:rsid w:val="007C6A6B"/>
    <w:rsid w:val="007C6B1E"/>
    <w:rsid w:val="007C7DFC"/>
    <w:rsid w:val="007D207A"/>
    <w:rsid w:val="007D64F2"/>
    <w:rsid w:val="007E12CC"/>
    <w:rsid w:val="007E1889"/>
    <w:rsid w:val="007E3C11"/>
    <w:rsid w:val="007E45E8"/>
    <w:rsid w:val="007E687D"/>
    <w:rsid w:val="007E761B"/>
    <w:rsid w:val="007F00D5"/>
    <w:rsid w:val="007F3038"/>
    <w:rsid w:val="007F3434"/>
    <w:rsid w:val="007F397B"/>
    <w:rsid w:val="007F40A0"/>
    <w:rsid w:val="007F4450"/>
    <w:rsid w:val="007F4D22"/>
    <w:rsid w:val="007F5DA5"/>
    <w:rsid w:val="007F6D50"/>
    <w:rsid w:val="007F750F"/>
    <w:rsid w:val="00801FA2"/>
    <w:rsid w:val="00803996"/>
    <w:rsid w:val="00804DCC"/>
    <w:rsid w:val="0080712A"/>
    <w:rsid w:val="008078F9"/>
    <w:rsid w:val="0081073D"/>
    <w:rsid w:val="00812385"/>
    <w:rsid w:val="00813130"/>
    <w:rsid w:val="008137E7"/>
    <w:rsid w:val="0081442B"/>
    <w:rsid w:val="00814BC4"/>
    <w:rsid w:val="008155AC"/>
    <w:rsid w:val="008179C8"/>
    <w:rsid w:val="008212E0"/>
    <w:rsid w:val="00821AAB"/>
    <w:rsid w:val="0082255C"/>
    <w:rsid w:val="0082280C"/>
    <w:rsid w:val="00822BA4"/>
    <w:rsid w:val="00823BC0"/>
    <w:rsid w:val="00824A2B"/>
    <w:rsid w:val="008254CE"/>
    <w:rsid w:val="0082567E"/>
    <w:rsid w:val="00826C9D"/>
    <w:rsid w:val="00827102"/>
    <w:rsid w:val="00827502"/>
    <w:rsid w:val="0083016A"/>
    <w:rsid w:val="00830CE6"/>
    <w:rsid w:val="0083130F"/>
    <w:rsid w:val="0083247A"/>
    <w:rsid w:val="00833EDB"/>
    <w:rsid w:val="00837CF4"/>
    <w:rsid w:val="0084102C"/>
    <w:rsid w:val="008426C0"/>
    <w:rsid w:val="00845EED"/>
    <w:rsid w:val="00846ED1"/>
    <w:rsid w:val="00847A74"/>
    <w:rsid w:val="00851C6B"/>
    <w:rsid w:val="00853943"/>
    <w:rsid w:val="00855FCB"/>
    <w:rsid w:val="0085616A"/>
    <w:rsid w:val="00857393"/>
    <w:rsid w:val="00860149"/>
    <w:rsid w:val="00861456"/>
    <w:rsid w:val="008635D9"/>
    <w:rsid w:val="00864391"/>
    <w:rsid w:val="00865628"/>
    <w:rsid w:val="00865E1E"/>
    <w:rsid w:val="00866A3F"/>
    <w:rsid w:val="00866A5E"/>
    <w:rsid w:val="00866B07"/>
    <w:rsid w:val="00870E4D"/>
    <w:rsid w:val="00873160"/>
    <w:rsid w:val="0087323C"/>
    <w:rsid w:val="00874F9C"/>
    <w:rsid w:val="00875482"/>
    <w:rsid w:val="0087592E"/>
    <w:rsid w:val="00875985"/>
    <w:rsid w:val="00877021"/>
    <w:rsid w:val="0087743B"/>
    <w:rsid w:val="00881751"/>
    <w:rsid w:val="00883E2F"/>
    <w:rsid w:val="008847CC"/>
    <w:rsid w:val="00885B34"/>
    <w:rsid w:val="00887028"/>
    <w:rsid w:val="00890276"/>
    <w:rsid w:val="00892AE9"/>
    <w:rsid w:val="008944C2"/>
    <w:rsid w:val="0089479B"/>
    <w:rsid w:val="0089549A"/>
    <w:rsid w:val="00895BC6"/>
    <w:rsid w:val="008972FE"/>
    <w:rsid w:val="00897F0E"/>
    <w:rsid w:val="008A2BE4"/>
    <w:rsid w:val="008A4DAD"/>
    <w:rsid w:val="008A63F8"/>
    <w:rsid w:val="008A69E3"/>
    <w:rsid w:val="008B0736"/>
    <w:rsid w:val="008B1095"/>
    <w:rsid w:val="008B2A90"/>
    <w:rsid w:val="008B425E"/>
    <w:rsid w:val="008B5687"/>
    <w:rsid w:val="008B56F9"/>
    <w:rsid w:val="008C20CA"/>
    <w:rsid w:val="008C2D4A"/>
    <w:rsid w:val="008C4416"/>
    <w:rsid w:val="008C55A7"/>
    <w:rsid w:val="008C5C29"/>
    <w:rsid w:val="008C67B6"/>
    <w:rsid w:val="008D2647"/>
    <w:rsid w:val="008D278D"/>
    <w:rsid w:val="008D375F"/>
    <w:rsid w:val="008D5F72"/>
    <w:rsid w:val="008D6534"/>
    <w:rsid w:val="008D7D56"/>
    <w:rsid w:val="008E02B4"/>
    <w:rsid w:val="008E1F40"/>
    <w:rsid w:val="008E512C"/>
    <w:rsid w:val="008E563D"/>
    <w:rsid w:val="008E6238"/>
    <w:rsid w:val="008E6BB2"/>
    <w:rsid w:val="008E6BDF"/>
    <w:rsid w:val="008F00A7"/>
    <w:rsid w:val="008F23FD"/>
    <w:rsid w:val="008F4263"/>
    <w:rsid w:val="008F4FD3"/>
    <w:rsid w:val="008F5180"/>
    <w:rsid w:val="008F5851"/>
    <w:rsid w:val="009003F8"/>
    <w:rsid w:val="00900717"/>
    <w:rsid w:val="00903113"/>
    <w:rsid w:val="00905046"/>
    <w:rsid w:val="0090645B"/>
    <w:rsid w:val="00906FBA"/>
    <w:rsid w:val="0091056A"/>
    <w:rsid w:val="00910AA0"/>
    <w:rsid w:val="00910AD8"/>
    <w:rsid w:val="00910BD3"/>
    <w:rsid w:val="009114C0"/>
    <w:rsid w:val="00911FC9"/>
    <w:rsid w:val="009136C4"/>
    <w:rsid w:val="00913F8C"/>
    <w:rsid w:val="00916D2E"/>
    <w:rsid w:val="0092256B"/>
    <w:rsid w:val="00923EA6"/>
    <w:rsid w:val="0092469C"/>
    <w:rsid w:val="0092543F"/>
    <w:rsid w:val="00926144"/>
    <w:rsid w:val="00930078"/>
    <w:rsid w:val="00932501"/>
    <w:rsid w:val="00932588"/>
    <w:rsid w:val="009330CA"/>
    <w:rsid w:val="009332B0"/>
    <w:rsid w:val="009336CD"/>
    <w:rsid w:val="00935700"/>
    <w:rsid w:val="00936D52"/>
    <w:rsid w:val="00940E16"/>
    <w:rsid w:val="009413F0"/>
    <w:rsid w:val="00941600"/>
    <w:rsid w:val="00947F60"/>
    <w:rsid w:val="00953663"/>
    <w:rsid w:val="00956B1E"/>
    <w:rsid w:val="00962608"/>
    <w:rsid w:val="00966E1B"/>
    <w:rsid w:val="0097073F"/>
    <w:rsid w:val="00970C06"/>
    <w:rsid w:val="009715BF"/>
    <w:rsid w:val="00971ACC"/>
    <w:rsid w:val="00971FC2"/>
    <w:rsid w:val="00972226"/>
    <w:rsid w:val="00972890"/>
    <w:rsid w:val="00975A1B"/>
    <w:rsid w:val="00977233"/>
    <w:rsid w:val="00977FCA"/>
    <w:rsid w:val="0098066A"/>
    <w:rsid w:val="009848B0"/>
    <w:rsid w:val="009861EB"/>
    <w:rsid w:val="0098622E"/>
    <w:rsid w:val="009866CF"/>
    <w:rsid w:val="0099227F"/>
    <w:rsid w:val="0099490D"/>
    <w:rsid w:val="00994C0E"/>
    <w:rsid w:val="009957D8"/>
    <w:rsid w:val="0099793D"/>
    <w:rsid w:val="009A08AB"/>
    <w:rsid w:val="009A176F"/>
    <w:rsid w:val="009A2F8D"/>
    <w:rsid w:val="009A3AAC"/>
    <w:rsid w:val="009B1777"/>
    <w:rsid w:val="009B532E"/>
    <w:rsid w:val="009B6821"/>
    <w:rsid w:val="009B7DBA"/>
    <w:rsid w:val="009C00E1"/>
    <w:rsid w:val="009C2022"/>
    <w:rsid w:val="009C3393"/>
    <w:rsid w:val="009C4B8C"/>
    <w:rsid w:val="009C4D4E"/>
    <w:rsid w:val="009C53AD"/>
    <w:rsid w:val="009C5596"/>
    <w:rsid w:val="009C6E4B"/>
    <w:rsid w:val="009C7383"/>
    <w:rsid w:val="009C7461"/>
    <w:rsid w:val="009C7498"/>
    <w:rsid w:val="009D16DB"/>
    <w:rsid w:val="009D349D"/>
    <w:rsid w:val="009D4032"/>
    <w:rsid w:val="009D6D02"/>
    <w:rsid w:val="009E0AD7"/>
    <w:rsid w:val="009E2940"/>
    <w:rsid w:val="009E2A31"/>
    <w:rsid w:val="009E3A7A"/>
    <w:rsid w:val="009E4B4B"/>
    <w:rsid w:val="009E4EC7"/>
    <w:rsid w:val="009E6166"/>
    <w:rsid w:val="009E73B6"/>
    <w:rsid w:val="009F0026"/>
    <w:rsid w:val="009F1035"/>
    <w:rsid w:val="009F3252"/>
    <w:rsid w:val="009F426D"/>
    <w:rsid w:val="009F627F"/>
    <w:rsid w:val="00A03BCF"/>
    <w:rsid w:val="00A04E47"/>
    <w:rsid w:val="00A051D6"/>
    <w:rsid w:val="00A05798"/>
    <w:rsid w:val="00A05BC6"/>
    <w:rsid w:val="00A1058C"/>
    <w:rsid w:val="00A12246"/>
    <w:rsid w:val="00A1308D"/>
    <w:rsid w:val="00A13831"/>
    <w:rsid w:val="00A15A22"/>
    <w:rsid w:val="00A17AA0"/>
    <w:rsid w:val="00A24E60"/>
    <w:rsid w:val="00A2613D"/>
    <w:rsid w:val="00A2653C"/>
    <w:rsid w:val="00A27461"/>
    <w:rsid w:val="00A27B58"/>
    <w:rsid w:val="00A31075"/>
    <w:rsid w:val="00A324D6"/>
    <w:rsid w:val="00A35903"/>
    <w:rsid w:val="00A36FD0"/>
    <w:rsid w:val="00A36FF6"/>
    <w:rsid w:val="00A40B08"/>
    <w:rsid w:val="00A443ED"/>
    <w:rsid w:val="00A46639"/>
    <w:rsid w:val="00A47D2B"/>
    <w:rsid w:val="00A51BD6"/>
    <w:rsid w:val="00A52569"/>
    <w:rsid w:val="00A53BD1"/>
    <w:rsid w:val="00A53E49"/>
    <w:rsid w:val="00A54B92"/>
    <w:rsid w:val="00A55C52"/>
    <w:rsid w:val="00A56BE3"/>
    <w:rsid w:val="00A57A19"/>
    <w:rsid w:val="00A60B40"/>
    <w:rsid w:val="00A612DA"/>
    <w:rsid w:val="00A62FA7"/>
    <w:rsid w:val="00A64D4F"/>
    <w:rsid w:val="00A65DEC"/>
    <w:rsid w:val="00A70588"/>
    <w:rsid w:val="00A70704"/>
    <w:rsid w:val="00A71226"/>
    <w:rsid w:val="00A71B93"/>
    <w:rsid w:val="00A71D30"/>
    <w:rsid w:val="00A72BBD"/>
    <w:rsid w:val="00A73DC7"/>
    <w:rsid w:val="00A74765"/>
    <w:rsid w:val="00A74F40"/>
    <w:rsid w:val="00A752FF"/>
    <w:rsid w:val="00A770B8"/>
    <w:rsid w:val="00A77775"/>
    <w:rsid w:val="00A81430"/>
    <w:rsid w:val="00A82E03"/>
    <w:rsid w:val="00A846E8"/>
    <w:rsid w:val="00A84EFB"/>
    <w:rsid w:val="00A85726"/>
    <w:rsid w:val="00A85C6C"/>
    <w:rsid w:val="00A92597"/>
    <w:rsid w:val="00A958D9"/>
    <w:rsid w:val="00A97259"/>
    <w:rsid w:val="00AA01FF"/>
    <w:rsid w:val="00AA07ED"/>
    <w:rsid w:val="00AA0CD3"/>
    <w:rsid w:val="00AA443E"/>
    <w:rsid w:val="00AA464C"/>
    <w:rsid w:val="00AA4AF4"/>
    <w:rsid w:val="00AA6E4A"/>
    <w:rsid w:val="00AB0E67"/>
    <w:rsid w:val="00AB3065"/>
    <w:rsid w:val="00AB32E7"/>
    <w:rsid w:val="00AB3A6A"/>
    <w:rsid w:val="00AB4333"/>
    <w:rsid w:val="00AB744C"/>
    <w:rsid w:val="00AC02DC"/>
    <w:rsid w:val="00AC0D39"/>
    <w:rsid w:val="00AC1F84"/>
    <w:rsid w:val="00AC2703"/>
    <w:rsid w:val="00AC3E2C"/>
    <w:rsid w:val="00AC6E5A"/>
    <w:rsid w:val="00AC6F42"/>
    <w:rsid w:val="00AD07D1"/>
    <w:rsid w:val="00AD0A2E"/>
    <w:rsid w:val="00AD0D34"/>
    <w:rsid w:val="00AD3B9B"/>
    <w:rsid w:val="00AD459F"/>
    <w:rsid w:val="00AD4A34"/>
    <w:rsid w:val="00AD5BF4"/>
    <w:rsid w:val="00AE1F2A"/>
    <w:rsid w:val="00AE1F88"/>
    <w:rsid w:val="00AE2091"/>
    <w:rsid w:val="00AE4586"/>
    <w:rsid w:val="00AE4740"/>
    <w:rsid w:val="00AE4FEB"/>
    <w:rsid w:val="00AE5109"/>
    <w:rsid w:val="00AE55B9"/>
    <w:rsid w:val="00AE5F4B"/>
    <w:rsid w:val="00AE5FB4"/>
    <w:rsid w:val="00AE695C"/>
    <w:rsid w:val="00AE7A1F"/>
    <w:rsid w:val="00AE7D55"/>
    <w:rsid w:val="00AF1BA5"/>
    <w:rsid w:val="00AF5B51"/>
    <w:rsid w:val="00AF6A82"/>
    <w:rsid w:val="00B058E5"/>
    <w:rsid w:val="00B070E5"/>
    <w:rsid w:val="00B11856"/>
    <w:rsid w:val="00B12310"/>
    <w:rsid w:val="00B129A0"/>
    <w:rsid w:val="00B15000"/>
    <w:rsid w:val="00B15259"/>
    <w:rsid w:val="00B16967"/>
    <w:rsid w:val="00B20D71"/>
    <w:rsid w:val="00B219E4"/>
    <w:rsid w:val="00B224D4"/>
    <w:rsid w:val="00B22674"/>
    <w:rsid w:val="00B23BDB"/>
    <w:rsid w:val="00B2491D"/>
    <w:rsid w:val="00B24A05"/>
    <w:rsid w:val="00B25BA7"/>
    <w:rsid w:val="00B27EBC"/>
    <w:rsid w:val="00B303D2"/>
    <w:rsid w:val="00B30FA2"/>
    <w:rsid w:val="00B327CC"/>
    <w:rsid w:val="00B3691A"/>
    <w:rsid w:val="00B36B66"/>
    <w:rsid w:val="00B37AAA"/>
    <w:rsid w:val="00B40B3A"/>
    <w:rsid w:val="00B4198C"/>
    <w:rsid w:val="00B4248D"/>
    <w:rsid w:val="00B427CA"/>
    <w:rsid w:val="00B42C0B"/>
    <w:rsid w:val="00B432B2"/>
    <w:rsid w:val="00B43EED"/>
    <w:rsid w:val="00B4452F"/>
    <w:rsid w:val="00B447E5"/>
    <w:rsid w:val="00B45C04"/>
    <w:rsid w:val="00B5030B"/>
    <w:rsid w:val="00B50EE2"/>
    <w:rsid w:val="00B52169"/>
    <w:rsid w:val="00B60A84"/>
    <w:rsid w:val="00B60C35"/>
    <w:rsid w:val="00B614B1"/>
    <w:rsid w:val="00B63E13"/>
    <w:rsid w:val="00B6577B"/>
    <w:rsid w:val="00B65A14"/>
    <w:rsid w:val="00B66EFE"/>
    <w:rsid w:val="00B70434"/>
    <w:rsid w:val="00B72B1F"/>
    <w:rsid w:val="00B73482"/>
    <w:rsid w:val="00B737BE"/>
    <w:rsid w:val="00B73C3F"/>
    <w:rsid w:val="00B75117"/>
    <w:rsid w:val="00B762A1"/>
    <w:rsid w:val="00B8368B"/>
    <w:rsid w:val="00B845E7"/>
    <w:rsid w:val="00B84647"/>
    <w:rsid w:val="00B86807"/>
    <w:rsid w:val="00B904DF"/>
    <w:rsid w:val="00B91E36"/>
    <w:rsid w:val="00B92079"/>
    <w:rsid w:val="00B95B69"/>
    <w:rsid w:val="00BA1989"/>
    <w:rsid w:val="00BA1BEA"/>
    <w:rsid w:val="00BA3294"/>
    <w:rsid w:val="00BA4AB2"/>
    <w:rsid w:val="00BA7F3B"/>
    <w:rsid w:val="00BB1BB3"/>
    <w:rsid w:val="00BB217A"/>
    <w:rsid w:val="00BB332C"/>
    <w:rsid w:val="00BB5D96"/>
    <w:rsid w:val="00BB6446"/>
    <w:rsid w:val="00BB73B8"/>
    <w:rsid w:val="00BC00CB"/>
    <w:rsid w:val="00BC2569"/>
    <w:rsid w:val="00BC345E"/>
    <w:rsid w:val="00BC3AE8"/>
    <w:rsid w:val="00BC40BC"/>
    <w:rsid w:val="00BC4D6F"/>
    <w:rsid w:val="00BC4F1F"/>
    <w:rsid w:val="00BC51BD"/>
    <w:rsid w:val="00BC6EB4"/>
    <w:rsid w:val="00BD03D0"/>
    <w:rsid w:val="00BD1639"/>
    <w:rsid w:val="00BD2699"/>
    <w:rsid w:val="00BD2FDA"/>
    <w:rsid w:val="00BD49A1"/>
    <w:rsid w:val="00BD663D"/>
    <w:rsid w:val="00BD7059"/>
    <w:rsid w:val="00BE035A"/>
    <w:rsid w:val="00BE074E"/>
    <w:rsid w:val="00BE0CE2"/>
    <w:rsid w:val="00BE2592"/>
    <w:rsid w:val="00BE41E8"/>
    <w:rsid w:val="00BE4C40"/>
    <w:rsid w:val="00BE51E5"/>
    <w:rsid w:val="00BE686A"/>
    <w:rsid w:val="00BE72D1"/>
    <w:rsid w:val="00BE7951"/>
    <w:rsid w:val="00BF47CB"/>
    <w:rsid w:val="00BF5FE8"/>
    <w:rsid w:val="00BF6984"/>
    <w:rsid w:val="00BF7900"/>
    <w:rsid w:val="00C00F92"/>
    <w:rsid w:val="00C03136"/>
    <w:rsid w:val="00C051C1"/>
    <w:rsid w:val="00C06A1A"/>
    <w:rsid w:val="00C11070"/>
    <w:rsid w:val="00C11801"/>
    <w:rsid w:val="00C11DB3"/>
    <w:rsid w:val="00C141AF"/>
    <w:rsid w:val="00C1507B"/>
    <w:rsid w:val="00C16B16"/>
    <w:rsid w:val="00C17648"/>
    <w:rsid w:val="00C1795B"/>
    <w:rsid w:val="00C20131"/>
    <w:rsid w:val="00C20EDD"/>
    <w:rsid w:val="00C213DB"/>
    <w:rsid w:val="00C21AB7"/>
    <w:rsid w:val="00C21CE7"/>
    <w:rsid w:val="00C23E20"/>
    <w:rsid w:val="00C24208"/>
    <w:rsid w:val="00C24E23"/>
    <w:rsid w:val="00C26DA3"/>
    <w:rsid w:val="00C304B9"/>
    <w:rsid w:val="00C309B2"/>
    <w:rsid w:val="00C3285C"/>
    <w:rsid w:val="00C34423"/>
    <w:rsid w:val="00C36D4A"/>
    <w:rsid w:val="00C3763A"/>
    <w:rsid w:val="00C379BA"/>
    <w:rsid w:val="00C408C5"/>
    <w:rsid w:val="00C41928"/>
    <w:rsid w:val="00C41DA2"/>
    <w:rsid w:val="00C4203C"/>
    <w:rsid w:val="00C432C0"/>
    <w:rsid w:val="00C453B2"/>
    <w:rsid w:val="00C45DFE"/>
    <w:rsid w:val="00C4606F"/>
    <w:rsid w:val="00C464A7"/>
    <w:rsid w:val="00C47AA7"/>
    <w:rsid w:val="00C50509"/>
    <w:rsid w:val="00C51759"/>
    <w:rsid w:val="00C51854"/>
    <w:rsid w:val="00C51FDC"/>
    <w:rsid w:val="00C52136"/>
    <w:rsid w:val="00C529B2"/>
    <w:rsid w:val="00C53183"/>
    <w:rsid w:val="00C54B39"/>
    <w:rsid w:val="00C61ABB"/>
    <w:rsid w:val="00C639CE"/>
    <w:rsid w:val="00C676AC"/>
    <w:rsid w:val="00C71E35"/>
    <w:rsid w:val="00C728A2"/>
    <w:rsid w:val="00C7387E"/>
    <w:rsid w:val="00C76129"/>
    <w:rsid w:val="00C76420"/>
    <w:rsid w:val="00C805CE"/>
    <w:rsid w:val="00C80B8A"/>
    <w:rsid w:val="00C8147D"/>
    <w:rsid w:val="00C82077"/>
    <w:rsid w:val="00C8264A"/>
    <w:rsid w:val="00C827BF"/>
    <w:rsid w:val="00C82883"/>
    <w:rsid w:val="00C84446"/>
    <w:rsid w:val="00C8456A"/>
    <w:rsid w:val="00C86A6C"/>
    <w:rsid w:val="00C904C6"/>
    <w:rsid w:val="00C90B96"/>
    <w:rsid w:val="00C92238"/>
    <w:rsid w:val="00C92C42"/>
    <w:rsid w:val="00C94571"/>
    <w:rsid w:val="00C97215"/>
    <w:rsid w:val="00CA1255"/>
    <w:rsid w:val="00CA12F4"/>
    <w:rsid w:val="00CA1F73"/>
    <w:rsid w:val="00CA213E"/>
    <w:rsid w:val="00CA396A"/>
    <w:rsid w:val="00CA4619"/>
    <w:rsid w:val="00CA4793"/>
    <w:rsid w:val="00CA488B"/>
    <w:rsid w:val="00CA517B"/>
    <w:rsid w:val="00CA7C9A"/>
    <w:rsid w:val="00CB19BC"/>
    <w:rsid w:val="00CB2079"/>
    <w:rsid w:val="00CB3532"/>
    <w:rsid w:val="00CB4C81"/>
    <w:rsid w:val="00CB4FDD"/>
    <w:rsid w:val="00CB5D92"/>
    <w:rsid w:val="00CB7374"/>
    <w:rsid w:val="00CB7B7A"/>
    <w:rsid w:val="00CC1A58"/>
    <w:rsid w:val="00CC1FD1"/>
    <w:rsid w:val="00CC2CC3"/>
    <w:rsid w:val="00CC4B15"/>
    <w:rsid w:val="00CD05AE"/>
    <w:rsid w:val="00CD1F24"/>
    <w:rsid w:val="00CD2632"/>
    <w:rsid w:val="00CD3E5B"/>
    <w:rsid w:val="00CD4049"/>
    <w:rsid w:val="00CD41A9"/>
    <w:rsid w:val="00CD49FF"/>
    <w:rsid w:val="00CD5813"/>
    <w:rsid w:val="00CE03DA"/>
    <w:rsid w:val="00CE098F"/>
    <w:rsid w:val="00CE1D7B"/>
    <w:rsid w:val="00CE2212"/>
    <w:rsid w:val="00CE408F"/>
    <w:rsid w:val="00CE4DBA"/>
    <w:rsid w:val="00CE5FF9"/>
    <w:rsid w:val="00CE6D27"/>
    <w:rsid w:val="00CE769D"/>
    <w:rsid w:val="00CF1AF6"/>
    <w:rsid w:val="00CF3358"/>
    <w:rsid w:val="00CF340B"/>
    <w:rsid w:val="00D00763"/>
    <w:rsid w:val="00D01183"/>
    <w:rsid w:val="00D01E1D"/>
    <w:rsid w:val="00D0476C"/>
    <w:rsid w:val="00D04DAA"/>
    <w:rsid w:val="00D06133"/>
    <w:rsid w:val="00D0629E"/>
    <w:rsid w:val="00D064AA"/>
    <w:rsid w:val="00D101D6"/>
    <w:rsid w:val="00D12946"/>
    <w:rsid w:val="00D12ECA"/>
    <w:rsid w:val="00D13AAC"/>
    <w:rsid w:val="00D1430C"/>
    <w:rsid w:val="00D17002"/>
    <w:rsid w:val="00D205C3"/>
    <w:rsid w:val="00D23E6B"/>
    <w:rsid w:val="00D25958"/>
    <w:rsid w:val="00D2730A"/>
    <w:rsid w:val="00D31247"/>
    <w:rsid w:val="00D3199C"/>
    <w:rsid w:val="00D3355F"/>
    <w:rsid w:val="00D33AD7"/>
    <w:rsid w:val="00D34280"/>
    <w:rsid w:val="00D40C7B"/>
    <w:rsid w:val="00D41417"/>
    <w:rsid w:val="00D4273A"/>
    <w:rsid w:val="00D4289A"/>
    <w:rsid w:val="00D42ACC"/>
    <w:rsid w:val="00D43167"/>
    <w:rsid w:val="00D50B8A"/>
    <w:rsid w:val="00D51528"/>
    <w:rsid w:val="00D51FD8"/>
    <w:rsid w:val="00D52876"/>
    <w:rsid w:val="00D54E02"/>
    <w:rsid w:val="00D56322"/>
    <w:rsid w:val="00D5634A"/>
    <w:rsid w:val="00D56D98"/>
    <w:rsid w:val="00D60B96"/>
    <w:rsid w:val="00D63B64"/>
    <w:rsid w:val="00D64527"/>
    <w:rsid w:val="00D66B5A"/>
    <w:rsid w:val="00D73E4B"/>
    <w:rsid w:val="00D754F9"/>
    <w:rsid w:val="00D765AF"/>
    <w:rsid w:val="00D777CC"/>
    <w:rsid w:val="00D8178F"/>
    <w:rsid w:val="00D82687"/>
    <w:rsid w:val="00D85A31"/>
    <w:rsid w:val="00D86AC2"/>
    <w:rsid w:val="00D87459"/>
    <w:rsid w:val="00D9104F"/>
    <w:rsid w:val="00D93E0C"/>
    <w:rsid w:val="00D93F9D"/>
    <w:rsid w:val="00D94E6E"/>
    <w:rsid w:val="00D95DA8"/>
    <w:rsid w:val="00DA2B68"/>
    <w:rsid w:val="00DA41F1"/>
    <w:rsid w:val="00DA4458"/>
    <w:rsid w:val="00DA52D8"/>
    <w:rsid w:val="00DA5554"/>
    <w:rsid w:val="00DA69E1"/>
    <w:rsid w:val="00DA74C7"/>
    <w:rsid w:val="00DB1437"/>
    <w:rsid w:val="00DB1AAE"/>
    <w:rsid w:val="00DB2812"/>
    <w:rsid w:val="00DB2BFD"/>
    <w:rsid w:val="00DB42CC"/>
    <w:rsid w:val="00DB5308"/>
    <w:rsid w:val="00DB61D9"/>
    <w:rsid w:val="00DB6483"/>
    <w:rsid w:val="00DB7473"/>
    <w:rsid w:val="00DC018B"/>
    <w:rsid w:val="00DC1305"/>
    <w:rsid w:val="00DC508C"/>
    <w:rsid w:val="00DC576A"/>
    <w:rsid w:val="00DC6B8C"/>
    <w:rsid w:val="00DD1566"/>
    <w:rsid w:val="00DD1EEC"/>
    <w:rsid w:val="00DD4076"/>
    <w:rsid w:val="00DD591F"/>
    <w:rsid w:val="00DD6698"/>
    <w:rsid w:val="00DD67DB"/>
    <w:rsid w:val="00DD75AB"/>
    <w:rsid w:val="00DE27FD"/>
    <w:rsid w:val="00DE2E22"/>
    <w:rsid w:val="00DE3FE3"/>
    <w:rsid w:val="00DE5AF1"/>
    <w:rsid w:val="00DE5B41"/>
    <w:rsid w:val="00DE6D54"/>
    <w:rsid w:val="00DF0B9C"/>
    <w:rsid w:val="00DF0CB6"/>
    <w:rsid w:val="00DF2A98"/>
    <w:rsid w:val="00DF4533"/>
    <w:rsid w:val="00DF72C3"/>
    <w:rsid w:val="00DF7562"/>
    <w:rsid w:val="00E00190"/>
    <w:rsid w:val="00E00672"/>
    <w:rsid w:val="00E01802"/>
    <w:rsid w:val="00E0216A"/>
    <w:rsid w:val="00E026A0"/>
    <w:rsid w:val="00E02C73"/>
    <w:rsid w:val="00E071EA"/>
    <w:rsid w:val="00E10A42"/>
    <w:rsid w:val="00E137AA"/>
    <w:rsid w:val="00E14EC4"/>
    <w:rsid w:val="00E1680B"/>
    <w:rsid w:val="00E17010"/>
    <w:rsid w:val="00E17EE2"/>
    <w:rsid w:val="00E2048E"/>
    <w:rsid w:val="00E214BA"/>
    <w:rsid w:val="00E228AF"/>
    <w:rsid w:val="00E2296F"/>
    <w:rsid w:val="00E24005"/>
    <w:rsid w:val="00E26F22"/>
    <w:rsid w:val="00E271DF"/>
    <w:rsid w:val="00E30325"/>
    <w:rsid w:val="00E33BDB"/>
    <w:rsid w:val="00E33ECE"/>
    <w:rsid w:val="00E35B2F"/>
    <w:rsid w:val="00E35E75"/>
    <w:rsid w:val="00E360C8"/>
    <w:rsid w:val="00E36161"/>
    <w:rsid w:val="00E372FB"/>
    <w:rsid w:val="00E3757B"/>
    <w:rsid w:val="00E45255"/>
    <w:rsid w:val="00E51493"/>
    <w:rsid w:val="00E5269E"/>
    <w:rsid w:val="00E526BD"/>
    <w:rsid w:val="00E52BC2"/>
    <w:rsid w:val="00E52D6F"/>
    <w:rsid w:val="00E54449"/>
    <w:rsid w:val="00E5591E"/>
    <w:rsid w:val="00E55AEA"/>
    <w:rsid w:val="00E56D6B"/>
    <w:rsid w:val="00E60505"/>
    <w:rsid w:val="00E62D67"/>
    <w:rsid w:val="00E63CED"/>
    <w:rsid w:val="00E64DDA"/>
    <w:rsid w:val="00E6528C"/>
    <w:rsid w:val="00E6730E"/>
    <w:rsid w:val="00E67A0E"/>
    <w:rsid w:val="00E67DB2"/>
    <w:rsid w:val="00E72D7B"/>
    <w:rsid w:val="00E73368"/>
    <w:rsid w:val="00E734EE"/>
    <w:rsid w:val="00E75080"/>
    <w:rsid w:val="00E75B69"/>
    <w:rsid w:val="00E75DBD"/>
    <w:rsid w:val="00E76A73"/>
    <w:rsid w:val="00E779EE"/>
    <w:rsid w:val="00E8417F"/>
    <w:rsid w:val="00E84A21"/>
    <w:rsid w:val="00E905F8"/>
    <w:rsid w:val="00E92E50"/>
    <w:rsid w:val="00E944AB"/>
    <w:rsid w:val="00E97D81"/>
    <w:rsid w:val="00EA0942"/>
    <w:rsid w:val="00EA098E"/>
    <w:rsid w:val="00EA0AE4"/>
    <w:rsid w:val="00EA0D18"/>
    <w:rsid w:val="00EA2F38"/>
    <w:rsid w:val="00EA370E"/>
    <w:rsid w:val="00EA372E"/>
    <w:rsid w:val="00EA4065"/>
    <w:rsid w:val="00EA4C60"/>
    <w:rsid w:val="00EA7CDC"/>
    <w:rsid w:val="00EB0972"/>
    <w:rsid w:val="00EB3B92"/>
    <w:rsid w:val="00EB40AE"/>
    <w:rsid w:val="00EB6311"/>
    <w:rsid w:val="00EB6C1A"/>
    <w:rsid w:val="00EB6D55"/>
    <w:rsid w:val="00EC07BD"/>
    <w:rsid w:val="00EC1283"/>
    <w:rsid w:val="00EC393E"/>
    <w:rsid w:val="00EC5A5A"/>
    <w:rsid w:val="00EC6081"/>
    <w:rsid w:val="00EC6A77"/>
    <w:rsid w:val="00EC7A4B"/>
    <w:rsid w:val="00ED0C6C"/>
    <w:rsid w:val="00ED17E9"/>
    <w:rsid w:val="00ED19C7"/>
    <w:rsid w:val="00ED1BA2"/>
    <w:rsid w:val="00ED2009"/>
    <w:rsid w:val="00ED20FF"/>
    <w:rsid w:val="00ED2319"/>
    <w:rsid w:val="00ED30F2"/>
    <w:rsid w:val="00ED5AD7"/>
    <w:rsid w:val="00ED5EAD"/>
    <w:rsid w:val="00ED5F78"/>
    <w:rsid w:val="00EE2D3E"/>
    <w:rsid w:val="00EE6326"/>
    <w:rsid w:val="00EE72EC"/>
    <w:rsid w:val="00EE7371"/>
    <w:rsid w:val="00EF20A4"/>
    <w:rsid w:val="00EF3703"/>
    <w:rsid w:val="00EF3FE6"/>
    <w:rsid w:val="00EF47AA"/>
    <w:rsid w:val="00EF4F41"/>
    <w:rsid w:val="00F00068"/>
    <w:rsid w:val="00F014D7"/>
    <w:rsid w:val="00F044E9"/>
    <w:rsid w:val="00F04C79"/>
    <w:rsid w:val="00F06E34"/>
    <w:rsid w:val="00F10689"/>
    <w:rsid w:val="00F10B04"/>
    <w:rsid w:val="00F1236E"/>
    <w:rsid w:val="00F12534"/>
    <w:rsid w:val="00F13A3F"/>
    <w:rsid w:val="00F21572"/>
    <w:rsid w:val="00F21C2E"/>
    <w:rsid w:val="00F2410F"/>
    <w:rsid w:val="00F25BF7"/>
    <w:rsid w:val="00F25EFD"/>
    <w:rsid w:val="00F26587"/>
    <w:rsid w:val="00F31557"/>
    <w:rsid w:val="00F31CE1"/>
    <w:rsid w:val="00F329E9"/>
    <w:rsid w:val="00F32B2D"/>
    <w:rsid w:val="00F32E58"/>
    <w:rsid w:val="00F332A8"/>
    <w:rsid w:val="00F3496C"/>
    <w:rsid w:val="00F35AEA"/>
    <w:rsid w:val="00F35C56"/>
    <w:rsid w:val="00F35FFA"/>
    <w:rsid w:val="00F400CD"/>
    <w:rsid w:val="00F40994"/>
    <w:rsid w:val="00F40D07"/>
    <w:rsid w:val="00F42660"/>
    <w:rsid w:val="00F52BAD"/>
    <w:rsid w:val="00F53A4C"/>
    <w:rsid w:val="00F5583F"/>
    <w:rsid w:val="00F55B99"/>
    <w:rsid w:val="00F55C19"/>
    <w:rsid w:val="00F56260"/>
    <w:rsid w:val="00F61494"/>
    <w:rsid w:val="00F65F26"/>
    <w:rsid w:val="00F709C2"/>
    <w:rsid w:val="00F736CF"/>
    <w:rsid w:val="00F73C8B"/>
    <w:rsid w:val="00F75C9B"/>
    <w:rsid w:val="00F8128B"/>
    <w:rsid w:val="00F82BC1"/>
    <w:rsid w:val="00F83304"/>
    <w:rsid w:val="00F838CD"/>
    <w:rsid w:val="00F8787F"/>
    <w:rsid w:val="00F87AD4"/>
    <w:rsid w:val="00F915AA"/>
    <w:rsid w:val="00F91C72"/>
    <w:rsid w:val="00F9411D"/>
    <w:rsid w:val="00F94404"/>
    <w:rsid w:val="00FA146A"/>
    <w:rsid w:val="00FA2247"/>
    <w:rsid w:val="00FA29C1"/>
    <w:rsid w:val="00FA3385"/>
    <w:rsid w:val="00FA7AD2"/>
    <w:rsid w:val="00FB0AA3"/>
    <w:rsid w:val="00FB1221"/>
    <w:rsid w:val="00FB29C8"/>
    <w:rsid w:val="00FB4303"/>
    <w:rsid w:val="00FB7A54"/>
    <w:rsid w:val="00FC07B0"/>
    <w:rsid w:val="00FC32E4"/>
    <w:rsid w:val="00FC3BC7"/>
    <w:rsid w:val="00FC4955"/>
    <w:rsid w:val="00FC5126"/>
    <w:rsid w:val="00FC7625"/>
    <w:rsid w:val="00FD4799"/>
    <w:rsid w:val="00FD4B0C"/>
    <w:rsid w:val="00FD4C47"/>
    <w:rsid w:val="00FD6CD3"/>
    <w:rsid w:val="00FE04CE"/>
    <w:rsid w:val="00FE1761"/>
    <w:rsid w:val="00FE17C7"/>
    <w:rsid w:val="00FE1CC7"/>
    <w:rsid w:val="00FE263F"/>
    <w:rsid w:val="00FE416B"/>
    <w:rsid w:val="00FE4A83"/>
    <w:rsid w:val="00FE5474"/>
    <w:rsid w:val="00FE7A69"/>
    <w:rsid w:val="00FE7DD5"/>
    <w:rsid w:val="00FF15B0"/>
    <w:rsid w:val="00FF28EF"/>
    <w:rsid w:val="00FF2988"/>
    <w:rsid w:val="00FF6AD1"/>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doNotIncludeSubdocsInStats/>
  <w15:docId w15:val="{8162EDF8-2675-4E01-B021-5E52CD0D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93"/>
    <w:rPr>
      <w:rFonts w:ascii="Arial" w:hAnsi="Arial"/>
      <w:sz w:val="22"/>
      <w:szCs w:val="22"/>
    </w:rPr>
  </w:style>
  <w:style w:type="paragraph" w:styleId="Heading1">
    <w:name w:val="heading 1"/>
    <w:basedOn w:val="Normal"/>
    <w:next w:val="Normal"/>
    <w:link w:val="Heading1Char"/>
    <w:qFormat/>
    <w:rsid w:val="00F55B9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F6984"/>
    <w:pPr>
      <w:keepNext/>
      <w:spacing w:before="120" w:after="60"/>
      <w:outlineLvl w:val="1"/>
    </w:pPr>
    <w:rPr>
      <w:rFonts w:cs="Arial"/>
      <w:b/>
      <w:bCs/>
      <w:iCs/>
      <w:sz w:val="24"/>
      <w:szCs w:val="24"/>
    </w:rPr>
  </w:style>
  <w:style w:type="paragraph" w:styleId="Heading3">
    <w:name w:val="heading 3"/>
    <w:basedOn w:val="Normal"/>
    <w:next w:val="Normal"/>
    <w:qFormat/>
    <w:rsid w:val="00F55B99"/>
    <w:pPr>
      <w:keepNext/>
      <w:spacing w:before="240" w:after="60"/>
      <w:outlineLvl w:val="2"/>
    </w:pPr>
    <w:rPr>
      <w:rFonts w:cs="Arial"/>
      <w:b/>
      <w:bCs/>
      <w:sz w:val="26"/>
      <w:szCs w:val="26"/>
    </w:rPr>
  </w:style>
  <w:style w:type="paragraph" w:styleId="Heading4">
    <w:name w:val="heading 4"/>
    <w:basedOn w:val="Normal"/>
    <w:next w:val="Normal"/>
    <w:qFormat/>
    <w:rsid w:val="00F55B99"/>
    <w:pPr>
      <w:keepNext/>
      <w:tabs>
        <w:tab w:val="num" w:pos="1887"/>
      </w:tabs>
      <w:spacing w:after="240"/>
      <w:ind w:left="1887" w:hanging="960"/>
      <w:jc w:val="both"/>
      <w:outlineLvl w:val="3"/>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55B99"/>
    <w:pPr>
      <w:spacing w:after="240"/>
      <w:ind w:left="482"/>
      <w:jc w:val="both"/>
    </w:pPr>
    <w:rPr>
      <w:rFonts w:ascii="Times New Roman" w:hAnsi="Times New Roman"/>
      <w:sz w:val="24"/>
      <w:szCs w:val="20"/>
    </w:rPr>
  </w:style>
  <w:style w:type="paragraph" w:customStyle="1" w:styleId="Ueber1">
    <w:name w:val="Ueber 1"/>
    <w:basedOn w:val="Heading1"/>
    <w:next w:val="Normal"/>
    <w:rsid w:val="00F55B99"/>
    <w:pPr>
      <w:numPr>
        <w:numId w:val="1"/>
      </w:numPr>
      <w:spacing w:before="480" w:after="240" w:line="320" w:lineRule="exact"/>
      <w:jc w:val="both"/>
    </w:pPr>
    <w:rPr>
      <w:sz w:val="28"/>
    </w:rPr>
  </w:style>
  <w:style w:type="paragraph" w:customStyle="1" w:styleId="Ueber2">
    <w:name w:val="Ueber 2"/>
    <w:basedOn w:val="Heading2"/>
    <w:next w:val="Normal"/>
    <w:rsid w:val="00F55B99"/>
    <w:pPr>
      <w:numPr>
        <w:ilvl w:val="1"/>
        <w:numId w:val="1"/>
      </w:numPr>
      <w:spacing w:before="360" w:after="240" w:line="320" w:lineRule="exact"/>
      <w:jc w:val="both"/>
    </w:pPr>
  </w:style>
  <w:style w:type="paragraph" w:customStyle="1" w:styleId="Ueber3">
    <w:name w:val="Ueber 3"/>
    <w:basedOn w:val="Heading3"/>
    <w:next w:val="Normal"/>
    <w:rsid w:val="00F55B99"/>
    <w:pPr>
      <w:numPr>
        <w:ilvl w:val="2"/>
        <w:numId w:val="1"/>
      </w:numPr>
      <w:spacing w:before="360" w:after="240" w:line="240" w:lineRule="exact"/>
      <w:jc w:val="both"/>
    </w:pPr>
    <w:rPr>
      <w:sz w:val="24"/>
    </w:rPr>
  </w:style>
  <w:style w:type="paragraph" w:styleId="Header">
    <w:name w:val="header"/>
    <w:basedOn w:val="Normal"/>
    <w:link w:val="HeaderChar"/>
    <w:uiPriority w:val="99"/>
    <w:rsid w:val="00F55B99"/>
    <w:pPr>
      <w:tabs>
        <w:tab w:val="center" w:pos="4536"/>
        <w:tab w:val="right" w:pos="9072"/>
      </w:tabs>
    </w:pPr>
  </w:style>
  <w:style w:type="paragraph" w:styleId="Footer">
    <w:name w:val="footer"/>
    <w:basedOn w:val="Normal"/>
    <w:rsid w:val="00F55B99"/>
    <w:pPr>
      <w:tabs>
        <w:tab w:val="center" w:pos="4536"/>
        <w:tab w:val="right" w:pos="9072"/>
      </w:tabs>
    </w:pPr>
  </w:style>
  <w:style w:type="character" w:styleId="Hyperlink">
    <w:name w:val="Hyperlink"/>
    <w:uiPriority w:val="99"/>
    <w:rsid w:val="00F55B99"/>
    <w:rPr>
      <w:color w:val="0000FF"/>
      <w:u w:val="single"/>
    </w:rPr>
  </w:style>
  <w:style w:type="paragraph" w:customStyle="1" w:styleId="NumPar1">
    <w:name w:val="NumPar 1"/>
    <w:basedOn w:val="Heading1"/>
    <w:next w:val="Text1"/>
    <w:rsid w:val="00F55B99"/>
    <w:pPr>
      <w:keepNext w:val="0"/>
      <w:tabs>
        <w:tab w:val="num" w:pos="480"/>
      </w:tabs>
      <w:spacing w:before="0" w:after="240"/>
      <w:ind w:left="480" w:hanging="480"/>
      <w:jc w:val="both"/>
      <w:outlineLvl w:val="9"/>
    </w:pPr>
    <w:rPr>
      <w:rFonts w:ascii="Times New Roman" w:hAnsi="Times New Roman" w:cs="Times New Roman"/>
      <w:b w:val="0"/>
      <w:bCs w:val="0"/>
      <w:kern w:val="0"/>
      <w:sz w:val="24"/>
      <w:szCs w:val="20"/>
    </w:rPr>
  </w:style>
  <w:style w:type="paragraph" w:styleId="FootnoteText">
    <w:name w:val="footnote text"/>
    <w:basedOn w:val="Normal"/>
    <w:semiHidden/>
    <w:rsid w:val="00F55B99"/>
    <w:rPr>
      <w:sz w:val="20"/>
      <w:szCs w:val="20"/>
    </w:rPr>
  </w:style>
  <w:style w:type="character" w:styleId="FootnoteReference">
    <w:name w:val="footnote reference"/>
    <w:semiHidden/>
    <w:rsid w:val="00F55B99"/>
    <w:rPr>
      <w:vertAlign w:val="superscript"/>
    </w:rPr>
  </w:style>
  <w:style w:type="paragraph" w:customStyle="1" w:styleId="StandardText">
    <w:name w:val="Standard Text"/>
    <w:basedOn w:val="Normal"/>
    <w:rsid w:val="00F55B99"/>
    <w:pPr>
      <w:spacing w:after="240" w:line="240" w:lineRule="exact"/>
      <w:jc w:val="both"/>
    </w:pPr>
    <w:rPr>
      <w:rFonts w:ascii="Times New Roman" w:hAnsi="Times New Roman"/>
      <w:sz w:val="24"/>
      <w:szCs w:val="24"/>
    </w:rPr>
  </w:style>
  <w:style w:type="table" w:styleId="TableGrid">
    <w:name w:val="Table Grid"/>
    <w:basedOn w:val="TableNormal"/>
    <w:rsid w:val="00F5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punkt1">
    <w:name w:val="Unterpunkt 1"/>
    <w:rsid w:val="00FB29C8"/>
    <w:pPr>
      <w:tabs>
        <w:tab w:val="num" w:pos="720"/>
      </w:tabs>
      <w:spacing w:before="240" w:after="240" w:line="360" w:lineRule="auto"/>
      <w:ind w:left="720" w:hanging="360"/>
      <w:jc w:val="both"/>
    </w:pPr>
    <w:rPr>
      <w:rFonts w:ascii="Arial" w:hAnsi="Arial"/>
      <w:sz w:val="22"/>
    </w:rPr>
  </w:style>
  <w:style w:type="paragraph" w:customStyle="1" w:styleId="Unterpunkt2">
    <w:name w:val="Unterpunkt 2"/>
    <w:basedOn w:val="Unterpunkt1"/>
    <w:rsid w:val="00FB29C8"/>
    <w:pPr>
      <w:tabs>
        <w:tab w:val="clear" w:pos="720"/>
      </w:tabs>
      <w:spacing w:before="0" w:after="60"/>
      <w:ind w:left="0" w:firstLine="0"/>
    </w:pPr>
  </w:style>
  <w:style w:type="character" w:styleId="PageNumber">
    <w:name w:val="page number"/>
    <w:basedOn w:val="DefaultParagraphFont"/>
    <w:rsid w:val="00F87AD4"/>
  </w:style>
  <w:style w:type="paragraph" w:styleId="NormalWeb">
    <w:name w:val="Normal (Web)"/>
    <w:basedOn w:val="Normal"/>
    <w:rsid w:val="00F87AD4"/>
    <w:pPr>
      <w:spacing w:before="100" w:beforeAutospacing="1" w:after="100" w:afterAutospacing="1"/>
    </w:pPr>
    <w:rPr>
      <w:sz w:val="20"/>
      <w:szCs w:val="20"/>
    </w:rPr>
  </w:style>
  <w:style w:type="character" w:styleId="FollowedHyperlink">
    <w:name w:val="FollowedHyperlink"/>
    <w:rsid w:val="00F87AD4"/>
    <w:rPr>
      <w:color w:val="800080"/>
      <w:u w:val="single"/>
    </w:rPr>
  </w:style>
  <w:style w:type="paragraph" w:customStyle="1" w:styleId="xl24">
    <w:name w:val="xl24"/>
    <w:basedOn w:val="Normal"/>
    <w:rsid w:val="00F87A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rPr>
  </w:style>
  <w:style w:type="paragraph" w:customStyle="1" w:styleId="xl25">
    <w:name w:val="xl25"/>
    <w:basedOn w:val="Normal"/>
    <w:rsid w:val="00F87A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rPr>
  </w:style>
  <w:style w:type="paragraph" w:customStyle="1" w:styleId="xl26">
    <w:name w:val="xl26"/>
    <w:basedOn w:val="Normal"/>
    <w:rsid w:val="00F87AD4"/>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Arial"/>
      <w:b/>
      <w:bCs/>
      <w:color w:val="000000"/>
      <w:sz w:val="24"/>
      <w:szCs w:val="24"/>
    </w:rPr>
  </w:style>
  <w:style w:type="paragraph" w:customStyle="1" w:styleId="xl27">
    <w:name w:val="xl27"/>
    <w:basedOn w:val="Normal"/>
    <w:rsid w:val="00F87AD4"/>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cs="Arial"/>
      <w:b/>
      <w:bCs/>
      <w:color w:val="000000"/>
      <w:sz w:val="24"/>
      <w:szCs w:val="24"/>
    </w:rPr>
  </w:style>
  <w:style w:type="paragraph" w:customStyle="1" w:styleId="xl28">
    <w:name w:val="xl28"/>
    <w:basedOn w:val="Normal"/>
    <w:rsid w:val="00F87AD4"/>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textAlignment w:val="center"/>
    </w:pPr>
    <w:rPr>
      <w:rFonts w:cs="Arial"/>
      <w:b/>
      <w:bCs/>
      <w:color w:val="000000"/>
      <w:sz w:val="24"/>
      <w:szCs w:val="24"/>
    </w:rPr>
  </w:style>
  <w:style w:type="paragraph" w:customStyle="1" w:styleId="xl29">
    <w:name w:val="xl29"/>
    <w:basedOn w:val="Normal"/>
    <w:rsid w:val="00F87A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color w:val="000000"/>
      <w:sz w:val="24"/>
      <w:szCs w:val="24"/>
    </w:rPr>
  </w:style>
  <w:style w:type="paragraph" w:customStyle="1" w:styleId="xl30">
    <w:name w:val="xl30"/>
    <w:basedOn w:val="Normal"/>
    <w:rsid w:val="00F87AD4"/>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cs="Arial"/>
      <w:b/>
      <w:bCs/>
      <w:color w:val="000000"/>
      <w:sz w:val="24"/>
      <w:szCs w:val="24"/>
    </w:rPr>
  </w:style>
  <w:style w:type="paragraph" w:customStyle="1" w:styleId="xl31">
    <w:name w:val="xl31"/>
    <w:basedOn w:val="Normal"/>
    <w:rsid w:val="00F87AD4"/>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color w:val="000000"/>
      <w:sz w:val="24"/>
      <w:szCs w:val="24"/>
    </w:rPr>
  </w:style>
  <w:style w:type="paragraph" w:customStyle="1" w:styleId="xl32">
    <w:name w:val="xl32"/>
    <w:basedOn w:val="Normal"/>
    <w:rsid w:val="00F87A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color w:val="000000"/>
      <w:sz w:val="24"/>
      <w:szCs w:val="24"/>
    </w:rPr>
  </w:style>
  <w:style w:type="paragraph" w:customStyle="1" w:styleId="xl33">
    <w:name w:val="xl33"/>
    <w:basedOn w:val="Normal"/>
    <w:rsid w:val="00F87A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color w:val="000000"/>
      <w:sz w:val="24"/>
      <w:szCs w:val="24"/>
    </w:rPr>
  </w:style>
  <w:style w:type="paragraph" w:customStyle="1" w:styleId="xl34">
    <w:name w:val="xl34"/>
    <w:basedOn w:val="Normal"/>
    <w:rsid w:val="00F87AD4"/>
    <w:pPr>
      <w:pBdr>
        <w:top w:val="single" w:sz="4" w:space="0" w:color="auto"/>
        <w:left w:val="single" w:sz="8" w:space="0" w:color="auto"/>
        <w:right w:val="single" w:sz="4" w:space="0" w:color="auto"/>
      </w:pBdr>
      <w:spacing w:before="100" w:beforeAutospacing="1" w:after="100" w:afterAutospacing="1"/>
      <w:textAlignment w:val="top"/>
    </w:pPr>
    <w:rPr>
      <w:rFonts w:cs="Arial"/>
      <w:color w:val="000000"/>
      <w:sz w:val="24"/>
      <w:szCs w:val="24"/>
    </w:rPr>
  </w:style>
  <w:style w:type="paragraph" w:customStyle="1" w:styleId="xl35">
    <w:name w:val="xl35"/>
    <w:basedOn w:val="Normal"/>
    <w:rsid w:val="00F87AD4"/>
    <w:pPr>
      <w:pBdr>
        <w:top w:val="single" w:sz="4" w:space="0" w:color="auto"/>
        <w:left w:val="single" w:sz="4" w:space="0" w:color="auto"/>
        <w:right w:val="single" w:sz="4" w:space="0" w:color="auto"/>
      </w:pBdr>
      <w:spacing w:before="100" w:beforeAutospacing="1" w:after="100" w:afterAutospacing="1"/>
      <w:textAlignment w:val="top"/>
    </w:pPr>
    <w:rPr>
      <w:rFonts w:cs="Arial"/>
      <w:color w:val="000000"/>
      <w:sz w:val="24"/>
      <w:szCs w:val="24"/>
    </w:rPr>
  </w:style>
  <w:style w:type="paragraph" w:customStyle="1" w:styleId="xl36">
    <w:name w:val="xl36"/>
    <w:basedOn w:val="Normal"/>
    <w:rsid w:val="00F87AD4"/>
    <w:pPr>
      <w:pBdr>
        <w:top w:val="single" w:sz="4" w:space="0" w:color="auto"/>
        <w:left w:val="single" w:sz="4" w:space="0" w:color="auto"/>
        <w:right w:val="single" w:sz="4" w:space="0" w:color="auto"/>
      </w:pBdr>
      <w:spacing w:before="100" w:beforeAutospacing="1" w:after="100" w:afterAutospacing="1"/>
      <w:textAlignment w:val="top"/>
    </w:pPr>
    <w:rPr>
      <w:rFonts w:cs="Arial"/>
      <w:color w:val="000000"/>
      <w:sz w:val="24"/>
      <w:szCs w:val="24"/>
    </w:rPr>
  </w:style>
  <w:style w:type="character" w:customStyle="1" w:styleId="jnenbez">
    <w:name w:val="jnenbez"/>
    <w:basedOn w:val="DefaultParagraphFont"/>
    <w:rsid w:val="00F87AD4"/>
  </w:style>
  <w:style w:type="character" w:customStyle="1" w:styleId="jnentitel">
    <w:name w:val="jnentitel"/>
    <w:basedOn w:val="DefaultParagraphFont"/>
    <w:rsid w:val="00F87AD4"/>
  </w:style>
  <w:style w:type="character" w:customStyle="1" w:styleId="recnichtamtlich">
    <w:name w:val="rec nichtamtlich"/>
    <w:basedOn w:val="DefaultParagraphFont"/>
    <w:rsid w:val="00F87AD4"/>
  </w:style>
  <w:style w:type="paragraph" w:customStyle="1" w:styleId="Regelwerk">
    <w:name w:val="Regelwerk"/>
    <w:basedOn w:val="Normal"/>
    <w:rsid w:val="007C5FED"/>
    <w:pPr>
      <w:overflowPunct w:val="0"/>
      <w:autoSpaceDE w:val="0"/>
      <w:autoSpaceDN w:val="0"/>
      <w:adjustRightInd w:val="0"/>
      <w:spacing w:after="120" w:line="288" w:lineRule="auto"/>
      <w:jc w:val="both"/>
      <w:textAlignment w:val="baseline"/>
    </w:pPr>
    <w:rPr>
      <w:szCs w:val="20"/>
    </w:rPr>
  </w:style>
  <w:style w:type="paragraph" w:customStyle="1" w:styleId="Abs4erNum">
    <w:name w:val="Abs4erNum"/>
    <w:basedOn w:val="Normal"/>
    <w:next w:val="Normal"/>
    <w:rsid w:val="00783B7E"/>
    <w:pPr>
      <w:autoSpaceDE w:val="0"/>
      <w:autoSpaceDN w:val="0"/>
      <w:adjustRightInd w:val="0"/>
      <w:spacing w:before="60" w:after="120"/>
    </w:pPr>
    <w:rPr>
      <w:rFonts w:ascii="DPCPBA+Arial" w:hAnsi="DPCPBA+Arial"/>
      <w:sz w:val="24"/>
      <w:szCs w:val="24"/>
    </w:rPr>
  </w:style>
  <w:style w:type="paragraph" w:customStyle="1" w:styleId="foliebers">
    <w:name w:val="folieübers"/>
    <w:basedOn w:val="Normal"/>
    <w:rsid w:val="00231DFD"/>
    <w:pPr>
      <w:pBdr>
        <w:top w:val="single" w:sz="24" w:space="1" w:color="auto"/>
        <w:left w:val="single" w:sz="24" w:space="1" w:color="auto"/>
        <w:bottom w:val="single" w:sz="24" w:space="1" w:color="auto"/>
        <w:right w:val="single" w:sz="24" w:space="1" w:color="auto"/>
      </w:pBdr>
      <w:shd w:val="pct20" w:color="auto" w:fill="auto"/>
      <w:overflowPunct w:val="0"/>
      <w:autoSpaceDE w:val="0"/>
      <w:autoSpaceDN w:val="0"/>
      <w:adjustRightInd w:val="0"/>
      <w:spacing w:before="240" w:after="60"/>
      <w:ind w:left="283" w:hanging="283"/>
      <w:jc w:val="center"/>
      <w:textAlignment w:val="baseline"/>
    </w:pPr>
    <w:rPr>
      <w:b/>
      <w:sz w:val="56"/>
      <w:szCs w:val="20"/>
    </w:rPr>
  </w:style>
  <w:style w:type="character" w:styleId="CommentReference">
    <w:name w:val="annotation reference"/>
    <w:semiHidden/>
    <w:rsid w:val="00E75B69"/>
    <w:rPr>
      <w:sz w:val="16"/>
      <w:szCs w:val="16"/>
    </w:rPr>
  </w:style>
  <w:style w:type="paragraph" w:styleId="CommentText">
    <w:name w:val="annotation text"/>
    <w:basedOn w:val="Normal"/>
    <w:semiHidden/>
    <w:rsid w:val="00E75B69"/>
    <w:rPr>
      <w:sz w:val="20"/>
      <w:szCs w:val="20"/>
    </w:rPr>
  </w:style>
  <w:style w:type="paragraph" w:styleId="CommentSubject">
    <w:name w:val="annotation subject"/>
    <w:basedOn w:val="CommentText"/>
    <w:next w:val="CommentText"/>
    <w:semiHidden/>
    <w:rsid w:val="00E75B69"/>
    <w:rPr>
      <w:b/>
      <w:bCs/>
    </w:rPr>
  </w:style>
  <w:style w:type="paragraph" w:styleId="BalloonText">
    <w:name w:val="Balloon Text"/>
    <w:basedOn w:val="Normal"/>
    <w:semiHidden/>
    <w:rsid w:val="00E75B69"/>
    <w:rPr>
      <w:rFonts w:ascii="Tahoma" w:hAnsi="Tahoma" w:cs="Tahoma"/>
      <w:sz w:val="16"/>
      <w:szCs w:val="16"/>
    </w:rPr>
  </w:style>
  <w:style w:type="paragraph" w:styleId="PlainText">
    <w:name w:val="Plain Text"/>
    <w:basedOn w:val="Normal"/>
    <w:link w:val="PlainTextChar"/>
    <w:uiPriority w:val="99"/>
    <w:rsid w:val="00F31557"/>
    <w:rPr>
      <w:rFonts w:ascii="Courier New" w:hAnsi="Courier New" w:cs="Courier New"/>
      <w:sz w:val="20"/>
      <w:szCs w:val="20"/>
    </w:rPr>
  </w:style>
  <w:style w:type="paragraph" w:styleId="DocumentMap">
    <w:name w:val="Document Map"/>
    <w:basedOn w:val="Normal"/>
    <w:semiHidden/>
    <w:rsid w:val="00812385"/>
    <w:pPr>
      <w:shd w:val="clear" w:color="auto" w:fill="000080"/>
    </w:pPr>
    <w:rPr>
      <w:rFonts w:ascii="Tahoma" w:hAnsi="Tahoma" w:cs="Tahoma"/>
      <w:sz w:val="20"/>
      <w:szCs w:val="20"/>
    </w:rPr>
  </w:style>
  <w:style w:type="character" w:customStyle="1" w:styleId="Heading2Char">
    <w:name w:val="Heading 2 Char"/>
    <w:link w:val="Heading2"/>
    <w:rsid w:val="00BF6984"/>
    <w:rPr>
      <w:rFonts w:ascii="Arial" w:hAnsi="Arial" w:cs="Arial"/>
      <w:b/>
      <w:bCs/>
      <w:iCs/>
      <w:sz w:val="24"/>
      <w:szCs w:val="24"/>
    </w:rPr>
  </w:style>
  <w:style w:type="paragraph" w:customStyle="1" w:styleId="CM1">
    <w:name w:val="CM1"/>
    <w:basedOn w:val="Normal"/>
    <w:next w:val="Normal"/>
    <w:rsid w:val="007F3434"/>
    <w:pPr>
      <w:autoSpaceDE w:val="0"/>
      <w:autoSpaceDN w:val="0"/>
      <w:adjustRightInd w:val="0"/>
    </w:pPr>
    <w:rPr>
      <w:rFonts w:ascii="EUAlbertina" w:hAnsi="EUAlbertina"/>
      <w:sz w:val="24"/>
      <w:szCs w:val="24"/>
    </w:rPr>
  </w:style>
  <w:style w:type="paragraph" w:customStyle="1" w:styleId="CM4">
    <w:name w:val="CM4"/>
    <w:basedOn w:val="Normal"/>
    <w:next w:val="Normal"/>
    <w:rsid w:val="007F3434"/>
    <w:pPr>
      <w:autoSpaceDE w:val="0"/>
      <w:autoSpaceDN w:val="0"/>
      <w:adjustRightInd w:val="0"/>
    </w:pPr>
    <w:rPr>
      <w:rFonts w:ascii="EUAlbertina" w:hAnsi="EUAlbertina"/>
      <w:sz w:val="24"/>
      <w:szCs w:val="24"/>
    </w:rPr>
  </w:style>
  <w:style w:type="character" w:customStyle="1" w:styleId="Heading1Char">
    <w:name w:val="Heading 1 Char"/>
    <w:link w:val="Heading1"/>
    <w:rsid w:val="0092543F"/>
    <w:rPr>
      <w:rFonts w:ascii="Arial" w:hAnsi="Arial" w:cs="Arial"/>
      <w:b/>
      <w:bCs/>
      <w:kern w:val="32"/>
      <w:sz w:val="32"/>
      <w:szCs w:val="32"/>
      <w:lang w:val="en-GB" w:eastAsia="en-GB" w:bidi="en-GB"/>
    </w:rPr>
  </w:style>
  <w:style w:type="paragraph" w:styleId="TOC1">
    <w:name w:val="toc 1"/>
    <w:basedOn w:val="Normal"/>
    <w:next w:val="Normal"/>
    <w:autoRedefine/>
    <w:uiPriority w:val="39"/>
    <w:rsid w:val="00E526BD"/>
    <w:pPr>
      <w:tabs>
        <w:tab w:val="right" w:leader="dot" w:pos="9214"/>
      </w:tabs>
      <w:ind w:left="284" w:hanging="284"/>
    </w:pPr>
  </w:style>
  <w:style w:type="paragraph" w:styleId="TOC2">
    <w:name w:val="toc 2"/>
    <w:basedOn w:val="Normal"/>
    <w:next w:val="Normal"/>
    <w:autoRedefine/>
    <w:uiPriority w:val="39"/>
    <w:rsid w:val="00464A01"/>
    <w:pPr>
      <w:ind w:left="220"/>
    </w:pPr>
  </w:style>
  <w:style w:type="paragraph" w:styleId="TOC3">
    <w:name w:val="toc 3"/>
    <w:basedOn w:val="Normal"/>
    <w:next w:val="Normal"/>
    <w:autoRedefine/>
    <w:uiPriority w:val="39"/>
    <w:rsid w:val="00464A01"/>
    <w:pPr>
      <w:ind w:left="440"/>
    </w:pPr>
  </w:style>
  <w:style w:type="character" w:customStyle="1" w:styleId="lang">
    <w:name w:val="lang"/>
    <w:basedOn w:val="DefaultParagraphFont"/>
    <w:rsid w:val="00D82687"/>
  </w:style>
  <w:style w:type="paragraph" w:styleId="EnvelopeReturn">
    <w:name w:val="envelope return"/>
    <w:basedOn w:val="Normal"/>
    <w:rsid w:val="00E33BDB"/>
    <w:pPr>
      <w:overflowPunct w:val="0"/>
      <w:autoSpaceDE w:val="0"/>
      <w:autoSpaceDN w:val="0"/>
      <w:adjustRightInd w:val="0"/>
      <w:textAlignment w:val="baseline"/>
    </w:pPr>
    <w:rPr>
      <w:rFonts w:ascii="Century Gothic" w:hAnsi="Century Gothic"/>
      <w:szCs w:val="20"/>
    </w:rPr>
  </w:style>
  <w:style w:type="paragraph" w:customStyle="1" w:styleId="Default">
    <w:name w:val="Default"/>
    <w:rsid w:val="00CD2632"/>
    <w:pPr>
      <w:autoSpaceDE w:val="0"/>
      <w:autoSpaceDN w:val="0"/>
      <w:adjustRightInd w:val="0"/>
    </w:pPr>
    <w:rPr>
      <w:rFonts w:ascii="Arial" w:eastAsia="Calibri" w:hAnsi="Arial" w:cs="Arial"/>
      <w:color w:val="000000"/>
      <w:sz w:val="24"/>
      <w:szCs w:val="24"/>
    </w:rPr>
  </w:style>
  <w:style w:type="character" w:customStyle="1" w:styleId="HeaderChar">
    <w:name w:val="Header Char"/>
    <w:link w:val="Header"/>
    <w:uiPriority w:val="99"/>
    <w:rsid w:val="007A2AEC"/>
    <w:rPr>
      <w:rFonts w:ascii="Arial" w:hAnsi="Arial"/>
      <w:sz w:val="22"/>
      <w:szCs w:val="22"/>
    </w:rPr>
  </w:style>
  <w:style w:type="paragraph" w:styleId="Title">
    <w:name w:val="Title"/>
    <w:basedOn w:val="Text1"/>
    <w:next w:val="Normal"/>
    <w:link w:val="TitleChar"/>
    <w:qFormat/>
    <w:rsid w:val="007A2AEC"/>
    <w:pPr>
      <w:jc w:val="center"/>
    </w:pPr>
    <w:rPr>
      <w:rFonts w:ascii="Arial" w:hAnsi="Arial" w:cs="Arial"/>
      <w:b/>
      <w:bCs/>
      <w:sz w:val="60"/>
      <w:szCs w:val="60"/>
    </w:rPr>
  </w:style>
  <w:style w:type="character" w:customStyle="1" w:styleId="TitleChar">
    <w:name w:val="Title Char"/>
    <w:link w:val="Title"/>
    <w:rsid w:val="007A2AEC"/>
    <w:rPr>
      <w:rFonts w:ascii="Arial" w:hAnsi="Arial" w:cs="Arial"/>
      <w:b/>
      <w:bCs/>
      <w:sz w:val="60"/>
      <w:szCs w:val="60"/>
      <w:lang w:eastAsia="en-GB"/>
    </w:rPr>
  </w:style>
  <w:style w:type="paragraph" w:styleId="TOCHeading">
    <w:name w:val="TOC Heading"/>
    <w:basedOn w:val="Heading1"/>
    <w:next w:val="Normal"/>
    <w:uiPriority w:val="39"/>
    <w:semiHidden/>
    <w:unhideWhenUsed/>
    <w:qFormat/>
    <w:rsid w:val="002C1E19"/>
    <w:pPr>
      <w:keepLines/>
      <w:spacing w:before="480" w:after="0" w:line="276" w:lineRule="auto"/>
      <w:outlineLvl w:val="9"/>
    </w:pPr>
    <w:rPr>
      <w:rFonts w:ascii="Cambria" w:hAnsi="Cambria" w:cs="Times New Roman"/>
      <w:color w:val="365F91"/>
      <w:kern w:val="0"/>
      <w:sz w:val="28"/>
      <w:szCs w:val="28"/>
    </w:rPr>
  </w:style>
  <w:style w:type="paragraph" w:styleId="ListParagraph">
    <w:name w:val="List Paragraph"/>
    <w:basedOn w:val="Normal"/>
    <w:uiPriority w:val="1"/>
    <w:qFormat/>
    <w:rsid w:val="00A1308D"/>
    <w:pPr>
      <w:ind w:left="720"/>
      <w:contextualSpacing/>
    </w:pPr>
  </w:style>
  <w:style w:type="character" w:customStyle="1" w:styleId="PlainTextChar">
    <w:name w:val="Plain Text Char"/>
    <w:basedOn w:val="DefaultParagraphFont"/>
    <w:link w:val="PlainText"/>
    <w:uiPriority w:val="99"/>
    <w:rsid w:val="00D3199C"/>
    <w:rPr>
      <w:rFonts w:ascii="Courier New" w:hAnsi="Courier New" w:cs="Courier New"/>
    </w:rPr>
  </w:style>
  <w:style w:type="paragraph" w:styleId="BodyText">
    <w:name w:val="Body Text"/>
    <w:basedOn w:val="Normal"/>
    <w:link w:val="BodyTextChar"/>
    <w:uiPriority w:val="1"/>
    <w:qFormat/>
    <w:rsid w:val="00765F11"/>
    <w:pPr>
      <w:widowControl w:val="0"/>
      <w:autoSpaceDE w:val="0"/>
      <w:autoSpaceDN w:val="0"/>
      <w:spacing w:before="4"/>
    </w:pPr>
    <w:rPr>
      <w:rFonts w:eastAsia="Arial" w:cs="Arial"/>
      <w:b/>
      <w:bCs/>
      <w:sz w:val="13"/>
      <w:szCs w:val="13"/>
    </w:rPr>
  </w:style>
  <w:style w:type="character" w:customStyle="1" w:styleId="BodyTextChar">
    <w:name w:val="Body Text Char"/>
    <w:basedOn w:val="DefaultParagraphFont"/>
    <w:link w:val="BodyText"/>
    <w:uiPriority w:val="1"/>
    <w:rsid w:val="00765F11"/>
    <w:rPr>
      <w:rFonts w:ascii="Arial" w:eastAsia="Arial" w:hAnsi="Arial" w:cs="Arial"/>
      <w:b/>
      <w:bCs/>
      <w:sz w:val="13"/>
      <w:szCs w:val="13"/>
      <w:lang w:val="en-GB" w:eastAsia="en-GB" w:bidi="en-GB"/>
    </w:rPr>
  </w:style>
  <w:style w:type="paragraph" w:customStyle="1" w:styleId="TableParagraph">
    <w:name w:val="Table Paragraph"/>
    <w:basedOn w:val="Normal"/>
    <w:uiPriority w:val="1"/>
    <w:qFormat/>
    <w:rsid w:val="00765F11"/>
    <w:pPr>
      <w:widowControl w:val="0"/>
      <w:autoSpaceDE w:val="0"/>
      <w:autoSpaceDN w:val="0"/>
      <w:jc w:val="center"/>
    </w:pPr>
    <w:rPr>
      <w:rFonts w:eastAsia="Arial" w:cs="Arial"/>
    </w:rPr>
  </w:style>
  <w:style w:type="paragraph" w:customStyle="1" w:styleId="Style1">
    <w:name w:val="Style1"/>
    <w:basedOn w:val="Heading1"/>
    <w:qFormat/>
    <w:rsid w:val="009003F8"/>
    <w:pPr>
      <w:keepNext w:val="0"/>
      <w:widowControl w:val="0"/>
      <w:numPr>
        <w:numId w:val="43"/>
      </w:numPr>
      <w:tabs>
        <w:tab w:val="left" w:pos="287"/>
      </w:tabs>
      <w:autoSpaceDE w:val="0"/>
      <w:autoSpaceDN w:val="0"/>
      <w:spacing w:before="1" w:after="0"/>
    </w:pPr>
    <w:rPr>
      <w:w w:val="105"/>
      <w:sz w:val="16"/>
      <w:szCs w:val="16"/>
    </w:rPr>
  </w:style>
  <w:style w:type="paragraph" w:customStyle="1" w:styleId="Style2">
    <w:name w:val="Style2"/>
    <w:basedOn w:val="Heading1"/>
    <w:qFormat/>
    <w:rsid w:val="009003F8"/>
    <w:pPr>
      <w:keepNext w:val="0"/>
      <w:widowControl w:val="0"/>
      <w:numPr>
        <w:numId w:val="45"/>
      </w:numPr>
      <w:tabs>
        <w:tab w:val="left" w:pos="287"/>
      </w:tabs>
      <w:autoSpaceDE w:val="0"/>
      <w:autoSpaceDN w:val="0"/>
      <w:spacing w:before="125" w:after="0"/>
    </w:pPr>
    <w:rPr>
      <w:w w:val="10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hyperlink" Target="http://www.eisenbahn-bundesamt.de/" TargetMode="External" /><Relationship Id="rId13" Type="http://schemas.openxmlformats.org/officeDocument/2006/relationships/hyperlink" Target="https://www.eba.bund.de/SiteGlobals/Forms/Suche/Expertensuche/FM_Expertensuche_Formular.html" TargetMode="External" /><Relationship Id="rId14" Type="http://schemas.openxmlformats.org/officeDocument/2006/relationships/hyperlink" Target="https://www.eba.bund.de/DE/RechtRegelwerk/Verwaltungsvorschriften/VVEA/vvea_node.html" TargetMode="External" /><Relationship Id="rId15" Type="http://schemas.openxmlformats.org/officeDocument/2006/relationships/hyperlink" Target="https://www.eba.bund.de/DE/Themen/Eisenbahnunternehmen/SiBe/sibe_node.html" TargetMode="External" /><Relationship Id="rId16" Type="http://schemas.openxmlformats.org/officeDocument/2006/relationships/hyperlink" Target="https://www.eba.bund.de/SharedDocs/Downloads/DE/Infrastruktur/SiGe/Leitfaden_SiGe_23_04_2009.html" TargetMode="External" /><Relationship Id="rId17" Type="http://schemas.openxmlformats.org/officeDocument/2006/relationships/header" Target="head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2.wmf" /></Relationships>
</file>

<file path=word/_rels/header2.xml.rels>&#65279;<?xml version="1.0" encoding="utf-8" standalone="yes"?><Relationships xmlns="http://schemas.openxmlformats.org/package/2006/relationships"><Relationship Id="rId1" Type="http://schemas.openxmlformats.org/officeDocument/2006/relationships/image" Target="media/image2.wmf" /></Relationships>
</file>

<file path=word/_rels/header3.xml.rels>&#65279;<?xml version="1.0" encoding="utf-8" standalone="yes"?><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f:field ref="objname" par="" edit="true" text="20180918_Bericht_des_EBA_nach_SD_2017_Entwurf"/>
    <f:field ref="objsubject" par="" edit="true" text=""/>
    <f:field ref="objcreatedby" par="" text="Heid, Heiko"/>
    <f:field ref="objcreatedat" par="" text="18.09.2018 16:09:41"/>
    <f:field ref="objchangedby" par="" text="Hörster, Gerald"/>
    <f:field ref="objmodifiedat" par="" text="24.09.2018 17:36:38"/>
    <f:field ref="doc_FSCFOLIO_1_1001_FieldDocumentNumber" par="" text=""/>
    <f:field ref="doc_FSCFOLIO_1_1001_FieldSubject" par="" edit="true" text=""/>
    <f:field ref="FSCFOLIO_1_1001_FieldCurrentUser" par="" text="Heiko Heid"/>
    <f:field ref="CCAPRECONFIG_15_1001_Objektname" par="" edit="true" text="20180918_Bericht_des_EBA_nach_SD_2017_Entwurf"/>
    <f:field ref="DEPRECONFIG_15_1001_Objektname" par="" edit="true" text="20180918_Bericht_des_EBA_nach_SD_2017_Entwurf"/>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DEPRECONFIG_15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40D9E8A-2FA2-4FB6-9224-1BA1C122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10203</Words>
  <Characters>62195</Characters>
  <Application>Microsoft Office Word</Application>
  <DocSecurity>0</DocSecurity>
  <Lines>518</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Jahresbericht 2006</vt:lpstr>
      <vt:lpstr>Jahresbericht 2006</vt:lpstr>
    </vt:vector>
  </TitlesOfParts>
  <Company>CDT</Company>
  <LinksUpToDate>false</LinksUpToDate>
  <CharactersWithSpaces>72254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Jahresbericht 2006</dc:title>
  <dc:creator>CDT</dc:creator>
  <cp:lastModifiedBy>CDT</cp:lastModifiedBy>
  <cp:revision>5</cp:revision>
  <cp:lastPrinted>2018-09-25T11:23:00Z</cp:lastPrinted>
  <dcterms:created xsi:type="dcterms:W3CDTF">2018-10-17T13:21:00Z</dcterms:created>
  <dcterms:modified xsi:type="dcterms:W3CDTF">2018-11-21T15:05:00Z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TSTATECFG@1.1001:Agent">
    <vt:lpwstr/>
  </property>
  <property fmtid="{D5CDD505-2E9C-101B-9397-08002B2CF9AE}" pid="3" name="FSC#ATSTATECFG@1.1001:AgentPhone">
    <vt:lpwstr/>
  </property>
  <property fmtid="{D5CDD505-2E9C-101B-9397-08002B2CF9AE}" pid="4" name="FSC#ATSTATECFG@1.1001:ApprovedSignature">
    <vt:lpwstr/>
  </property>
  <property fmtid="{D5CDD505-2E9C-101B-9397-08002B2CF9AE}" pid="5" name="FSC#ATSTATECFG@1.1001:BankAccount">
    <vt:lpwstr/>
  </property>
  <property fmtid="{D5CDD505-2E9C-101B-9397-08002B2CF9AE}" pid="6" name="FSC#ATSTATECFG@1.1001:BankAccountBIC">
    <vt:lpwstr/>
  </property>
  <property fmtid="{D5CDD505-2E9C-101B-9397-08002B2CF9AE}" pid="7" name="FSC#ATSTATECFG@1.1001:BankAccountIBAN">
    <vt:lpwstr/>
  </property>
  <property fmtid="{D5CDD505-2E9C-101B-9397-08002B2CF9AE}" pid="8" name="FSC#ATSTATECFG@1.1001:BankAccountID">
    <vt:lpwstr/>
  </property>
  <property fmtid="{D5CDD505-2E9C-101B-9397-08002B2CF9AE}" pid="9" name="FSC#ATSTATECFG@1.1001:BankAccountOwner">
    <vt:lpwstr/>
  </property>
  <property fmtid="{D5CDD505-2E9C-101B-9397-08002B2CF9AE}" pid="10" name="FSC#ATSTATECFG@1.1001:BankInstitute">
    <vt:lpwstr/>
  </property>
  <property fmtid="{D5CDD505-2E9C-101B-9397-08002B2CF9AE}" pid="11" name="FSC#ATSTATECFG@1.1001:BankName">
    <vt:lpwstr/>
  </property>
  <property fmtid="{D5CDD505-2E9C-101B-9397-08002B2CF9AE}" pid="12" name="FSC#ATSTATECFG@1.1001:Clause">
    <vt:lpwstr/>
  </property>
  <property fmtid="{D5CDD505-2E9C-101B-9397-08002B2CF9AE}" pid="13" name="FSC#ATSTATECFG@1.1001:DepartmentCity">
    <vt:lpwstr/>
  </property>
  <property fmtid="{D5CDD505-2E9C-101B-9397-08002B2CF9AE}" pid="14" name="FSC#ATSTATECFG@1.1001:DepartmentCountry">
    <vt:lpwstr/>
  </property>
  <property fmtid="{D5CDD505-2E9C-101B-9397-08002B2CF9AE}" pid="15" name="FSC#ATSTATECFG@1.1001:DepartmentDVR">
    <vt:lpwstr/>
  </property>
  <property fmtid="{D5CDD505-2E9C-101B-9397-08002B2CF9AE}" pid="16" name="FSC#ATSTATECFG@1.1001:DepartmentEmail">
    <vt:lpwstr/>
  </property>
  <property fmtid="{D5CDD505-2E9C-101B-9397-08002B2CF9AE}" pid="17" name="FSC#ATSTATECFG@1.1001:DepartmentFax">
    <vt:lpwstr/>
  </property>
  <property fmtid="{D5CDD505-2E9C-101B-9397-08002B2CF9AE}" pid="18" name="FSC#ATSTATECFG@1.1001:DepartmentStreet">
    <vt:lpwstr/>
  </property>
  <property fmtid="{D5CDD505-2E9C-101B-9397-08002B2CF9AE}" pid="19" name="FSC#ATSTATECFG@1.1001:DepartmentUID">
    <vt:lpwstr/>
  </property>
  <property fmtid="{D5CDD505-2E9C-101B-9397-08002B2CF9AE}" pid="20" name="FSC#ATSTATECFG@1.1001:DepartmentZipCode">
    <vt:lpwstr/>
  </property>
  <property fmtid="{D5CDD505-2E9C-101B-9397-08002B2CF9AE}" pid="21" name="FSC#ATSTATECFG@1.1001:Office">
    <vt:lpwstr/>
  </property>
  <property fmtid="{D5CDD505-2E9C-101B-9397-08002B2CF9AE}" pid="22" name="FSC#ATSTATECFG@1.1001:SubfileDate">
    <vt:lpwstr>18.09.2018</vt:lpwstr>
  </property>
  <property fmtid="{D5CDD505-2E9C-101B-9397-08002B2CF9AE}" pid="23" name="FSC#ATSTATECFG@1.1001:SubfileReference">
    <vt:lpwstr>92es/002-1014#006-010</vt:lpwstr>
  </property>
  <property fmtid="{D5CDD505-2E9C-101B-9397-08002B2CF9AE}" pid="24" name="FSC#ATSTATECFG@1.1001:SubfileSubject">
    <vt:lpwstr>Entwurf Sicherheitsbericht 2017 nach RL 2004/49/EG_x000D_
 </vt:lpwstr>
  </property>
  <property fmtid="{D5CDD505-2E9C-101B-9397-08002B2CF9AE}" pid="25" name="FSC#BVBSEBP@15.1700:Anlagentext">
    <vt:lpwstr/>
  </property>
  <property fmtid="{D5CDD505-2E9C-101B-9397-08002B2CF9AE}" pid="26" name="FSC#BVBSEBP@15.1700:ApplicantAddressCurrentProcedure">
    <vt:lpwstr/>
  </property>
  <property fmtid="{D5CDD505-2E9C-101B-9397-08002B2CF9AE}" pid="27" name="FSC#BVBSEBP@15.1700:ApplicantCurrentProcedure">
    <vt:lpwstr/>
  </property>
  <property fmtid="{D5CDD505-2E9C-101B-9397-08002B2CF9AE}" pid="28" name="FSC#BVBSEBP@15.1700:Aufsteller">
    <vt:lpwstr/>
  </property>
  <property fmtid="{D5CDD505-2E9C-101B-9397-08002B2CF9AE}" pid="29" name="FSC#BVBSEBP@15.1700:Bauort">
    <vt:lpwstr/>
  </property>
  <property fmtid="{D5CDD505-2E9C-101B-9397-08002B2CF9AE}" pid="30" name="FSC#BVBSEBP@15.1700:BriefdatumErstantrag">
    <vt:lpwstr>04.07.2013</vt:lpwstr>
  </property>
  <property fmtid="{D5CDD505-2E9C-101B-9397-08002B2CF9AE}" pid="31" name="FSC#BVBSEBP@15.1700:EAntragBauvorlagenberechtigterFN">
    <vt:lpwstr/>
  </property>
  <property fmtid="{D5CDD505-2E9C-101B-9397-08002B2CF9AE}" pid="32" name="FSC#BVBSEBP@15.1700:EingangsdatumErstantrag">
    <vt:lpwstr>04.07.2013</vt:lpwstr>
  </property>
  <property fmtid="{D5CDD505-2E9C-101B-9397-08002B2CF9AE}" pid="33" name="FSC#BVBSEBP@15.1700:ErstAntrag">
    <vt:lpwstr>2018-09-17/00502</vt:lpwstr>
  </property>
  <property fmtid="{D5CDD505-2E9C-101B-9397-08002B2CF9AE}" pid="34" name="FSC#BVBSEBP@15.1700:ErstAntragAbnehmenderName">
    <vt:lpwstr/>
  </property>
  <property fmtid="{D5CDD505-2E9C-101B-9397-08002B2CF9AE}" pid="35" name="FSC#BVBSEBP@15.1700:ErstAntragAbzunehmendeAnlage">
    <vt:lpwstr/>
  </property>
  <property fmtid="{D5CDD505-2E9C-101B-9397-08002B2CF9AE}" pid="36" name="FSC#BVBSEBP@15.1700:ErstAntragAntragstellerAddrE">
    <vt:lpwstr/>
  </property>
  <property fmtid="{D5CDD505-2E9C-101B-9397-08002B2CF9AE}" pid="37" name="FSC#BVBSEBP@15.1700:ErstAntragAntragstellerFunktion">
    <vt:lpwstr/>
  </property>
  <property fmtid="{D5CDD505-2E9C-101B-9397-08002B2CF9AE}" pid="38" name="FSC#BVBSEBP@15.1700:ErstAntragBauherrM">
    <vt:lpwstr/>
  </property>
  <property fmtid="{D5CDD505-2E9C-101B-9397-08002B2CF9AE}" pid="39" name="FSC#BVBSEBP@15.1700:ErstAntragBauherrTelefon">
    <vt:lpwstr/>
  </property>
  <property fmtid="{D5CDD505-2E9C-101B-9397-08002B2CF9AE}" pid="40" name="FSC#BVBSEBP@15.1700:ErstAntragBaumassnahme">
    <vt:lpwstr/>
  </property>
  <property fmtid="{D5CDD505-2E9C-101B-9397-08002B2CF9AE}" pid="41" name="FSC#BVBSEBP@15.1700:ErstAntragBauort">
    <vt:lpwstr/>
  </property>
  <property fmtid="{D5CDD505-2E9C-101B-9397-08002B2CF9AE}" pid="42" name="FSC#BVBSEBP@15.1700:ErstAntragBauwerksnr">
    <vt:lpwstr/>
  </property>
  <property fmtid="{D5CDD505-2E9C-101B-9397-08002B2CF9AE}" pid="43" name="FSC#BVBSEBP@15.1700:ErstAntragBriefdatum">
    <vt:lpwstr/>
  </property>
  <property fmtid="{D5CDD505-2E9C-101B-9397-08002B2CF9AE}" pid="44" name="FSC#BVBSEBP@15.1700:ErstAntragGutachterAddrM">
    <vt:lpwstr/>
  </property>
  <property fmtid="{D5CDD505-2E9C-101B-9397-08002B2CF9AE}" pid="45" name="FSC#BVBSEBP@15.1700:ErstAntragPlanZulassAktenzeichen">
    <vt:lpwstr>2018-09-17/00502</vt:lpwstr>
  </property>
  <property fmtid="{D5CDD505-2E9C-101B-9397-08002B2CF9AE}" pid="46" name="FSC#BVBSEBP@15.1700:ErstAntragPlanZulassAndere">
    <vt:lpwstr/>
  </property>
  <property fmtid="{D5CDD505-2E9C-101B-9397-08002B2CF9AE}" pid="47" name="FSC#BVBSEBP@15.1700:ErstAntragPlanZulassDatum">
    <vt:lpwstr/>
  </property>
  <property fmtid="{D5CDD505-2E9C-101B-9397-08002B2CF9AE}" pid="48" name="FSC#BVBSEBP@15.1700:ErstAntragSteller">
    <vt:lpwstr/>
  </property>
  <property fmtid="{D5CDD505-2E9C-101B-9397-08002B2CF9AE}" pid="49" name="FSC#BVBSEBP@15.1700:ErstAntragTyp">
    <vt:lpwstr/>
  </property>
  <property fmtid="{D5CDD505-2E9C-101B-9397-08002B2CF9AE}" pid="50" name="FSC#BVBSEBP@15.1700:ErstAntragVom">
    <vt:lpwstr>01.08.2018</vt:lpwstr>
  </property>
  <property fmtid="{D5CDD505-2E9C-101B-9397-08002B2CF9AE}" pid="51" name="FSC#BVBSEBP@15.1700:OriginatorSettlement">
    <vt:lpwstr>Heid, Heiko</vt:lpwstr>
  </property>
  <property fmtid="{D5CDD505-2E9C-101B-9397-08002B2CF9AE}" pid="52" name="FSC#BVBSEBP@15.1700:Pruefauftrag">
    <vt:lpwstr/>
  </property>
  <property fmtid="{D5CDD505-2E9C-101B-9397-08002B2CF9AE}" pid="53" name="FSC#BVBSPRECONFIG@15.1700:AddSubject">
    <vt:lpwstr/>
  </property>
  <property fmtid="{D5CDD505-2E9C-101B-9397-08002B2CF9AE}" pid="54" name="FSC#BVBSPRECONFIG@15.1700:AktenIdentification">
    <vt:lpwstr>92es/002-1014</vt:lpwstr>
  </property>
  <property fmtid="{D5CDD505-2E9C-101B-9397-08002B2CF9AE}" pid="55" name="FSC#BVBSPRECONFIG@15.1700:AnlagenCount">
    <vt:lpwstr>0</vt:lpwstr>
  </property>
  <property fmtid="{D5CDD505-2E9C-101B-9397-08002B2CF9AE}" pid="56" name="FSC#BVBSPRECONFIG@15.1700:Author">
    <vt:lpwstr>Heiko Heid</vt:lpwstr>
  </property>
  <property fmtid="{D5CDD505-2E9C-101B-9397-08002B2CF9AE}" pid="57" name="FSC#BVBSPRECONFIG@15.1700:AuthorCCMail">
    <vt:lpwstr>Sg92@eba.bund.de</vt:lpwstr>
  </property>
  <property fmtid="{D5CDD505-2E9C-101B-9397-08002B2CF9AE}" pid="58" name="FSC#BVBSPRECONFIG@15.1700:AuthorFax">
    <vt:lpwstr>+49 (228) 9826-9362</vt:lpwstr>
  </property>
  <property fmtid="{D5CDD505-2E9C-101B-9397-08002B2CF9AE}" pid="59" name="FSC#BVBSPRECONFIG@15.1700:AuthorMail">
    <vt:lpwstr>HeidH@eba.bund.de</vt:lpwstr>
  </property>
  <property fmtid="{D5CDD505-2E9C-101B-9397-08002B2CF9AE}" pid="60" name="FSC#BVBSPRECONFIG@15.1700:AuthorName">
    <vt:lpwstr>Heid</vt:lpwstr>
  </property>
  <property fmtid="{D5CDD505-2E9C-101B-9397-08002B2CF9AE}" pid="61" name="FSC#BVBSPRECONFIG@15.1700:AuthorPhone">
    <vt:lpwstr>+49 (228) 9826-362</vt:lpwstr>
  </property>
  <property fmtid="{D5CDD505-2E9C-101B-9397-08002B2CF9AE}" pid="62" name="FSC#BVBSPRECONFIG@15.1700:CourtAddress">
    <vt:lpwstr/>
  </property>
  <property fmtid="{D5CDD505-2E9C-101B-9397-08002B2CF9AE}" pid="63" name="FSC#BVBSPRECONFIG@15.1700:Datum">
    <vt:lpwstr>18.09.2018</vt:lpwstr>
  </property>
  <property fmtid="{D5CDD505-2E9C-101B-9397-08002B2CF9AE}" pid="64" name="FSC#BVBSPRECONFIG@15.1700:DatumDE">
    <vt:lpwstr>24. September 2018</vt:lpwstr>
  </property>
  <property fmtid="{D5CDD505-2E9C-101B-9397-08002B2CF9AE}" pid="65" name="FSC#BVBSPRECONFIG@15.1700:DatumEN">
    <vt:lpwstr>24. September 2018</vt:lpwstr>
  </property>
  <property fmtid="{D5CDD505-2E9C-101B-9397-08002B2CF9AE}" pid="66" name="FSC#BVBSPRECONFIG@15.1700:FirstFinalSignProcedure">
    <vt:lpwstr/>
  </property>
  <property fmtid="{D5CDD505-2E9C-101B-9397-08002B2CF9AE}" pid="67" name="FSC#BVBSPRECONFIG@15.1700:FirstFinalSignProcedureDate">
    <vt:lpwstr/>
  </property>
  <property fmtid="{D5CDD505-2E9C-101B-9397-08002B2CF9AE}" pid="68" name="FSC#BVBSPRECONFIG@15.1700:GA">
    <vt:lpwstr>9230</vt:lpwstr>
  </property>
  <property fmtid="{D5CDD505-2E9C-101B-9397-08002B2CF9AE}" pid="69" name="FSC#BVBSPRECONFIG@15.1700:HandoutList">
    <vt:lpwstr>Empfänger:_x000D_
Nachrichtlich:_x000D_
</vt:lpwstr>
  </property>
  <property fmtid="{D5CDD505-2E9C-101B-9397-08002B2CF9AE}" pid="70" name="FSC#BVBSPRECONFIG@15.1700:LetterDateP31">
    <vt:lpwstr>25.10.2018</vt:lpwstr>
  </property>
  <property fmtid="{D5CDD505-2E9C-101B-9397-08002B2CF9AE}" pid="71" name="FSC#BVBSPRECONFIG@15.1700:LetterDateP90">
    <vt:lpwstr>23.12.2018</vt:lpwstr>
  </property>
  <property fmtid="{D5CDD505-2E9C-101B-9397-08002B2CF9AE}" pid="72" name="FSC#BVBSPRECONFIG@15.1700:LocationFootnote">
    <vt:lpwstr>De-Mail:	poststelle@eba-bund.de-mail.de</vt:lpwstr>
  </property>
  <property fmtid="{D5CDD505-2E9C-101B-9397-08002B2CF9AE}" pid="73" name="FSC#BVBSPRECONFIG@15.1700:LocationFootnoteEnglish">
    <vt:lpwstr/>
  </property>
  <property fmtid="{D5CDD505-2E9C-101B-9397-08002B2CF9AE}" pid="74" name="FSC#BVBSPRECONFIG@15.1700:OEShort">
    <vt:lpwstr>92</vt:lpwstr>
  </property>
  <property fmtid="{D5CDD505-2E9C-101B-9397-08002B2CF9AE}" pid="75" name="FSC#BVBSPRECONFIG@15.1700:OrgBankAccAccount">
    <vt:lpwstr>590 010 20</vt:lpwstr>
  </property>
  <property fmtid="{D5CDD505-2E9C-101B-9397-08002B2CF9AE}" pid="76" name="FSC#BVBSPRECONFIG@15.1700:OrgBankAccBank">
    <vt:lpwstr>Deutsche Bundesbank, Filiale Saarbrücken</vt:lpwstr>
  </property>
  <property fmtid="{D5CDD505-2E9C-101B-9397-08002B2CF9AE}" pid="77" name="FSC#BVBSPRECONFIG@15.1700:OrgBankAccBIC">
    <vt:lpwstr>MARKDEF1590</vt:lpwstr>
  </property>
  <property fmtid="{D5CDD505-2E9C-101B-9397-08002B2CF9AE}" pid="78" name="FSC#BVBSPRECONFIG@15.1700:OrgBankAccIBAN">
    <vt:lpwstr>DE81 5900  0000  0059 0010 20</vt:lpwstr>
  </property>
  <property fmtid="{D5CDD505-2E9C-101B-9397-08002B2CF9AE}" pid="79" name="FSC#BVBSPRECONFIG@15.1700:OrgBankAccID">
    <vt:lpwstr>590 00000</vt:lpwstr>
  </property>
  <property fmtid="{D5CDD505-2E9C-101B-9397-08002B2CF9AE}" pid="80" name="FSC#BVBSPRECONFIG@15.1700:OrgBankAccSendTo">
    <vt:lpwstr>Bundeskasse Trier</vt:lpwstr>
  </property>
  <property fmtid="{D5CDD505-2E9C-101B-9397-08002B2CF9AE}" pid="81" name="FSC#BVBSPRECONFIG@15.1700:OrgCity">
    <vt:lpwstr>Bonn</vt:lpwstr>
  </property>
  <property fmtid="{D5CDD505-2E9C-101B-9397-08002B2CF9AE}" pid="82" name="FSC#BVBSPRECONFIG@15.1700:OrgCityDeliver">
    <vt:lpwstr>Bonn</vt:lpwstr>
  </property>
  <property fmtid="{D5CDD505-2E9C-101B-9397-08002B2CF9AE}" pid="83" name="FSC#BVBSPRECONFIG@15.1700:OrgFax">
    <vt:lpwstr>+49 (228) 9826-199</vt:lpwstr>
  </property>
  <property fmtid="{D5CDD505-2E9C-101B-9397-08002B2CF9AE}" pid="84" name="FSC#BVBSPRECONFIG@15.1700:OrgFooter">
    <vt:lpwstr>De-Mail:	poststelle@eba-bund.de-mail.de</vt:lpwstr>
  </property>
  <property fmtid="{D5CDD505-2E9C-101B-9397-08002B2CF9AE}" pid="85" name="FSC#BVBSPRECONFIG@15.1700:OrgName">
    <vt:lpwstr>Eisenbahn-Bundesamt</vt:lpwstr>
  </property>
  <property fmtid="{D5CDD505-2E9C-101B-9397-08002B2CF9AE}" pid="86" name="FSC#BVBSPRECONFIG@15.1700:OrgNameEng">
    <vt:lpwstr/>
  </property>
  <property fmtid="{D5CDD505-2E9C-101B-9397-08002B2CF9AE}" pid="87" name="FSC#BVBSPRECONFIG@15.1700:OrgNote">
    <vt:lpwstr/>
  </property>
  <property fmtid="{D5CDD505-2E9C-101B-9397-08002B2CF9AE}" pid="88" name="FSC#BVBSPRECONFIG@15.1700:OrgObjname">
    <vt:lpwstr>EBA Zentrale</vt:lpwstr>
  </property>
  <property fmtid="{D5CDD505-2E9C-101B-9397-08002B2CF9AE}" pid="89" name="FSC#BVBSPRECONFIG@15.1700:OrgPhone">
    <vt:lpwstr>+49 (228) 9826-0</vt:lpwstr>
  </property>
  <property fmtid="{D5CDD505-2E9C-101B-9397-08002B2CF9AE}" pid="90" name="FSC#BVBSPRECONFIG@15.1700:OrgPLZ">
    <vt:lpwstr>53135</vt:lpwstr>
  </property>
  <property fmtid="{D5CDD505-2E9C-101B-9397-08002B2CF9AE}" pid="91" name="FSC#BVBSPRECONFIG@15.1700:OrgPLZDeliver">
    <vt:lpwstr>53175</vt:lpwstr>
  </property>
  <property fmtid="{D5CDD505-2E9C-101B-9397-08002B2CF9AE}" pid="92" name="FSC#BVBSPRECONFIG@15.1700:OrgPostbox">
    <vt:lpwstr>Postfach 20 05 65</vt:lpwstr>
  </property>
  <property fmtid="{D5CDD505-2E9C-101B-9397-08002B2CF9AE}" pid="93" name="FSC#BVBSPRECONFIG@15.1700:OrgPostboxDeliver">
    <vt:lpwstr/>
  </property>
  <property fmtid="{D5CDD505-2E9C-101B-9397-08002B2CF9AE}" pid="94" name="FSC#BVBSPRECONFIG@15.1700:OrgShortName">
    <vt:lpwstr>Zentrale</vt:lpwstr>
  </property>
  <property fmtid="{D5CDD505-2E9C-101B-9397-08002B2CF9AE}" pid="95" name="FSC#BVBSPRECONFIG@15.1700:OrgStreet">
    <vt:lpwstr/>
  </property>
  <property fmtid="{D5CDD505-2E9C-101B-9397-08002B2CF9AE}" pid="96" name="FSC#BVBSPRECONFIG@15.1700:OrgStreetDeliver">
    <vt:lpwstr>Heinemannstraße 6</vt:lpwstr>
  </property>
  <property fmtid="{D5CDD505-2E9C-101B-9397-08002B2CF9AE}" pid="97" name="FSC#BVBSPRECONFIG@15.1700:OrgWWW">
    <vt:lpwstr>www.eisenbahn-bundesamt.de</vt:lpwstr>
  </property>
  <property fmtid="{D5CDD505-2E9C-101B-9397-08002B2CF9AE}" pid="98" name="FSC#BVBSPRECONFIG@15.1700:OwnerFax">
    <vt:lpwstr>+49 (228) 9826-9362</vt:lpwstr>
  </property>
  <property fmtid="{D5CDD505-2E9C-101B-9397-08002B2CF9AE}" pid="99" name="FSC#BVBSPRECONFIG@15.1700:OwnerMail">
    <vt:lpwstr>HeidH@eba.bund.de</vt:lpwstr>
  </property>
  <property fmtid="{D5CDD505-2E9C-101B-9397-08002B2CF9AE}" pid="100" name="FSC#BVBSPRECONFIG@15.1700:OwnerName">
    <vt:lpwstr>Heid</vt:lpwstr>
  </property>
  <property fmtid="{D5CDD505-2E9C-101B-9397-08002B2CF9AE}" pid="101" name="FSC#BVBSPRECONFIG@15.1700:OwnerPhone">
    <vt:lpwstr>+49 (228) 9826-362</vt:lpwstr>
  </property>
  <property fmtid="{D5CDD505-2E9C-101B-9397-08002B2CF9AE}" pid="102" name="FSC#BVBSPRECONFIG@15.1700:RegisterCurrentProcedure">
    <vt:lpwstr/>
  </property>
  <property fmtid="{D5CDD505-2E9C-101B-9397-08002B2CF9AE}" pid="103" name="FSC#BVBSPRECONFIG@15.1700:Relation">
    <vt:lpwstr/>
  </property>
  <property fmtid="{D5CDD505-2E9C-101B-9397-08002B2CF9AE}" pid="104" name="FSC#BVBSPRECONFIG@15.1700:SettlementSubject">
    <vt:lpwstr>Entwurf Sicherheitsbericht 2017 nach RL 2004/49/EG_x000D_
 </vt:lpwstr>
  </property>
  <property fmtid="{D5CDD505-2E9C-101B-9397-08002B2CF9AE}" pid="105" name="FSC#CCAPRECONFIG@15.1001:AddrAbschriftsbemerkung">
    <vt:lpwstr/>
  </property>
  <property fmtid="{D5CDD505-2E9C-101B-9397-08002B2CF9AE}" pid="106" name="FSC#CCAPRECONFIG@15.1001:AddrAdresse">
    <vt:lpwstr/>
  </property>
  <property fmtid="{D5CDD505-2E9C-101B-9397-08002B2CF9AE}" pid="107" name="FSC#CCAPRECONFIG@15.1001:AddrAnrede">
    <vt:lpwstr/>
  </property>
  <property fmtid="{D5CDD505-2E9C-101B-9397-08002B2CF9AE}" pid="108" name="FSC#CCAPRECONFIG@15.1001:AddrEmail">
    <vt:lpwstr/>
  </property>
  <property fmtid="{D5CDD505-2E9C-101B-9397-08002B2CF9AE}" pid="109" name="FSC#CCAPRECONFIG@15.1001:AddrFax">
    <vt:lpwstr/>
  </property>
  <property fmtid="{D5CDD505-2E9C-101B-9397-08002B2CF9AE}" pid="110" name="FSC#CCAPRECONFIG@15.1001:AddrGeschlecht">
    <vt:lpwstr/>
  </property>
  <property fmtid="{D5CDD505-2E9C-101B-9397-08002B2CF9AE}" pid="111" name="FSC#CCAPRECONFIG@15.1001:AddrHausnummer">
    <vt:lpwstr/>
  </property>
  <property fmtid="{D5CDD505-2E9C-101B-9397-08002B2CF9AE}" pid="112" name="FSC#CCAPRECONFIG@15.1001:AddrLand">
    <vt:lpwstr/>
  </property>
  <property fmtid="{D5CDD505-2E9C-101B-9397-08002B2CF9AE}" pid="113" name="FSC#CCAPRECONFIG@15.1001:AddrNachgestellter_Titel">
    <vt:lpwstr/>
  </property>
  <property fmtid="{D5CDD505-2E9C-101B-9397-08002B2CF9AE}" pid="114" name="FSC#CCAPRECONFIG@15.1001:AddrNachname">
    <vt:lpwstr/>
  </property>
  <property fmtid="{D5CDD505-2E9C-101B-9397-08002B2CF9AE}" pid="115" name="FSC#CCAPRECONFIG@15.1001:AddrName_Zeile_2">
    <vt:lpwstr/>
  </property>
  <property fmtid="{D5CDD505-2E9C-101B-9397-08002B2CF9AE}" pid="116" name="FSC#CCAPRECONFIG@15.1001:AddrName_Zeile_3">
    <vt:lpwstr/>
  </property>
  <property fmtid="{D5CDD505-2E9C-101B-9397-08002B2CF9AE}" pid="117" name="FSC#CCAPRECONFIG@15.1001:AddrOrganisationskurzname">
    <vt:lpwstr/>
  </property>
  <property fmtid="{D5CDD505-2E9C-101B-9397-08002B2CF9AE}" pid="118" name="FSC#CCAPRECONFIG@15.1001:AddrOrganisationsname">
    <vt:lpwstr/>
  </property>
  <property fmtid="{D5CDD505-2E9C-101B-9397-08002B2CF9AE}" pid="119" name="FSC#CCAPRECONFIG@15.1001:AddrOrt">
    <vt:lpwstr/>
  </property>
  <property fmtid="{D5CDD505-2E9C-101B-9397-08002B2CF9AE}" pid="120" name="FSC#CCAPRECONFIG@15.1001:AddrPostalischeAdresse">
    <vt:lpwstr/>
  </property>
  <property fmtid="{D5CDD505-2E9C-101B-9397-08002B2CF9AE}" pid="121" name="FSC#CCAPRECONFIG@15.1001:AddrPostfach">
    <vt:lpwstr/>
  </property>
  <property fmtid="{D5CDD505-2E9C-101B-9397-08002B2CF9AE}" pid="122" name="FSC#CCAPRECONFIG@15.1001:AddrPostleitzahl">
    <vt:lpwstr/>
  </property>
  <property fmtid="{D5CDD505-2E9C-101B-9397-08002B2CF9AE}" pid="123" name="FSC#CCAPRECONFIG@15.1001:AddrStiege">
    <vt:lpwstr/>
  </property>
  <property fmtid="{D5CDD505-2E9C-101B-9397-08002B2CF9AE}" pid="124" name="FSC#CCAPRECONFIG@15.1001:AddrStrasse">
    <vt:lpwstr/>
  </property>
  <property fmtid="{D5CDD505-2E9C-101B-9397-08002B2CF9AE}" pid="125" name="FSC#CCAPRECONFIG@15.1001:AddrTitel">
    <vt:lpwstr/>
  </property>
  <property fmtid="{D5CDD505-2E9C-101B-9397-08002B2CF9AE}" pid="126" name="FSC#CCAPRECONFIG@15.1001:AddrTuer">
    <vt:lpwstr/>
  </property>
  <property fmtid="{D5CDD505-2E9C-101B-9397-08002B2CF9AE}" pid="127" name="FSC#CCAPRECONFIG@15.1001:AddrVorname">
    <vt:lpwstr/>
  </property>
  <property fmtid="{D5CDD505-2E9C-101B-9397-08002B2CF9AE}" pid="128" name="FSC#CCAPRECONFIG@15.1001:AddrzH">
    <vt:lpwstr/>
  </property>
  <property fmtid="{D5CDD505-2E9C-101B-9397-08002B2CF9AE}" pid="129" name="FSC#COOELAK@1.1001:ApprovedAt">
    <vt:lpwstr/>
  </property>
  <property fmtid="{D5CDD505-2E9C-101B-9397-08002B2CF9AE}" pid="130" name="FSC#COOELAK@1.1001:ApprovedBy">
    <vt:lpwstr/>
  </property>
  <property fmtid="{D5CDD505-2E9C-101B-9397-08002B2CF9AE}" pid="131" name="FSC#COOELAK@1.1001:ApproverFirstName">
    <vt:lpwstr/>
  </property>
  <property fmtid="{D5CDD505-2E9C-101B-9397-08002B2CF9AE}" pid="132" name="FSC#COOELAK@1.1001:ApproverSurName">
    <vt:lpwstr/>
  </property>
  <property fmtid="{D5CDD505-2E9C-101B-9397-08002B2CF9AE}" pid="133" name="FSC#COOELAK@1.1001:ApproverTitle">
    <vt:lpwstr/>
  </property>
  <property fmtid="{D5CDD505-2E9C-101B-9397-08002B2CF9AE}" pid="134" name="FSC#COOELAK@1.1001:BaseNumber">
    <vt:lpwstr>92es</vt:lpwstr>
  </property>
  <property fmtid="{D5CDD505-2E9C-101B-9397-08002B2CF9AE}" pid="135" name="FSC#COOELAK@1.1001:CreatedAt">
    <vt:lpwstr>18.09.2018</vt:lpwstr>
  </property>
  <property fmtid="{D5CDD505-2E9C-101B-9397-08002B2CF9AE}" pid="136" name="FSC#COOELAK@1.1001:CurrentUserEmail">
    <vt:lpwstr>HeidH@eba.bund.de</vt:lpwstr>
  </property>
  <property fmtid="{D5CDD505-2E9C-101B-9397-08002B2CF9AE}" pid="137" name="FSC#COOELAK@1.1001:CurrentUserRolePos">
    <vt:lpwstr>Sachbearbeiter/in</vt:lpwstr>
  </property>
  <property fmtid="{D5CDD505-2E9C-101B-9397-08002B2CF9AE}" pid="138" name="FSC#COOELAK@1.1001:Department">
    <vt:lpwstr>92 (Anerkennungsstelle, Internationale Angelegenheiten)</vt:lpwstr>
  </property>
  <property fmtid="{D5CDD505-2E9C-101B-9397-08002B2CF9AE}" pid="139" name="FSC#COOELAK@1.1001:DispatchedAt">
    <vt:lpwstr/>
  </property>
  <property fmtid="{D5CDD505-2E9C-101B-9397-08002B2CF9AE}" pid="140" name="FSC#COOELAK@1.1001:DispatchedBy">
    <vt:lpwstr/>
  </property>
  <property fmtid="{D5CDD505-2E9C-101B-9397-08002B2CF9AE}" pid="141" name="FSC#COOELAK@1.1001:ExternalDate">
    <vt:lpwstr/>
  </property>
  <property fmtid="{D5CDD505-2E9C-101B-9397-08002B2CF9AE}" pid="142" name="FSC#COOELAK@1.1001:ExternalRef">
    <vt:lpwstr/>
  </property>
  <property fmtid="{D5CDD505-2E9C-101B-9397-08002B2CF9AE}" pid="143" name="FSC#COOELAK@1.1001:FileRefBarCode">
    <vt:lpwstr>*92es/002-1014*</vt:lpwstr>
  </property>
  <property fmtid="{D5CDD505-2E9C-101B-9397-08002B2CF9AE}" pid="144" name="FSC#COOELAK@1.1001:FileReference">
    <vt:lpwstr>92es/002-1014</vt:lpwstr>
  </property>
  <property fmtid="{D5CDD505-2E9C-101B-9397-08002B2CF9AE}" pid="145" name="FSC#COOELAK@1.1001:FileRefOrdinal">
    <vt:lpwstr>2</vt:lpwstr>
  </property>
  <property fmtid="{D5CDD505-2E9C-101B-9397-08002B2CF9AE}" pid="146" name="FSC#COOELAK@1.1001:FileRefOU">
    <vt:lpwstr/>
  </property>
  <property fmtid="{D5CDD505-2E9C-101B-9397-08002B2CF9AE}" pid="147" name="FSC#COOELAK@1.1001:FileRefYear">
    <vt:lpwstr>2013</vt:lpwstr>
  </property>
  <property fmtid="{D5CDD505-2E9C-101B-9397-08002B2CF9AE}" pid="148" name="FSC#COOELAK@1.1001:IncomingNumber">
    <vt:lpwstr/>
  </property>
  <property fmtid="{D5CDD505-2E9C-101B-9397-08002B2CF9AE}" pid="149" name="FSC#COOELAK@1.1001:IncomingSubject">
    <vt:lpwstr/>
  </property>
  <property fmtid="{D5CDD505-2E9C-101B-9397-08002B2CF9AE}" pid="150" name="FSC#COOELAK@1.1001:ObjBarCode">
    <vt:lpwstr>*COO.2025.2004.8.1575979*</vt:lpwstr>
  </property>
  <property fmtid="{D5CDD505-2E9C-101B-9397-08002B2CF9AE}" pid="151" name="FSC#COOELAK@1.1001:Organization">
    <vt:lpwstr/>
  </property>
  <property fmtid="{D5CDD505-2E9C-101B-9397-08002B2CF9AE}" pid="152" name="FSC#COOELAK@1.1001:OU">
    <vt:lpwstr>92 (Anerkennungsstelle, Internationale Angelegenheiten)</vt:lpwstr>
  </property>
  <property fmtid="{D5CDD505-2E9C-101B-9397-08002B2CF9AE}" pid="153" name="FSC#COOELAK@1.1001:Owner">
    <vt:lpwstr>Herr Heid</vt:lpwstr>
  </property>
  <property fmtid="{D5CDD505-2E9C-101B-9397-08002B2CF9AE}" pid="154" name="FSC#COOELAK@1.1001:OwnerExtension">
    <vt:lpwstr>362</vt:lpwstr>
  </property>
  <property fmtid="{D5CDD505-2E9C-101B-9397-08002B2CF9AE}" pid="155" name="FSC#COOELAK@1.1001:OwnerFaxExtension">
    <vt:lpwstr>9362</vt:lpwstr>
  </property>
  <property fmtid="{D5CDD505-2E9C-101B-9397-08002B2CF9AE}" pid="156" name="FSC#COOELAK@1.1001:Priority">
    <vt:lpwstr> ()</vt:lpwstr>
  </property>
  <property fmtid="{D5CDD505-2E9C-101B-9397-08002B2CF9AE}" pid="157" name="FSC#COOELAK@1.1001:ProcessResponsible">
    <vt:lpwstr/>
  </property>
  <property fmtid="{D5CDD505-2E9C-101B-9397-08002B2CF9AE}" pid="158" name="FSC#COOELAK@1.1001:ProcessResponsibleFax">
    <vt:lpwstr/>
  </property>
  <property fmtid="{D5CDD505-2E9C-101B-9397-08002B2CF9AE}" pid="159" name="FSC#COOELAK@1.1001:ProcessResponsibleMail">
    <vt:lpwstr/>
  </property>
  <property fmtid="{D5CDD505-2E9C-101B-9397-08002B2CF9AE}" pid="160" name="FSC#COOELAK@1.1001:ProcessResponsiblePhone">
    <vt:lpwstr/>
  </property>
  <property fmtid="{D5CDD505-2E9C-101B-9397-08002B2CF9AE}" pid="161" name="FSC#COOELAK@1.1001:RefBarCode">
    <vt:lpwstr>*COO.2025.2004.3.2767172*</vt:lpwstr>
  </property>
  <property fmtid="{D5CDD505-2E9C-101B-9397-08002B2CF9AE}" pid="162" name="FSC#COOELAK@1.1001:SettlementApprovedAt">
    <vt:lpwstr/>
  </property>
  <property fmtid="{D5CDD505-2E9C-101B-9397-08002B2CF9AE}" pid="163" name="FSC#COOELAK@1.1001:Subject">
    <vt:lpwstr>Jahresbericht nach Artikel 18 RL 2004/49/EG</vt:lpwstr>
  </property>
  <property fmtid="{D5CDD505-2E9C-101B-9397-08002B2CF9AE}" pid="164" name="FSC#COOSYSTEM@1.1:Container">
    <vt:lpwstr>COO.2025.2004.8.1575979</vt:lpwstr>
  </property>
  <property fmtid="{D5CDD505-2E9C-101B-9397-08002B2CF9AE}" pid="165" name="FSC#DOWEBA@15.1400:AbnahmebeginnAktVorgang">
    <vt:lpwstr/>
  </property>
  <property fmtid="{D5CDD505-2E9C-101B-9397-08002B2CF9AE}" pid="166" name="FSC#DOWEBA@15.1400:Anlagennummer">
    <vt:lpwstr/>
  </property>
  <property fmtid="{D5CDD505-2E9C-101B-9397-08002B2CF9AE}" pid="167" name="FSC#DOWEBA@15.1400:AnlagentextohneDatum">
    <vt:lpwstr/>
  </property>
  <property fmtid="{D5CDD505-2E9C-101B-9397-08002B2CF9AE}" pid="168" name="FSC#DOWEBA@15.1400:AnlagentypCheckliste">
    <vt:lpwstr/>
  </property>
  <property fmtid="{D5CDD505-2E9C-101B-9397-08002B2CF9AE}" pid="169" name="FSC#DOWEBA@15.1400:AnlagentypName">
    <vt:lpwstr/>
  </property>
  <property fmtid="{D5CDD505-2E9C-101B-9397-08002B2CF9AE}" pid="170" name="FSC#DOWEBA@15.1400:AnlagentypNummer">
    <vt:lpwstr/>
  </property>
  <property fmtid="{D5CDD505-2E9C-101B-9397-08002B2CF9AE}" pid="171" name="FSC#DOWEBA@15.1400:AntragsdatumdlfdVorgangs">
    <vt:lpwstr/>
  </property>
  <property fmtid="{D5CDD505-2E9C-101B-9397-08002B2CF9AE}" pid="172" name="FSC#DOWEBA@15.1400:Bauform">
    <vt:lpwstr/>
  </property>
  <property fmtid="{D5CDD505-2E9C-101B-9397-08002B2CF9AE}" pid="173" name="FSC#DOWEBA@15.1400:BauformAktAkte">
    <vt:lpwstr/>
  </property>
  <property fmtid="{D5CDD505-2E9C-101B-9397-08002B2CF9AE}" pid="174" name="FSC#DOWEBA@15.1400:BauformName">
    <vt:lpwstr/>
  </property>
  <property fmtid="{D5CDD505-2E9C-101B-9397-08002B2CF9AE}" pid="175" name="FSC#DOWEBA@15.1400:BauformOrdnNr">
    <vt:lpwstr/>
  </property>
  <property fmtid="{D5CDD505-2E9C-101B-9397-08002B2CF9AE}" pid="176" name="FSC#DOWEBA@15.1400:BauformSigFmEt">
    <vt:lpwstr/>
  </property>
  <property fmtid="{D5CDD505-2E9C-101B-9397-08002B2CF9AE}" pid="177" name="FSC#DOWEBA@15.1400:Baujahr">
    <vt:lpwstr/>
  </property>
  <property fmtid="{D5CDD505-2E9C-101B-9397-08002B2CF9AE}" pid="178" name="FSC#DOWEBA@15.1400:BeschreibungBetriebsstatus">
    <vt:lpwstr/>
  </property>
  <property fmtid="{D5CDD505-2E9C-101B-9397-08002B2CF9AE}" pid="179" name="FSC#DOWEBA@15.1400:Betriebsstatus">
    <vt:lpwstr/>
  </property>
  <property fmtid="{D5CDD505-2E9C-101B-9397-08002B2CF9AE}" pid="180" name="FSC#DOWEBA@15.1400:BezOrdnungswidrigkeitAktVorgang">
    <vt:lpwstr/>
  </property>
  <property fmtid="{D5CDD505-2E9C-101B-9397-08002B2CF9AE}" pid="181" name="FSC#DOWEBA@15.1400:BriefDatumErstantrag">
    <vt:lpwstr>04.07.2013</vt:lpwstr>
  </property>
  <property fmtid="{D5CDD505-2E9C-101B-9397-08002B2CF9AE}" pid="182" name="FSC#DOWEBA@15.1400:BußeOrdnungswidrigkeitAktVorgang">
    <vt:lpwstr/>
  </property>
  <property fmtid="{D5CDD505-2E9C-101B-9397-08002B2CF9AE}" pid="183" name="FSC#DOWEBA@15.1400:DateEvent">
    <vt:lpwstr/>
  </property>
  <property fmtid="{D5CDD505-2E9C-101B-9397-08002B2CF9AE}" pid="184" name="FSC#DOWEBA@15.1400:DateOfFactualDecision">
    <vt:lpwstr/>
  </property>
  <property fmtid="{D5CDD505-2E9C-101B-9397-08002B2CF9AE}" pid="185" name="FSC#DOWEBA@15.1400:DatumSZErledigung">
    <vt:lpwstr>24.09.2018</vt:lpwstr>
  </property>
  <property fmtid="{D5CDD505-2E9C-101B-9397-08002B2CF9AE}" pid="186" name="FSC#DOWEBA@15.1400:DocumentFileReference">
    <vt:lpwstr>92es/002-1014#006-010</vt:lpwstr>
  </property>
  <property fmtid="{D5CDD505-2E9C-101B-9397-08002B2CF9AE}" pid="187" name="FSC#DOWEBA@15.1400:EINNumber">
    <vt:lpwstr/>
  </property>
  <property fmtid="{D5CDD505-2E9C-101B-9397-08002B2CF9AE}" pid="188" name="FSC#DOWEBA@15.1400:FaxAuthorEBA">
    <vt:lpwstr>+49 (228) 9826-9362</vt:lpwstr>
  </property>
  <property fmtid="{D5CDD505-2E9C-101B-9397-08002B2CF9AE}" pid="189" name="FSC#DOWEBA@15.1400:FaxOwnerEBA">
    <vt:lpwstr>+49 (228) 9826-9362</vt:lpwstr>
  </property>
  <property fmtid="{D5CDD505-2E9C-101B-9397-08002B2CF9AE}" pid="190" name="FSC#DOWEBA@15.1400:FreigabeFort">
    <vt:lpwstr/>
  </property>
  <property fmtid="{D5CDD505-2E9C-101B-9397-08002B2CF9AE}" pid="191" name="FSC#DOWEBA@15.1400:FremdesGeschaeftszeichen">
    <vt:lpwstr/>
  </property>
  <property fmtid="{D5CDD505-2E9C-101B-9397-08002B2CF9AE}" pid="192" name="FSC#DOWEBA@15.1400:FremdGZErstantrag">
    <vt:lpwstr/>
  </property>
  <property fmtid="{D5CDD505-2E9C-101B-9397-08002B2CF9AE}" pid="193" name="FSC#DOWEBA@15.1400:GA">
    <vt:lpwstr>9230</vt:lpwstr>
  </property>
  <property fmtid="{D5CDD505-2E9C-101B-9397-08002B2CF9AE}" pid="194" name="FSC#DOWEBA@15.1400:GesaOrdnungswidrigkeitAktVorgang">
    <vt:lpwstr/>
  </property>
  <property fmtid="{D5CDD505-2E9C-101B-9397-08002B2CF9AE}" pid="195" name="FSC#DOWEBA@15.1400:GZApplicant">
    <vt:lpwstr/>
  </property>
  <property fmtid="{D5CDD505-2E9C-101B-9397-08002B2CF9AE}" pid="196" name="FSC#DOWEBA@15.1400:GZVorgang">
    <vt:lpwstr>92es/002-1014#006</vt:lpwstr>
  </property>
  <property fmtid="{D5CDD505-2E9C-101B-9397-08002B2CF9AE}" pid="197" name="FSC#DOWEBA@15.1400:HandoutList">
    <vt:lpwstr>Empfänger:_x000D_
Nachrichtlich:_x000D_
</vt:lpwstr>
  </property>
  <property fmtid="{D5CDD505-2E9C-101B-9397-08002B2CF9AE}" pid="198" name="FSC#DOWEBA@15.1400:Hersteller">
    <vt:lpwstr/>
  </property>
  <property fmtid="{D5CDD505-2E9C-101B-9397-08002B2CF9AE}" pid="199" name="FSC#DOWEBA@15.1400:InbetriebnahmeAktVorgang">
    <vt:lpwstr/>
  </property>
  <property fmtid="{D5CDD505-2E9C-101B-9397-08002B2CF9AE}" pid="200" name="FSC#DOWEBA@15.1400:Koordinaten">
    <vt:lpwstr/>
  </property>
  <property fmtid="{D5CDD505-2E9C-101B-9397-08002B2CF9AE}" pid="201" name="FSC#DOWEBA@15.1400:KurzbezeichnungBetriebsstatus">
    <vt:lpwstr/>
  </property>
  <property fmtid="{D5CDD505-2E9C-101B-9397-08002B2CF9AE}" pid="202" name="FSC#DOWEBA@15.1400:LetzteKontrolle">
    <vt:lpwstr/>
  </property>
  <property fmtid="{D5CDD505-2E9C-101B-9397-08002B2CF9AE}" pid="203" name="FSC#DOWEBA@15.1400:Massnahmennummer">
    <vt:lpwstr/>
  </property>
  <property fmtid="{D5CDD505-2E9C-101B-9397-08002B2CF9AE}" pid="204" name="FSC#DOWEBA@15.1400:OWIStatusAktVorgang">
    <vt:lpwstr>Offen</vt:lpwstr>
  </property>
  <property fmtid="{D5CDD505-2E9C-101B-9397-08002B2CF9AE}" pid="205" name="FSC#DOWEBA@15.1400:PhoneAuthorEBA">
    <vt:lpwstr>+49 (228) 9826-362</vt:lpwstr>
  </property>
  <property fmtid="{D5CDD505-2E9C-101B-9397-08002B2CF9AE}" pid="206" name="FSC#DOWEBA@15.1400:PhoneOwnerEBA">
    <vt:lpwstr>+49 (228) 9826-362</vt:lpwstr>
  </property>
  <property fmtid="{D5CDD505-2E9C-101B-9397-08002B2CF9AE}" pid="207" name="FSC#DOWEBA@15.1400:PostgebuehrenAktVorgang">
    <vt:lpwstr/>
  </property>
  <property fmtid="{D5CDD505-2E9C-101B-9397-08002B2CF9AE}" pid="208" name="FSC#DOWEBA@15.1400:Standort">
    <vt:lpwstr/>
  </property>
  <property fmtid="{D5CDD505-2E9C-101B-9397-08002B2CF9AE}" pid="209" name="FSC#DOWEBA@15.1400:Streckenkategorie">
    <vt:lpwstr/>
  </property>
  <property fmtid="{D5CDD505-2E9C-101B-9397-08002B2CF9AE}" pid="210" name="FSC#DOWEBA@15.1400:SZErledigung">
    <vt:lpwstr>Hörster</vt:lpwstr>
  </property>
  <property fmtid="{D5CDD505-2E9C-101B-9397-08002B2CF9AE}" pid="211" name="FSC#DOWEBA@15.1400:TeilanlageAktVorgang">
    <vt:lpwstr/>
  </property>
  <property fmtid="{D5CDD505-2E9C-101B-9397-08002B2CF9AE}" pid="212" name="FSC#DOWEBA@15.1400:VerfahrensArtVVBAU">
    <vt:lpwstr/>
  </property>
  <property fmtid="{D5CDD505-2E9C-101B-9397-08002B2CF9AE}" pid="213" name="FSC#DOWEBA@15.1400:VerfahrenskostenAktVorgang">
    <vt:lpwstr/>
  </property>
  <property fmtid="{D5CDD505-2E9C-101B-9397-08002B2CF9AE}" pid="214" name="FSC#DOWEBA@15.1400:ZustaendigerMitarbeiter">
    <vt:lpwstr/>
  </property>
  <property fmtid="{D5CDD505-2E9C-101B-9397-08002B2CF9AE}" pid="215" name="FSC#DOWEBAEBP@15.1400:AntragstellerErstAntrag">
    <vt:lpwstr/>
  </property>
  <property fmtid="{D5CDD505-2E9C-101B-9397-08002B2CF9AE}" pid="216" name="FSC#DOWEBAEBP@15.1400:ArtDerVerkehrAkteErsteStrecke">
    <vt:lpwstr/>
  </property>
  <property fmtid="{D5CDD505-2E9C-101B-9397-08002B2CF9AE}" pid="217" name="FSC#DOWEBAEBP@15.1400:ArtDerVerkehrErstVorgangErsteStr">
    <vt:lpwstr/>
  </property>
  <property fmtid="{D5CDD505-2E9C-101B-9397-08002B2CF9AE}" pid="218" name="FSC#DOWEBAEBP@15.1400:ArtDerVerkehrVorgangErsteStrecke">
    <vt:lpwstr/>
  </property>
  <property fmtid="{D5CDD505-2E9C-101B-9397-08002B2CF9AE}" pid="219" name="FSC#DOWEBAEBP@15.1400:BaumassnahmeErstAntrag">
    <vt:lpwstr/>
  </property>
  <property fmtid="{D5CDD505-2E9C-101B-9397-08002B2CF9AE}" pid="220" name="FSC#DOWEBAEBP@15.1400:BauortErstAntrag">
    <vt:lpwstr/>
  </property>
  <property fmtid="{D5CDD505-2E9C-101B-9397-08002B2CF9AE}" pid="221" name="FSC#DOWEBAEBP@15.1400:FunktionAntragsteller">
    <vt:lpwstr/>
  </property>
  <property fmtid="{D5CDD505-2E9C-101B-9397-08002B2CF9AE}" pid="222" name="FSC#DOWEBAEBP@15.1400:FunktionAntragstellerErstAntrag">
    <vt:lpwstr/>
  </property>
  <property fmtid="{D5CDD505-2E9C-101B-9397-08002B2CF9AE}" pid="223" name="FSC#DOWEBAEBP@15.1400:GemarkungErstAntrag">
    <vt:lpwstr/>
  </property>
  <property fmtid="{D5CDD505-2E9C-101B-9397-08002B2CF9AE}" pid="224" name="FSC#DOWEBAEBP@15.1400:GleisGegenrAkteErsteStrecke">
    <vt:lpwstr/>
  </property>
  <property fmtid="{D5CDD505-2E9C-101B-9397-08002B2CF9AE}" pid="225" name="FSC#DOWEBAEBP@15.1400:GleisGegenrErstVorgangErsteStr">
    <vt:lpwstr/>
  </property>
  <property fmtid="{D5CDD505-2E9C-101B-9397-08002B2CF9AE}" pid="226" name="FSC#DOWEBAEBP@15.1400:GleisGegenrVorgangErsteStrecke">
    <vt:lpwstr/>
  </property>
  <property fmtid="{D5CDD505-2E9C-101B-9397-08002B2CF9AE}" pid="227" name="FSC#DOWEBAEBP@15.1400:GleisRichtungAkteErsteStrecke">
    <vt:lpwstr/>
  </property>
  <property fmtid="{D5CDD505-2E9C-101B-9397-08002B2CF9AE}" pid="228" name="FSC#DOWEBAEBP@15.1400:GleisRichtungErstVorgangErsteStr">
    <vt:lpwstr/>
  </property>
  <property fmtid="{D5CDD505-2E9C-101B-9397-08002B2CF9AE}" pid="229" name="FSC#DOWEBAEBP@15.1400:GleisRichtungVorgangErsteStrecke">
    <vt:lpwstr/>
  </property>
  <property fmtid="{D5CDD505-2E9C-101B-9397-08002B2CF9AE}" pid="230" name="FSC#DOWEBAEBP@15.1400:KmBisAkteErsteStrecke">
    <vt:lpwstr/>
  </property>
  <property fmtid="{D5CDD505-2E9C-101B-9397-08002B2CF9AE}" pid="231" name="FSC#DOWEBAEBP@15.1400:KmBisAktVorgangErsteStrecke">
    <vt:lpwstr/>
  </property>
  <property fmtid="{D5CDD505-2E9C-101B-9397-08002B2CF9AE}" pid="232" name="FSC#DOWEBAEBP@15.1400:KmBisErstVorgangErsteStrecke">
    <vt:lpwstr/>
  </property>
  <property fmtid="{D5CDD505-2E9C-101B-9397-08002B2CF9AE}" pid="233" name="FSC#DOWEBAEBP@15.1400:KmVonAkteErsteStrecke">
    <vt:lpwstr/>
  </property>
  <property fmtid="{D5CDD505-2E9C-101B-9397-08002B2CF9AE}" pid="234" name="FSC#DOWEBAEBP@15.1400:KmVonAktVorgangErsteStrecke">
    <vt:lpwstr/>
  </property>
  <property fmtid="{D5CDD505-2E9C-101B-9397-08002B2CF9AE}" pid="235" name="FSC#DOWEBAEBP@15.1400:KmVonErstVorgangErsteStrecke">
    <vt:lpwstr/>
  </property>
  <property fmtid="{D5CDD505-2E9C-101B-9397-08002B2CF9AE}" pid="236" name="FSC#DOWEBAEBP@15.1400:SAPNummerErstVorgang">
    <vt:lpwstr/>
  </property>
  <property fmtid="{D5CDD505-2E9C-101B-9397-08002B2CF9AE}" pid="237" name="FSC#DOWEBAEBP@15.1400:SAPNummerVorgang">
    <vt:lpwstr/>
  </property>
  <property fmtid="{D5CDD505-2E9C-101B-9397-08002B2CF9AE}" pid="238" name="FSC#DOWEBAEBP@15.1400:StreckeAktVorgang">
    <vt:lpwstr/>
  </property>
  <property fmtid="{D5CDD505-2E9C-101B-9397-08002B2CF9AE}" pid="239" name="FSC#DOWEBAEBP@15.1400:StreckeErstVorgang">
    <vt:lpwstr/>
  </property>
  <property fmtid="{D5CDD505-2E9C-101B-9397-08002B2CF9AE}" pid="240" name="FSC#DOWEBAEBP@15.1400:StreckenbezAkteErsteStrecke">
    <vt:lpwstr/>
  </property>
  <property fmtid="{D5CDD505-2E9C-101B-9397-08002B2CF9AE}" pid="241" name="FSC#DOWEBAEBP@15.1400:StreckenbezAktVorgangErsteStr">
    <vt:lpwstr/>
  </property>
  <property fmtid="{D5CDD505-2E9C-101B-9397-08002B2CF9AE}" pid="242" name="FSC#DOWEBAEBP@15.1400:StreckenbezErstVorgangErsteStr">
    <vt:lpwstr/>
  </property>
  <property fmtid="{D5CDD505-2E9C-101B-9397-08002B2CF9AE}" pid="243" name="FSC#DOWEBAEBP@15.1400:StreckenNummerAkteErsteStrecke">
    <vt:lpwstr/>
  </property>
  <property fmtid="{D5CDD505-2E9C-101B-9397-08002B2CF9AE}" pid="244" name="FSC#DOWEBAEBP@15.1400:StreckenNummerAktVorgangErsteStr">
    <vt:lpwstr/>
  </property>
  <property fmtid="{D5CDD505-2E9C-101B-9397-08002B2CF9AE}" pid="245" name="FSC#DOWEBAEBP@15.1400:StreckenNummerErstVorgangErsteSt">
    <vt:lpwstr/>
  </property>
  <property fmtid="{D5CDD505-2E9C-101B-9397-08002B2CF9AE}" pid="246" name="FSC#DOWEBAEBP@15.1400:TracksCurrentProcedure">
    <vt:lpwstr/>
  </property>
  <property fmtid="{D5CDD505-2E9C-101B-9397-08002B2CF9AE}" pid="247" name="FSC#DOWEBAEBP@15.1400:TracksCurrentProcedureExt">
    <vt:lpwstr/>
  </property>
  <property fmtid="{D5CDD505-2E9C-101B-9397-08002B2CF9AE}" pid="248" name="FSC#DOWEBAEXT@15.1700:OperatorAddressCurrentProc">
    <vt:lpwstr/>
  </property>
  <property fmtid="{D5CDD505-2E9C-101B-9397-08002B2CF9AE}" pid="249" name="FSC#DOWEBAEXT@15.1700:OperatorCurrentProcedure">
    <vt:lpwstr/>
  </property>
  <property fmtid="{D5CDD505-2E9C-101B-9397-08002B2CF9AE}" pid="250" name="FSC#DOWEBAEXT@15.1700:Owner">
    <vt:lpwstr/>
  </property>
  <property fmtid="{D5CDD505-2E9C-101B-9397-08002B2CF9AE}" pid="251" name="FSC#DOWEBAEXT@15.1700:OwnerAddress">
    <vt:lpwstr/>
  </property>
  <property fmtid="{D5CDD505-2E9C-101B-9397-08002B2CF9AE}" pid="252" name="FSC#DOWEBAEXT@15.1700:OwnerAddressCurrentProc">
    <vt:lpwstr/>
  </property>
  <property fmtid="{D5CDD505-2E9C-101B-9397-08002B2CF9AE}" pid="253" name="FSC#DOWEBAEXT@15.1700:OwnerCurrentProcedure">
    <vt:lpwstr/>
  </property>
  <property fmtid="{D5CDD505-2E9C-101B-9397-08002B2CF9AE}" pid="254" name="FSC#DOWEBAEXT@15.1700:SolicitationID">
    <vt:lpwstr/>
  </property>
  <property fmtid="{D5CDD505-2E9C-101B-9397-08002B2CF9AE}" pid="255" name="FSC#DOWEBARO@15.1400:AbnahmepflichtigAktVorgang">
    <vt:lpwstr/>
  </property>
  <property fmtid="{D5CDD505-2E9C-101B-9397-08002B2CF9AE}" pid="256" name="FSC#DOWEBARO@15.1400:AnerkennungbisAktVorgang">
    <vt:lpwstr/>
  </property>
  <property fmtid="{D5CDD505-2E9C-101B-9397-08002B2CF9AE}" pid="257" name="FSC#DOWEBARO@15.1400:AnerkennungsnummerAktVorgang">
    <vt:lpwstr/>
  </property>
  <property fmtid="{D5CDD505-2E9C-101B-9397-08002B2CF9AE}" pid="258" name="FSC#DOWEBARO@15.1400:AnlagennummerAkt">
    <vt:lpwstr/>
  </property>
  <property fmtid="{D5CDD505-2E9C-101B-9397-08002B2CF9AE}" pid="259" name="FSC#DOWEBARO@15.1400:AnlagennummerAktVorgang">
    <vt:lpwstr/>
  </property>
  <property fmtid="{D5CDD505-2E9C-101B-9397-08002B2CF9AE}" pid="260" name="FSC#DOWEBARO@15.1400:AntragstellerErstAntrag">
    <vt:lpwstr/>
  </property>
  <property fmtid="{D5CDD505-2E9C-101B-9397-08002B2CF9AE}" pid="261" name="FSC#DOWEBARO@15.1400:AntragstellerErstAntragAddress">
    <vt:lpwstr/>
  </property>
  <property fmtid="{D5CDD505-2E9C-101B-9397-08002B2CF9AE}" pid="262" name="FSC#DOWEBARO@15.1400:ApplicantAddressCurrentProcedure">
    <vt:lpwstr/>
  </property>
  <property fmtid="{D5CDD505-2E9C-101B-9397-08002B2CF9AE}" pid="263" name="FSC#DOWEBARO@15.1400:ApplicantCurrentProcedure">
    <vt:lpwstr/>
  </property>
  <property fmtid="{D5CDD505-2E9C-101B-9397-08002B2CF9AE}" pid="264" name="FSC#DOWEBARO@15.1400:ArtAnerkennungsnummerAktVorgang">
    <vt:lpwstr/>
  </property>
  <property fmtid="{D5CDD505-2E9C-101B-9397-08002B2CF9AE}" pid="265" name="FSC#DOWEBARO@15.1400:ArtderZulassungAktVorgang">
    <vt:lpwstr/>
  </property>
  <property fmtid="{D5CDD505-2E9C-101B-9397-08002B2CF9AE}" pid="266" name="FSC#DOWEBARO@15.1400:BaubeginnAktVorgang">
    <vt:lpwstr/>
  </property>
  <property fmtid="{D5CDD505-2E9C-101B-9397-08002B2CF9AE}" pid="267" name="FSC#DOWEBARO@15.1400:BaugruppenAktVorgang">
    <vt:lpwstr/>
  </property>
  <property fmtid="{D5CDD505-2E9C-101B-9397-08002B2CF9AE}" pid="268" name="FSC#DOWEBARO@15.1400:BaukostenAktVorgang">
    <vt:lpwstr/>
  </property>
  <property fmtid="{D5CDD505-2E9C-101B-9397-08002B2CF9AE}" pid="269" name="FSC#DOWEBARO@15.1400:BaumassnahmeErstAntrag">
    <vt:lpwstr/>
  </property>
  <property fmtid="{D5CDD505-2E9C-101B-9397-08002B2CF9AE}" pid="270" name="FSC#DOWEBARO@15.1400:BauortErstAntrag">
    <vt:lpwstr/>
  </property>
  <property fmtid="{D5CDD505-2E9C-101B-9397-08002B2CF9AE}" pid="271" name="FSC#DOWEBARO@15.1400:BetreiberbezeichnungAktVorgang">
    <vt:lpwstr/>
  </property>
  <property fmtid="{D5CDD505-2E9C-101B-9397-08002B2CF9AE}" pid="272" name="FSC#DOWEBARO@15.1400:BuildingOwner">
    <vt:lpwstr/>
  </property>
  <property fmtid="{D5CDD505-2E9C-101B-9397-08002B2CF9AE}" pid="273" name="FSC#DOWEBARO@15.1400:CatalogPenalty">
    <vt:lpwstr/>
  </property>
  <property fmtid="{D5CDD505-2E9C-101B-9397-08002B2CF9AE}" pid="274" name="FSC#DOWEBARO@15.1400:CommunesCurrentProcedure">
    <vt:lpwstr/>
  </property>
  <property fmtid="{D5CDD505-2E9C-101B-9397-08002B2CF9AE}" pid="275" name="FSC#DOWEBARO@15.1400:CONCERNEDAddressCurrentProcedure">
    <vt:lpwstr/>
  </property>
  <property fmtid="{D5CDD505-2E9C-101B-9397-08002B2CF9AE}" pid="276" name="FSC#DOWEBARO@15.1400:CONCERNEDAddressFirstDocument">
    <vt:lpwstr/>
  </property>
  <property fmtid="{D5CDD505-2E9C-101B-9397-08002B2CF9AE}" pid="277" name="FSC#DOWEBARO@15.1400:CONCERNEDCurrentProcedure">
    <vt:lpwstr/>
  </property>
  <property fmtid="{D5CDD505-2E9C-101B-9397-08002B2CF9AE}" pid="278" name="FSC#DOWEBARO@15.1400:CONCERNEDFirstDocument">
    <vt:lpwstr/>
  </property>
  <property fmtid="{D5CDD505-2E9C-101B-9397-08002B2CF9AE}" pid="279" name="FSC#DOWEBARO@15.1400:ConstBenef">
    <vt:lpwstr/>
  </property>
  <property fmtid="{D5CDD505-2E9C-101B-9397-08002B2CF9AE}" pid="280" name="FSC#DOWEBARO@15.1400:Court">
    <vt:lpwstr/>
  </property>
  <property fmtid="{D5CDD505-2E9C-101B-9397-08002B2CF9AE}" pid="281" name="FSC#DOWEBARO@15.1400:CourtAddress">
    <vt:lpwstr/>
  </property>
  <property fmtid="{D5CDD505-2E9C-101B-9397-08002B2CF9AE}" pid="282" name="FSC#DOWEBARO@15.1400:DetectedAt">
    <vt:lpwstr/>
  </property>
  <property fmtid="{D5CDD505-2E9C-101B-9397-08002B2CF9AE}" pid="283" name="FSC#DOWEBARO@15.1400:EBAIdentAktAkte">
    <vt:lpwstr/>
  </property>
  <property fmtid="{D5CDD505-2E9C-101B-9397-08002B2CF9AE}" pid="284" name="FSC#DOWEBARO@15.1400:EBAIdentAktVorgang">
    <vt:lpwstr/>
  </property>
  <property fmtid="{D5CDD505-2E9C-101B-9397-08002B2CF9AE}" pid="285" name="FSC#DOWEBARO@15.1400:EisenbahnBundAktVorgang">
    <vt:lpwstr/>
  </property>
  <property fmtid="{D5CDD505-2E9C-101B-9397-08002B2CF9AE}" pid="286" name="FSC#DOWEBARO@15.1400:EnforcedProvision">
    <vt:lpwstr/>
  </property>
  <property fmtid="{D5CDD505-2E9C-101B-9397-08002B2CF9AE}" pid="287" name="FSC#DOWEBARO@15.1400:EUIdentAktVorgang">
    <vt:lpwstr/>
  </property>
  <property fmtid="{D5CDD505-2E9C-101B-9397-08002B2CF9AE}" pid="288" name="FSC#DOWEBARO@15.1400:ExaminationLocation">
    <vt:lpwstr/>
  </property>
  <property fmtid="{D5CDD505-2E9C-101B-9397-08002B2CF9AE}" pid="289" name="FSC#DOWEBARO@15.1400:FahrzeugbauartAktAkte">
    <vt:lpwstr/>
  </property>
  <property fmtid="{D5CDD505-2E9C-101B-9397-08002B2CF9AE}" pid="290" name="FSC#DOWEBARO@15.1400:FahrzeugbezeichnungAktVorgang">
    <vt:lpwstr/>
  </property>
  <property fmtid="{D5CDD505-2E9C-101B-9397-08002B2CF9AE}" pid="291" name="FSC#DOWEBARO@15.1400:FahrzeugregisterAktVorgang">
    <vt:lpwstr/>
  </property>
  <property fmtid="{D5CDD505-2E9C-101B-9397-08002B2CF9AE}" pid="292" name="FSC#DOWEBARO@15.1400:FahrzeugtypAktVorgang">
    <vt:lpwstr/>
  </property>
  <property fmtid="{D5CDD505-2E9C-101B-9397-08002B2CF9AE}" pid="293" name="FSC#DOWEBARO@15.1400:FlureAktVorgang">
    <vt:lpwstr/>
  </property>
  <property fmtid="{D5CDD505-2E9C-101B-9397-08002B2CF9AE}" pid="294" name="FSC#DOWEBARO@15.1400:FlurstueckeAktVorgang">
    <vt:lpwstr/>
  </property>
  <property fmtid="{D5CDD505-2E9C-101B-9397-08002B2CF9AE}" pid="295" name="FSC#DOWEBARO@15.1400:FunktionAntragsteller">
    <vt:lpwstr/>
  </property>
  <property fmtid="{D5CDD505-2E9C-101B-9397-08002B2CF9AE}" pid="296" name="FSC#DOWEBARO@15.1400:FunktionAntragstellerErstAntrag">
    <vt:lpwstr/>
  </property>
  <property fmtid="{D5CDD505-2E9C-101B-9397-08002B2CF9AE}" pid="297" name="FSC#DOWEBARO@15.1400:GemarkungenAktVorgang">
    <vt:lpwstr/>
  </property>
  <property fmtid="{D5CDD505-2E9C-101B-9397-08002B2CF9AE}" pid="298" name="FSC#DOWEBARO@15.1400:GemarkungErstAntrag">
    <vt:lpwstr/>
  </property>
  <property fmtid="{D5CDD505-2E9C-101B-9397-08002B2CF9AE}" pid="299" name="FSC#DOWEBARO@15.1400:GemeindenAktVorgang">
    <vt:lpwstr/>
  </property>
  <property fmtid="{D5CDD505-2E9C-101B-9397-08002B2CF9AE}" pid="300" name="FSC#DOWEBARO@15.1400:GenehmigungsnummerAktVorgang">
    <vt:lpwstr/>
  </property>
  <property fmtid="{D5CDD505-2E9C-101B-9397-08002B2CF9AE}" pid="301" name="FSC#DOWEBARO@15.1400:HAWAktVorgang">
    <vt:lpwstr/>
  </property>
  <property fmtid="{D5CDD505-2E9C-101B-9397-08002B2CF9AE}" pid="302" name="FSC#DOWEBARO@15.1400:InstandhaltungsprogAktVorgang">
    <vt:lpwstr/>
  </property>
  <property fmtid="{D5CDD505-2E9C-101B-9397-08002B2CF9AE}" pid="303" name="FSC#DOWEBARO@15.1400:InteropAktAkte">
    <vt:lpwstr/>
  </property>
  <property fmtid="{D5CDD505-2E9C-101B-9397-08002B2CF9AE}" pid="304" name="FSC#DOWEBARO@15.1400:MassnahmenortAktVorgang">
    <vt:lpwstr/>
  </property>
  <property fmtid="{D5CDD505-2E9C-101B-9397-08002B2CF9AE}" pid="305" name="FSC#DOWEBARO@15.1400:NationalRegisterAktVorgang">
    <vt:lpwstr/>
  </property>
  <property fmtid="{D5CDD505-2E9C-101B-9397-08002B2CF9AE}" pid="306" name="FSC#DOWEBARO@15.1400:NextExaminationOn">
    <vt:lpwstr/>
  </property>
  <property fmtid="{D5CDD505-2E9C-101B-9397-08002B2CF9AE}" pid="307" name="FSC#DOWEBARO@15.1400:ObjektbereichAktVorgang">
    <vt:lpwstr/>
  </property>
  <property fmtid="{D5CDD505-2E9C-101B-9397-08002B2CF9AE}" pid="308" name="FSC#DOWEBARO@15.1400:ProjectManagementAddressCurrentProcedure">
    <vt:lpwstr/>
  </property>
  <property fmtid="{D5CDD505-2E9C-101B-9397-08002B2CF9AE}" pid="309" name="FSC#DOWEBARO@15.1400:ProjectManagementAddressCurrentProcedureSimple">
    <vt:lpwstr/>
  </property>
  <property fmtid="{D5CDD505-2E9C-101B-9397-08002B2CF9AE}" pid="310" name="FSC#DOWEBARO@15.1400:ProjectManagementCurrentProcedure">
    <vt:lpwstr/>
  </property>
  <property fmtid="{D5CDD505-2E9C-101B-9397-08002B2CF9AE}" pid="311" name="FSC#DOWEBARO@15.1400:ProjectManagementCurrentProcedureSimple">
    <vt:lpwstr/>
  </property>
  <property fmtid="{D5CDD505-2E9C-101B-9397-08002B2CF9AE}" pid="312" name="FSC#DOWEBARO@15.1400:ProtokollnummerAktVorgang">
    <vt:lpwstr/>
  </property>
  <property fmtid="{D5CDD505-2E9C-101B-9397-08002B2CF9AE}" pid="313" name="FSC#DOWEBARO@15.1400:PruefterminAktVorgang">
    <vt:lpwstr/>
  </property>
  <property fmtid="{D5CDD505-2E9C-101B-9397-08002B2CF9AE}" pid="314" name="FSC#DOWEBARO@15.1400:Responsible">
    <vt:lpwstr/>
  </property>
  <property fmtid="{D5CDD505-2E9C-101B-9397-08002B2CF9AE}" pid="315" name="FSC#DOWEBARO@15.1400:SAPNummerErstVorgang">
    <vt:lpwstr/>
  </property>
  <property fmtid="{D5CDD505-2E9C-101B-9397-08002B2CF9AE}" pid="316" name="FSC#DOWEBARO@15.1400:SAPNummerVorgang">
    <vt:lpwstr/>
  </property>
  <property fmtid="{D5CDD505-2E9C-101B-9397-08002B2CF9AE}" pid="317" name="FSC#DOWEBARO@15.1400:StreckenbezeichnungAktVorgang">
    <vt:lpwstr/>
  </property>
  <property fmtid="{D5CDD505-2E9C-101B-9397-08002B2CF9AE}" pid="318" name="FSC#DOWEBARO@15.1400:Substitute">
    <vt:lpwstr/>
  </property>
  <property fmtid="{D5CDD505-2E9C-101B-9397-08002B2CF9AE}" pid="319" name="FSC#DOWEBARO@15.1400:SubstituteAddress">
    <vt:lpwstr/>
  </property>
  <property fmtid="{D5CDD505-2E9C-101B-9397-08002B2CF9AE}" pid="320" name="FSC#DOWEBARO@15.1400:SubstituteAddressCurrentProc">
    <vt:lpwstr/>
  </property>
  <property fmtid="{D5CDD505-2E9C-101B-9397-08002B2CF9AE}" pid="321" name="FSC#DOWEBARO@15.1400:SubstituteCurrentProcedure">
    <vt:lpwstr/>
  </property>
  <property fmtid="{D5CDD505-2E9C-101B-9397-08002B2CF9AE}" pid="322" name="FSC#DOWEBARO@15.1400:TandempartnerAktVorgang">
    <vt:lpwstr/>
  </property>
  <property fmtid="{D5CDD505-2E9C-101B-9397-08002B2CF9AE}" pid="323" name="FSC#DOWEBARO@15.1400:TankcodeAktVorgang">
    <vt:lpwstr/>
  </property>
  <property fmtid="{D5CDD505-2E9C-101B-9397-08002B2CF9AE}" pid="324" name="FSC#DOWEBARO@15.1400:TankherstellungsnummerAktVorgang">
    <vt:lpwstr/>
  </property>
  <property fmtid="{D5CDD505-2E9C-101B-9397-08002B2CF9AE}" pid="325" name="FSC#DOWEBARO@15.1400:TOEBAddressCurrentProcedure">
    <vt:lpwstr/>
  </property>
  <property fmtid="{D5CDD505-2E9C-101B-9397-08002B2CF9AE}" pid="326" name="FSC#DOWEBARO@15.1400:TOEBAddressFirstDocument">
    <vt:lpwstr/>
  </property>
  <property fmtid="{D5CDD505-2E9C-101B-9397-08002B2CF9AE}" pid="327" name="FSC#DOWEBARO@15.1400:TOEBCurrentProcedure">
    <vt:lpwstr/>
  </property>
  <property fmtid="{D5CDD505-2E9C-101B-9397-08002B2CF9AE}" pid="328" name="FSC#DOWEBARO@15.1400:TOEBFilereference">
    <vt:lpwstr/>
  </property>
  <property fmtid="{D5CDD505-2E9C-101B-9397-08002B2CF9AE}" pid="329" name="FSC#DOWEBARO@15.1400:TOEBFirstDocument">
    <vt:lpwstr/>
  </property>
  <property fmtid="{D5CDD505-2E9C-101B-9397-08002B2CF9AE}" pid="330" name="FSC#DOWEBARO@15.1400:UeberwachungsdatumAktVorgang">
    <vt:lpwstr/>
  </property>
  <property fmtid="{D5CDD505-2E9C-101B-9397-08002B2CF9AE}" pid="331" name="FSC#DOWEBARO@15.1400:ViolatedProvision">
    <vt:lpwstr/>
  </property>
  <property fmtid="{D5CDD505-2E9C-101B-9397-08002B2CF9AE}" pid="332" name="FSC#DOWEBARO@15.1400:VorgangsnummerAktVorgang">
    <vt:lpwstr/>
  </property>
  <property fmtid="{D5CDD505-2E9C-101B-9397-08002B2CF9AE}" pid="333" name="FSC#DOWEBARO@15.1400:WitnessFirstName">
    <vt:lpwstr/>
  </property>
  <property fmtid="{D5CDD505-2E9C-101B-9397-08002B2CF9AE}" pid="334" name="FSC#DOWEBARO@15.1400:WitnessName">
    <vt:lpwstr/>
  </property>
  <property fmtid="{D5CDD505-2E9C-101B-9397-08002B2CF9AE}" pid="335" name="FSC#DOWEBARO@15.1400:WitnessSurName">
    <vt:lpwstr/>
  </property>
  <property fmtid="{D5CDD505-2E9C-101B-9397-08002B2CF9AE}" pid="336" name="FSC#DOWEBARO@15.1400:WitnessWorkplace">
    <vt:lpwstr/>
  </property>
  <property fmtid="{D5CDD505-2E9C-101B-9397-08002B2CF9AE}" pid="337" name="FSC#DOWEBARO@15.1400:ZulassungnummerAktVorgang">
    <vt:lpwstr/>
  </property>
  <property fmtid="{D5CDD505-2E9C-101B-9397-08002B2CF9AE}" pid="338" name="FSC#ELAKGOV@1.1001:PersonalSubjAddress">
    <vt:lpwstr/>
  </property>
  <property fmtid="{D5CDD505-2E9C-101B-9397-08002B2CF9AE}" pid="339" name="FSC#ELAKGOV@1.1001:PersonalSubjFirstName">
    <vt:lpwstr/>
  </property>
  <property fmtid="{D5CDD505-2E9C-101B-9397-08002B2CF9AE}" pid="340" name="FSC#ELAKGOV@1.1001:PersonalSubjGender">
    <vt:lpwstr/>
  </property>
  <property fmtid="{D5CDD505-2E9C-101B-9397-08002B2CF9AE}" pid="341" name="FSC#ELAKGOV@1.1001:PersonalSubjSalutation">
    <vt:lpwstr/>
  </property>
  <property fmtid="{D5CDD505-2E9C-101B-9397-08002B2CF9AE}" pid="342" name="FSC#ELAKGOV@1.1001:PersonalSubjSurName">
    <vt:lpwstr/>
  </property>
  <property fmtid="{D5CDD505-2E9C-101B-9397-08002B2CF9AE}" pid="343" name="FSC#FSCFOLIO@1.1001:docpropproject">
    <vt:lpwstr/>
  </property>
  <property fmtid="{D5CDD505-2E9C-101B-9397-08002B2CF9AE}" pid="344" name="FSC#FSCGOVDE@1.1001:DocumentSubj">
    <vt:lpwstr>Entwurf Sicherheitsbericht 2017 nach RL 2004/49/EG_x000D_
 </vt:lpwstr>
  </property>
  <property fmtid="{D5CDD505-2E9C-101B-9397-08002B2CF9AE}" pid="345" name="FSC#FSCGOVDE@1.1001:FileAddSubj">
    <vt:lpwstr/>
  </property>
  <property fmtid="{D5CDD505-2E9C-101B-9397-08002B2CF9AE}" pid="346" name="FSC#FSCGOVDE@1.1001:FileRefOUEmail">
    <vt:lpwstr/>
  </property>
  <property fmtid="{D5CDD505-2E9C-101B-9397-08002B2CF9AE}" pid="347" name="FSC#FSCGOVDE@1.1001:FileRel">
    <vt:lpwstr/>
  </property>
  <property fmtid="{D5CDD505-2E9C-101B-9397-08002B2CF9AE}" pid="348" name="FSC#FSCGOVDE@1.1001:FileSubject">
    <vt:lpwstr>Jahresbericht nach Artikel 18 RL 2004/49/EG</vt:lpwstr>
  </property>
  <property fmtid="{D5CDD505-2E9C-101B-9397-08002B2CF9AE}" pid="349" name="FSC#FSCGOVDE@1.1001:ProcedureRefBarCode">
    <vt:lpwstr>92es/002-1014#006</vt:lpwstr>
  </property>
  <property fmtid="{D5CDD505-2E9C-101B-9397-08002B2CF9AE}" pid="350" name="FSC#FSCGOVDE@1.1001:ProcedureReference">
    <vt:lpwstr>92es/002-1014#006</vt:lpwstr>
  </property>
  <property fmtid="{D5CDD505-2E9C-101B-9397-08002B2CF9AE}" pid="351" name="FSC#FSCGOVDE@1.1001:ProcedureSubject">
    <vt:lpwstr>Jahresbericht 2017</vt:lpwstr>
  </property>
  <property fmtid="{D5CDD505-2E9C-101B-9397-08002B2CF9AE}" pid="352" name="FSC#FSCGOVDE@1.1001:SignFinalVersionAt">
    <vt:lpwstr/>
  </property>
  <property fmtid="{D5CDD505-2E9C-101B-9397-08002B2CF9AE}" pid="353" name="FSC#FSCGOVDE@1.1001:SignFinalVersionBy">
    <vt:lpwstr/>
  </property>
  <property fmtid="{D5CDD505-2E9C-101B-9397-08002B2CF9AE}" pid="354" name="FSC#LOCAL@2025.2000:AnlagentextohneDatum">
    <vt:lpwstr/>
  </property>
</Properties>
</file>