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7 -->
  <w:body>
    <w:sdt>
      <w:sdtPr>
        <w:id w:val="-1164391123"/>
        <w:docPartObj>
          <w:docPartGallery w:val="Cover Pages"/>
          <w:docPartUnique/>
        </w:docPartObj>
      </w:sdtPr>
      <w:sdtEndPr>
        <w:rPr>
          <w:b/>
          <w:bCs/>
          <w:noProof w:val="0"/>
          <w:sz w:val="44"/>
          <w:szCs w:val="48"/>
        </w:rPr>
      </w:sdtEndPr>
      <w:sdtContent>
        <w:p w:rsidR="003714C8" w:rsidRPr="00036A98" w:rsidP="007B2924">
          <w:r w:rsidRPr="00036A98">
            <w:rPr>
              <w:lang w:val="fr-FR" w:eastAsia="fr-FR" w:bidi="ar-SA"/>
            </w:rPr>
            <mc:AlternateContent>
              <mc:Choice Requires="wpg">
                <w:drawing>
                  <wp:anchor distT="0" distB="0" distL="114300" distR="114300" simplePos="0" relativeHeight="251680768" behindDoc="0" locked="0" layoutInCell="0" allowOverlap="1">
                    <wp:simplePos x="0" y="0"/>
                    <wp:positionH relativeFrom="page">
                      <wp:align>right</wp:align>
                    </wp:positionH>
                    <wp:positionV relativeFrom="page">
                      <wp:align>top</wp:align>
                    </wp:positionV>
                    <wp:extent cx="3024124" cy="10692130"/>
                    <wp:effectExtent l="0" t="0" r="0" b="0"/>
                    <wp:wrapNone/>
                    <wp:docPr id="363" name="Group 14"/>
                    <wp:cNvGraphicFramePr/>
                    <a:graphic xmlns:a="http://schemas.openxmlformats.org/drawingml/2006/main">
                      <a:graphicData uri="http://schemas.microsoft.com/office/word/2010/wordprocessingGroup">
                        <wpg:wgp xmlns:wpg="http://schemas.microsoft.com/office/word/2010/wordprocessingGroup">
                          <wpg:cNvGrpSpPr/>
                          <wpg:grpSpPr>
                            <a:xfrm>
                              <a:off x="0" y="0"/>
                              <a:ext cx="3024124" cy="10692130"/>
                              <a:chOff x="7329" y="0"/>
                              <a:chExt cx="4911" cy="15840"/>
                            </a:xfrm>
                          </wpg:grpSpPr>
                          <wpg:grpSp>
                            <wpg:cNvPr id="364" name="Group 364"/>
                            <wpg:cNvGrpSpPr/>
                            <wpg:grpSpPr>
                              <a:xfrm>
                                <a:off x="7344" y="0"/>
                                <a:ext cx="4896" cy="15840"/>
                                <a:chOff x="7560" y="0"/>
                                <a:chExt cx="4700" cy="15840"/>
                              </a:xfrm>
                            </wpg:grpSpPr>
                            <wps:wsp xmlns:wps="http://schemas.microsoft.com/office/word/2010/wordprocessingShape">
                              <wps:cNvPr id="365" name="Rectangle 365"/>
                              <wps:cNvSpPr>
                                <a:spLocks noChangeArrowheads="1"/>
                              </wps:cNvSpPr>
                              <wps:spPr bwMode="auto">
                                <a:xfrm>
                                  <a:off x="7755" y="0"/>
                                  <a:ext cx="4505" cy="15840"/>
                                </a:xfrm>
                                <a:prstGeom prst="rect">
                                  <a:avLst/>
                                </a:prstGeom>
                                <a:solidFill>
                                  <a:schemeClr val="accent3"/>
                                </a:solidFill>
                                <a:extLst>
                                  <a:ext xmlns:a="http://schemas.openxmlformats.org/drawingml/2006/main" uri="{91240B29-F687-4F45-9708-019B960494DF}">
                                    <a14:hiddenLine xmlns:a14="http://schemas.microsoft.com/office/drawing/2010/main" w="9525">
                                      <a:solidFill>
                                        <a:srgbClr val="D8D8D8"/>
                                      </a:solidFill>
                                      <a:miter lim="800000"/>
                                      <a:headEnd/>
                                      <a:tailEnd/>
                                    </a14:hiddenLine>
                                  </a:ext>
                                </a:extLst>
                              </wps:spPr>
                              <wps:bodyPr rot="0" vert="horz" wrap="square" anchor="t" anchorCtr="0" upright="1"/>
                            </wps:wsp>
                            <wps:wsp xmlns:wps="http://schemas.microsoft.com/office/word/2010/wordprocessingShape">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xmlns:a="http://schemas.openxmlformats.org/drawingml/2006/main" uri="{91240B29-F687-4F45-9708-019B960494DF}">
                                    <a14:hiddenLine xmlns:a14="http://schemas.microsoft.com/office/drawing/2010/main" w="12700">
                                      <a:solidFill>
                                        <a:srgbClr val="FFFFFF"/>
                                      </a:solidFill>
                                      <a:miter lim="800000"/>
                                      <a:headEnd/>
                                      <a:tailEnd/>
                                    </a14:hiddenLine>
                                  </a:ext>
                                  <a:ext xmlns:a="http://schemas.openxmlformats.org/drawingml/2006/main" uri="{AF507438-7753-43E0-B8FC-AC1667EBCBE1}">
                                    <a14:hiddenEffects xmlns:a14="http://schemas.microsoft.com/office/drawing/2010/main">
                                      <a:effectLst>
                                        <a:outerShdw algn="ctr" dir="2700000" dist="53882" rotWithShape="0">
                                          <a:srgbClr val="D8D8D8"/>
                                        </a:outerShdw>
                                      </a:effectLst>
                                    </a14:hiddenEffects>
                                  </a:ext>
                                </a:extLst>
                              </wps:spPr>
                              <wps:bodyPr rot="0" vert="horz" wrap="square" anchor="ctr" anchorCtr="0" upright="1"/>
                            </wps:wsp>
                          </wpg:grpSp>
                          <wps:wsp xmlns:wps="http://schemas.microsoft.com/office/word/2010/wordprocessingShape">
                            <wps:cNvPr id="367" name="Rectangle 367"/>
                            <wps:cNvSpPr>
                              <a:spLocks noChangeArrowheads="1"/>
                            </wps:cNvSpPr>
                            <wps:spPr bwMode="auto">
                              <a:xfrm>
                                <a:off x="7344" y="0"/>
                                <a:ext cx="4896" cy="3958"/>
                              </a:xfrm>
                              <a:prstGeom prst="rect">
                                <a:avLst/>
                              </a:prstGeom>
                              <a:noFill/>
                              <a:extLst>
                                <a:ext xmlns:a="http://schemas.openxmlformats.org/drawingml/2006/main" uri="{909E8E84-426E-40DD-AFC4-6F175D3DCCD1}">
                                  <a14:hiddenFill xmlns:a14="http://schemas.microsoft.com/office/drawing/2010/main">
                                    <a:solidFill>
                                      <a:srgbClr val="FFFFFF">
                                        <a:alpha val="80000"/>
                                      </a:srgbClr>
                                    </a:solidFill>
                                  </a14:hiddenFill>
                                </a:ext>
                                <a:ext xmlns:a="http://schemas.openxmlformats.org/drawingml/2006/main" uri="{91240B29-F687-4F45-9708-019B960494DF}">
                                  <a14:hiddenLine xmlns:a14="http://schemas.microsoft.com/office/drawing/2010/main" w="12700">
                                    <a:solidFill>
                                      <a:srgbClr val="FFFFFF"/>
                                    </a:solidFill>
                                    <a:miter lim="800000"/>
                                    <a:headEnd/>
                                    <a:tailEnd/>
                                  </a14:hiddenLine>
                                </a:ext>
                                <a:ext xmlns:a="http://schemas.openxmlformats.org/drawingml/2006/main" uri="{AF507438-7753-43E0-B8FC-AC1667EBCBE1}">
                                  <a14:hiddenEffects xmlns:a14="http://schemas.microsoft.com/office/drawing/2010/main">
                                    <a:effectLst>
                                      <a:outerShdw algn="ctr" dir="2700000" dist="53882" rotWithShape="0">
                                        <a:srgbClr val="D8D8D8"/>
                                      </a:outerShdw>
                                    </a:effectLst>
                                  </a14:hiddenEffects>
                                </a:ext>
                              </a:extLst>
                            </wps:spPr>
                            <wps:txbx>
                              <w:txbxContent>
                                <w:sdt>
                                  <w:sdtPr>
                                    <w:rPr>
                                      <w:rFonts w:ascii="Times New Roman" w:hAnsi="Times New Roman" w:eastAsiaTheme="majorEastAsia" w:cs="Times New Roman"/>
                                      <w:b/>
                                      <w:bCs/>
                                      <w:color w:val="FFFFFF" w:themeColor="background1"/>
                                      <w:sz w:val="96"/>
                                      <w:szCs w:val="96"/>
                                    </w:rPr>
                                    <w:alias w:val="Year"/>
                                    <w:id w:val="1146906333"/>
                                    <w:dataBinding w:prefixMappings="xmlns:ns0='http://schemas.microsoft.com/office/2006/coverPageProps'" w:xpath="/ns0:CoverPageProperties[1]/ns0:PublishDate[1]" w:storeItemID="{55AF091B-3C7A-41E3-B477-F2FDAA23CFDA}"/>
                                    <w:date w:fullDate="2018-09-28T00:00:00Z">
                                      <w:dateFormat w:val="yyyy"/>
                                      <w:lid w:val="en-US"/>
                                      <w:storeMappedDataAs w:val="dateTime"/>
                                      <w:calendar w:val="gregorian"/>
                                    </w:date>
                                  </w:sdtPr>
                                  <w:sdtContent>
                                    <w:p w:rsidR="002F5A3F" w:rsidRPr="00036A98">
                                      <w:pPr>
                                        <w:pStyle w:val="NoSpacing"/>
                                        <w:rPr>
                                          <w:rFonts w:ascii="Times New Roman" w:hAnsi="Times New Roman" w:eastAsiaTheme="majorEastAsia" w:cs="Times New Roman"/>
                                          <w:b/>
                                          <w:bCs/>
                                          <w:color w:val="FFFFFF" w:themeColor="background1"/>
                                          <w:sz w:val="96"/>
                                          <w:szCs w:val="96"/>
                                        </w:rPr>
                                      </w:pPr>
                                      <w:r w:rsidRPr="00036A98">
                                        <w:rPr>
                                          <w:rFonts w:ascii="Times New Roman" w:hAnsi="Times New Roman" w:eastAsiaTheme="majorEastAsia" w:cs="Times New Roman"/>
                                          <w:b/>
                                          <w:bCs/>
                                          <w:color w:val="FFFFFF" w:themeColor="background1"/>
                                          <w:sz w:val="96"/>
                                          <w:szCs w:val="96"/>
                                        </w:rPr>
                                        <w:t>2018</w:t>
                                      </w:r>
                                    </w:p>
                                  </w:sdtContent>
                                </w:sdt>
                              </w:txbxContent>
                            </wps:txbx>
                            <wps:bodyPr rot="0" vert="horz" wrap="square" lIns="365760" tIns="182880" rIns="182880" bIns="182880" anchor="b" anchorCtr="0" upright="1"/>
                          </wps:wsp>
                          <wps:wsp xmlns:wps="http://schemas.microsoft.com/office/word/2010/wordprocessingShape">
                            <wps:cNvPr id="368" name="Rectangle 9"/>
                            <wps:cNvSpPr>
                              <a:spLocks noChangeArrowheads="1"/>
                            </wps:cNvSpPr>
                            <wps:spPr bwMode="auto">
                              <a:xfrm>
                                <a:off x="7329" y="10658"/>
                                <a:ext cx="4889" cy="4462"/>
                              </a:xfrm>
                              <a:prstGeom prst="rect">
                                <a:avLst/>
                              </a:prstGeom>
                              <a:noFill/>
                              <a:extLst>
                                <a:ext xmlns:a="http://schemas.openxmlformats.org/drawingml/2006/main" uri="{909E8E84-426E-40DD-AFC4-6F175D3DCCD1}">
                                  <a14:hiddenFill xmlns:a14="http://schemas.microsoft.com/office/drawing/2010/main">
                                    <a:solidFill>
                                      <a:srgbClr val="FFFFFF">
                                        <a:alpha val="80000"/>
                                      </a:srgbClr>
                                    </a:solidFill>
                                  </a14:hiddenFill>
                                </a:ext>
                                <a:ext xmlns:a="http://schemas.openxmlformats.org/drawingml/2006/main" uri="{91240B29-F687-4F45-9708-019B960494DF}">
                                  <a14:hiddenLine xmlns:a14="http://schemas.microsoft.com/office/drawing/2010/main" w="12700">
                                    <a:solidFill>
                                      <a:srgbClr val="FFFFFF"/>
                                    </a:solidFill>
                                    <a:miter lim="800000"/>
                                    <a:headEnd/>
                                    <a:tailEnd/>
                                  </a14:hiddenLine>
                                </a:ext>
                                <a:ext xmlns:a="http://schemas.openxmlformats.org/drawingml/2006/main" uri="{AF507438-7753-43E0-B8FC-AC1667EBCBE1}">
                                  <a14:hiddenEffects xmlns:a14="http://schemas.microsoft.com/office/drawing/2010/main">
                                    <a:effectLst>
                                      <a:outerShdw algn="ctr" dir="2700000" dist="53882" rotWithShape="0">
                                        <a:srgbClr val="D8D8D8"/>
                                      </a:outerShdw>
                                    </a:effectLst>
                                  </a14:hiddenEffects>
                                </a:ext>
                              </a:extLst>
                            </wps:spPr>
                            <wps:txbx>
                              <w:txbxContent>
                                <w:sdt>
                                  <w:sdtPr>
                                    <w:rPr>
                                      <w:rFonts w:ascii="Times New Roman" w:hAnsi="Times New Roman" w:cs="Times New Roman"/>
                                      <w:b/>
                                      <w:color w:val="002060"/>
                                      <w:sz w:val="32"/>
                                    </w:rPr>
                                    <w:alias w:val="Company"/>
                                    <w:id w:val="189001940"/>
                                    <w:dataBinding w:prefixMappings="xmlns:ns0='http://schemas.openxmlformats.org/officeDocument/2006/extended-properties'" w:xpath="/ns0:Properties[1]/ns0:Company[1]" w:storeItemID="{6668398D-A668-4E3E-A5EB-62B293D839F1}"/>
                                    <w:text/>
                                  </w:sdtPr>
                                  <w:sdtContent>
                                    <w:p w:rsidR="002F5A3F" w:rsidRPr="00036A98">
                                      <w:pPr>
                                        <w:pStyle w:val="NoSpacing"/>
                                        <w:spacing w:line="360" w:lineRule="auto"/>
                                        <w:rPr>
                                          <w:rFonts w:ascii="Times New Roman" w:hAnsi="Times New Roman" w:cs="Times New Roman"/>
                                          <w:b/>
                                          <w:color w:val="002060"/>
                                          <w:sz w:val="32"/>
                                        </w:rPr>
                                      </w:pPr>
                                      <w:r w:rsidRPr="00036A98">
                                        <w:rPr>
                                          <w:rFonts w:ascii="Times New Roman" w:hAnsi="Times New Roman" w:cs="Times New Roman"/>
                                          <w:b/>
                                          <w:color w:val="002060"/>
                                          <w:sz w:val="32"/>
                                        </w:rPr>
                                        <w:t>CDT</w:t>
                                      </w:r>
                                    </w:p>
                                  </w:sdtContent>
                                </w:sdt>
                                <w:sdt>
                                  <w:sdtPr>
                                    <w:rPr>
                                      <w:rFonts w:ascii="Times New Roman" w:hAnsi="Times New Roman" w:cs="Times New Roman"/>
                                      <w:color w:val="FFFFFF" w:themeColor="background1"/>
                                      <w:sz w:val="32"/>
                                    </w:rPr>
                                    <w:alias w:val="Date"/>
                                    <w:id w:val="1219873686"/>
                                    <w:dataBinding w:prefixMappings="xmlns:ns0='http://schemas.microsoft.com/office/2006/coverPageProps'" w:xpath="/ns0:CoverPageProperties[1]/ns0:PublishDate[1]" w:storeItemID="{55AF091B-3C7A-41E3-B477-F2FDAA23CFDA}"/>
                                    <w:date w:fullDate="2018-09-28T00:00:00Z">
                                      <w:dateFormat w:val="M/d/yyyy"/>
                                      <w:lid w:val="en-US"/>
                                      <w:storeMappedDataAs w:val="dateTime"/>
                                      <w:calendar w:val="gregorian"/>
                                    </w:date>
                                  </w:sdtPr>
                                  <w:sdtContent>
                                    <w:p w:rsidR="002F5A3F" w:rsidRPr="00036A98">
                                      <w:pPr>
                                        <w:pStyle w:val="NoSpacing"/>
                                        <w:spacing w:line="360" w:lineRule="auto"/>
                                        <w:rPr>
                                          <w:rFonts w:ascii="Times New Roman" w:hAnsi="Times New Roman" w:cs="Times New Roman"/>
                                          <w:color w:val="FFFFFF" w:themeColor="background1"/>
                                          <w:sz w:val="32"/>
                                        </w:rPr>
                                      </w:pPr>
                                      <w:r w:rsidRPr="00036A98">
                                        <w:rPr>
                                          <w:rFonts w:ascii="Times New Roman" w:hAnsi="Times New Roman" w:cs="Times New Roman"/>
                                          <w:color w:val="FFFFFF" w:themeColor="background1"/>
                                          <w:sz w:val="32"/>
                                        </w:rPr>
                                        <w:t>9/28/2018</w:t>
                                      </w:r>
                                    </w:p>
                                  </w:sdtContent>
                                </w:sdt>
                              </w:txbxContent>
                            </wps:txbx>
                            <wps:bodyPr rot="0" vert="horz" wrap="square" lIns="365760" tIns="182880" rIns="182880" bIns="182880" anchor="b" anchorCtr="0" upright="1"/>
                          </wps:wsp>
                        </wpg:wgp>
                      </a:graphicData>
                    </a:graphic>
                    <wp14:sizeRelH relativeFrom="page">
                      <wp14:pctWidth>40000</wp14:pctWidth>
                    </wp14:sizeRelH>
                    <wp14:sizeRelV relativeFrom="page">
                      <wp14:pctHeight>100000</wp14:pctHeight>
                    </wp14:sizeRelV>
                  </wp:anchor>
                </w:drawing>
              </mc:Choice>
              <mc:Fallback>
                <w:pict>
                  <v:group id="Group 14" o:spid="_x0000_s1025" style="width:238.1pt;height:841.9pt;margin-top:0;margin-left:186.9pt;mso-height-percent:1000;mso-position-horizontal:right;mso-position-horizontal-relative:page;mso-position-vertical:top;mso-position-vertical-relative:page;mso-width-percent:400;position:absolute;z-index:251681792" coordorigin="7329,0" coordsize="4911,15840" o:allowincell="f">
                    <v:group id="Group 364" o:spid="_x0000_s1026" style="width:4896;height:15840;left:7344;position:absolute" coordorigin="7560,0" coordsize="4700,15840">
                      <v:rect id="Rectangle 365" o:spid="_x0000_s1027" style="width:4505;height:15840;left:7755;mso-wrap-style:square;position:absolute;visibility:visible;v-text-anchor:top" fillcolor="#0bd0d9" stroked="f" strokecolor="#d8d8d8"/>
                      <v:rect id="Rectangle 366" o:spid="_x0000_s1028" alt="Light vertical" style="width:195;height:15825;left:7560;mso-wrap-style:square;position:absolute;top:8;visibility:visible;v-text-anchor:middle" fillcolor="#0bd0d9" stroked="f" strokecolor="white" strokeweight="1pt">
                        <v:fill r:id="rId7" o:title="" opacity="52428f" color2="white" o:opacity2="52428f" type="pattern"/>
                        <v:shadow color="#d8d8d8" offset="3pt,3pt"/>
                      </v:rect>
                    </v:group>
                    <v:rect id="Rectangle 367" o:spid="_x0000_s1029" style="width:4896;height:3958;left:7344;mso-wrap-style:square;position:absolute;visibility:visible;v-text-anchor:bottom" filled="f" stroked="f" strokecolor="white" strokeweight="1pt">
                      <v:fill opacity="52428f"/>
                      <v:shadow color="#d8d8d8" offset="3pt,3pt"/>
                      <v:textbox inset="28.8pt,14.4pt,14.4pt,14.4pt">
                        <w:txbxContent>
                          <w:sdt>
                            <w:sdtPr>
                              <w:rPr>
                                <w:rFonts w:ascii="Times New Roman" w:hAnsi="Times New Roman" w:eastAsiaTheme="majorEastAsia" w:cs="Times New Roman"/>
                                <w:b/>
                                <w:bCs/>
                                <w:color w:val="FFFFFF" w:themeColor="background1"/>
                                <w:sz w:val="96"/>
                                <w:szCs w:val="96"/>
                              </w:rPr>
                              <w:alias w:val="Year"/>
                              <w:id w:val="1555542577"/>
                              <w:dataBinding w:prefixMappings="xmlns:ns0='http://schemas.microsoft.com/office/2006/coverPageProps'" w:xpath="/ns0:CoverPageProperties[1]/ns0:PublishDate[1]" w:storeItemID="{55AF091B-3C7A-41E3-B477-F2FDAA23CFDA}"/>
                              <w:date w:fullDate="2018-09-28T00:00:00Z">
                                <w:dateFormat w:val="yyyy"/>
                                <w:lid w:val="en-US"/>
                                <w:storeMappedDataAs w:val="dateTime"/>
                                <w:calendar w:val="gregorian"/>
                              </w:date>
                            </w:sdtPr>
                            <w:sdtContent>
                              <w:p w:rsidR="002F5A3F" w:rsidRPr="00036A98">
                                <w:pPr>
                                  <w:pStyle w:val="NoSpacing"/>
                                  <w:rPr>
                                    <w:rFonts w:ascii="Times New Roman" w:hAnsi="Times New Roman" w:eastAsiaTheme="majorEastAsia" w:cs="Times New Roman"/>
                                    <w:b/>
                                    <w:bCs/>
                                    <w:color w:val="FFFFFF" w:themeColor="background1"/>
                                    <w:sz w:val="96"/>
                                    <w:szCs w:val="96"/>
                                  </w:rPr>
                                </w:pPr>
                                <w:r w:rsidRPr="00036A98">
                                  <w:rPr>
                                    <w:rFonts w:ascii="Times New Roman" w:hAnsi="Times New Roman" w:eastAsiaTheme="majorEastAsia" w:cs="Times New Roman"/>
                                    <w:b/>
                                    <w:bCs/>
                                    <w:color w:val="FFFFFF" w:themeColor="background1"/>
                                    <w:sz w:val="96"/>
                                    <w:szCs w:val="96"/>
                                  </w:rPr>
                                  <w:t>2018</w:t>
                                </w:r>
                              </w:p>
                            </w:sdtContent>
                          </w:sdt>
                        </w:txbxContent>
                      </v:textbox>
                    </v:rect>
                    <v:rect id="Rectangle 9" o:spid="_x0000_s1030" style="width:4889;height:4462;left:7329;mso-wrap-style:square;position:absolute;top:10658;visibility:visible;v-text-anchor:bottom" filled="f" stroked="f" strokecolor="white" strokeweight="1pt">
                      <v:fill opacity="52428f"/>
                      <v:shadow color="#d8d8d8" offset="3pt,3pt"/>
                      <v:textbox inset="28.8pt,14.4pt,14.4pt,14.4pt">
                        <w:txbxContent>
                          <w:sdt>
                            <w:sdtPr>
                              <w:rPr>
                                <w:rFonts w:ascii="Times New Roman" w:hAnsi="Times New Roman" w:cs="Times New Roman"/>
                                <w:b/>
                                <w:color w:val="002060"/>
                                <w:sz w:val="32"/>
                              </w:rPr>
                              <w:alias w:val="Company"/>
                              <w:id w:val="124222545"/>
                              <w:dataBinding w:prefixMappings="xmlns:ns0='http://schemas.openxmlformats.org/officeDocument/2006/extended-properties'" w:xpath="/ns0:Properties[1]/ns0:Company[1]" w:storeItemID="{6668398D-A668-4E3E-A5EB-62B293D839F1}"/>
                              <w:text/>
                            </w:sdtPr>
                            <w:sdtContent>
                              <w:p w:rsidR="002F5A3F" w:rsidRPr="00036A98">
                                <w:pPr>
                                  <w:pStyle w:val="NoSpacing"/>
                                  <w:spacing w:line="360" w:lineRule="auto"/>
                                  <w:rPr>
                                    <w:rFonts w:ascii="Times New Roman" w:hAnsi="Times New Roman" w:cs="Times New Roman"/>
                                    <w:b/>
                                    <w:color w:val="002060"/>
                                    <w:sz w:val="32"/>
                                  </w:rPr>
                                </w:pPr>
                                <w:r w:rsidRPr="00036A98">
                                  <w:rPr>
                                    <w:rFonts w:ascii="Times New Roman" w:hAnsi="Times New Roman" w:cs="Times New Roman"/>
                                    <w:b/>
                                    <w:color w:val="002060"/>
                                    <w:sz w:val="32"/>
                                  </w:rPr>
                                  <w:t>CDT</w:t>
                                </w:r>
                              </w:p>
                            </w:sdtContent>
                          </w:sdt>
                          <w:sdt>
                            <w:sdtPr>
                              <w:rPr>
                                <w:rFonts w:ascii="Times New Roman" w:hAnsi="Times New Roman" w:cs="Times New Roman"/>
                                <w:color w:val="FFFFFF" w:themeColor="background1"/>
                                <w:sz w:val="32"/>
                              </w:rPr>
                              <w:alias w:val="Date"/>
                              <w:id w:val="1352868258"/>
                              <w:dataBinding w:prefixMappings="xmlns:ns0='http://schemas.microsoft.com/office/2006/coverPageProps'" w:xpath="/ns0:CoverPageProperties[1]/ns0:PublishDate[1]" w:storeItemID="{55AF091B-3C7A-41E3-B477-F2FDAA23CFDA}"/>
                              <w:date w:fullDate="2018-09-28T00:00:00Z">
                                <w:dateFormat w:val="M/d/yyyy"/>
                                <w:lid w:val="en-US"/>
                                <w:storeMappedDataAs w:val="dateTime"/>
                                <w:calendar w:val="gregorian"/>
                              </w:date>
                            </w:sdtPr>
                            <w:sdtContent>
                              <w:p w:rsidR="002F5A3F" w:rsidRPr="00036A98">
                                <w:pPr>
                                  <w:pStyle w:val="NoSpacing"/>
                                  <w:spacing w:line="360" w:lineRule="auto"/>
                                  <w:rPr>
                                    <w:rFonts w:ascii="Times New Roman" w:hAnsi="Times New Roman" w:cs="Times New Roman"/>
                                    <w:color w:val="FFFFFF" w:themeColor="background1"/>
                                    <w:sz w:val="32"/>
                                  </w:rPr>
                                </w:pPr>
                                <w:r w:rsidRPr="00036A98">
                                  <w:rPr>
                                    <w:rFonts w:ascii="Times New Roman" w:hAnsi="Times New Roman" w:cs="Times New Roman"/>
                                    <w:color w:val="FFFFFF" w:themeColor="background1"/>
                                    <w:sz w:val="32"/>
                                  </w:rPr>
                                  <w:t>9/28/2018</w:t>
                                </w:r>
                              </w:p>
                            </w:sdtContent>
                          </w:sdt>
                        </w:txbxContent>
                      </v:textbox>
                    </v:rect>
                  </v:group>
                </w:pict>
              </mc:Fallback>
            </mc:AlternateContent>
          </w:r>
        </w:p>
        <w:p w:rsidR="003714C8" w:rsidRPr="00036A98" w:rsidP="007B2924">
          <w:pPr>
            <w:rPr>
              <w:b/>
              <w:bCs/>
              <w:noProof w:val="0"/>
              <w:sz w:val="44"/>
              <w:szCs w:val="48"/>
            </w:rPr>
          </w:pPr>
          <w:r w:rsidRPr="00036A98">
            <w:rPr>
              <w:lang w:val="fr-FR" w:eastAsia="fr-FR" w:bidi="ar-SA"/>
            </w:rPr>
            <mc:AlternateContent>
              <mc:Choice Requires="wps">
                <w:drawing>
                  <wp:anchor distT="0" distB="0" distL="114300" distR="114300" simplePos="0" relativeHeight="251683840" behindDoc="0" locked="0" layoutInCell="0" allowOverlap="1">
                    <wp:simplePos x="0" y="0"/>
                    <wp:positionH relativeFrom="page">
                      <wp:posOffset>-262394</wp:posOffset>
                    </wp:positionH>
                    <wp:positionV relativeFrom="page">
                      <wp:posOffset>2425148</wp:posOffset>
                    </wp:positionV>
                    <wp:extent cx="7259541" cy="770365"/>
                    <wp:effectExtent l="0" t="0" r="17780" b="10160"/>
                    <wp:wrapNone/>
                    <wp:docPr id="362" name="Rectangle 1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7259541" cy="770365"/>
                            </a:xfrm>
                            <a:prstGeom prst="rect">
                              <a:avLst/>
                            </a:prstGeom>
                            <a:solidFill>
                              <a:schemeClr val="accent1"/>
                            </a:solidFill>
                            <a:ln w="12700">
                              <a:solidFill>
                                <a:schemeClr val="bg1"/>
                              </a:solidFill>
                              <a:miter lim="800000"/>
                              <a:headEnd/>
                              <a:tailEnd/>
                            </a:ln>
                          </wps:spPr>
                          <wps:txbx>
                            <w:txbxContent>
                              <w:p w:rsidR="002F5A3F" w:rsidRPr="00036A98" w:rsidP="00FE4168">
                                <w:pPr>
                                  <w:pStyle w:val="NoSpacing"/>
                                  <w:jc w:val="right"/>
                                  <w:rPr>
                                    <w:rFonts w:ascii="Times New Roman" w:hAnsi="Times New Roman" w:eastAsiaTheme="majorEastAsia" w:cs="Times New Roman"/>
                                    <w:color w:val="FFFFFF" w:themeColor="background1"/>
                                    <w:sz w:val="60"/>
                                    <w:szCs w:val="60"/>
                                  </w:rPr>
                                </w:pPr>
                                <w:r w:rsidRPr="00036A98">
                                  <w:rPr>
                                    <w:rFonts w:ascii="Times New Roman" w:hAnsi="Times New Roman" w:eastAsiaTheme="majorEastAsia"/>
                                    <w:color w:val="FFFFFF" w:themeColor="background1"/>
                                    <w:sz w:val="60"/>
                                  </w:rPr>
                                  <w:t>Annual safety report of the National Safety Authority of the Republic of Bulgaria 2017</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id="Rectangle 16" o:spid="_x0000_s1031" style="width:571.6pt;height:60.65pt;margin-top:190.95pt;margin-left:-20.65pt;mso-height-percent:73;mso-height-relative:page;mso-position-horizontal-relative:page;mso-position-vertical-relative:page;mso-width-percent:0;mso-width-relative:page;mso-wrap-distance-bottom:0;mso-wrap-distance-left:9pt;mso-wrap-distance-right:9pt;mso-wrap-distance-top:0;mso-wrap-style:square;position:absolute;visibility:visible;v-text-anchor:middle;z-index:251684864" o:allowincell="f" fillcolor="#0f6fc6" strokecolor="white" strokeweight="1pt">
                    <v:textbox style="mso-fit-shape-to-text:t" inset="14.4pt,,14.4pt">
                      <w:txbxContent>
                        <w:p w:rsidR="002F5A3F" w:rsidRPr="00036A98" w:rsidP="00FE4168">
                          <w:pPr>
                            <w:pStyle w:val="NoSpacing"/>
                            <w:jc w:val="right"/>
                            <w:rPr>
                              <w:rFonts w:ascii="Times New Roman" w:hAnsi="Times New Roman" w:eastAsiaTheme="majorEastAsia" w:cs="Times New Roman"/>
                              <w:color w:val="FFFFFF" w:themeColor="background1"/>
                              <w:sz w:val="60"/>
                              <w:szCs w:val="60"/>
                            </w:rPr>
                          </w:pPr>
                          <w:r w:rsidRPr="00036A98">
                            <w:rPr>
                              <w:rFonts w:ascii="Times New Roman" w:hAnsi="Times New Roman" w:eastAsiaTheme="majorEastAsia"/>
                              <w:color w:val="FFFFFF" w:themeColor="background1"/>
                              <w:sz w:val="60"/>
                            </w:rPr>
                            <w:t>Annual safety report of the National Safety Authority of the Republic of Bulgaria 2017</w:t>
                          </w:r>
                        </w:p>
                      </w:txbxContent>
                    </v:textbox>
                  </v:rect>
                </w:pict>
              </mc:Fallback>
            </mc:AlternateContent>
          </w:r>
          <w:r w:rsidRPr="00036A98">
            <w:rPr>
              <w:lang w:val="fr-FR" w:eastAsia="fr-FR" w:bidi="ar-SA"/>
            </w:rPr>
            <w:drawing>
              <wp:anchor distT="0" distB="0" distL="114300" distR="114300" simplePos="0" relativeHeight="251682816" behindDoc="0" locked="0" layoutInCell="0" allowOverlap="1">
                <wp:simplePos x="0" y="0"/>
                <wp:positionH relativeFrom="page">
                  <wp:posOffset>2363470</wp:posOffset>
                </wp:positionH>
                <wp:positionV relativeFrom="page">
                  <wp:posOffset>3848708</wp:posOffset>
                </wp:positionV>
                <wp:extent cx="5184775" cy="3706495"/>
                <wp:effectExtent l="19050" t="19050" r="15875" b="273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949394" name="motion.jpg"/>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0" y="0"/>
                          <a:ext cx="5184775" cy="3706495"/>
                        </a:xfrm>
                        <a:prstGeom prst="rect">
                          <a:avLst/>
                        </a:prstGeom>
                        <a:ln w="12700">
                          <a:solidFill>
                            <a:schemeClr val="bg1"/>
                          </a:solidFill>
                        </a:ln>
                      </pic:spPr>
                    </pic:pic>
                  </a:graphicData>
                </a:graphic>
                <wp14:sizeRelH relativeFrom="margin">
                  <wp14:pctWidth>0</wp14:pctWidth>
                </wp14:sizeRelH>
              </wp:anchor>
            </w:drawing>
          </w:r>
          <w:r w:rsidRPr="00036A98">
            <w:br w:type="page"/>
          </w:r>
        </w:p>
      </w:sdtContent>
    </w:sdt>
    <w:p w:rsidR="00DA1832" w:rsidRPr="00036A98" w:rsidP="00282EB2">
      <w:pPr>
        <w:autoSpaceDE w:val="0"/>
        <w:autoSpaceDN w:val="0"/>
        <w:adjustRightInd w:val="0"/>
        <w:ind w:left="-284"/>
        <w:jc w:val="both"/>
        <w:rPr>
          <w:rFonts w:eastAsia="Calibri"/>
          <w:b/>
          <w:color w:val="0B5294" w:themeColor="accent1" w:themeShade="BF"/>
        </w:rPr>
      </w:pPr>
      <w:r w:rsidRPr="00036A98">
        <w:rPr>
          <w:b/>
          <w:color w:val="0B5294" w:themeColor="accent1" w:themeShade="BF"/>
        </w:rPr>
        <w:t>CONTENTS</w:t>
      </w:r>
    </w:p>
    <w:p w:rsidR="00282EB2" w:rsidRPr="00036A98" w:rsidP="00282EB2">
      <w:pPr>
        <w:pStyle w:val="TOC2"/>
        <w:ind w:left="-284"/>
        <w:rPr>
          <w:b w:val="0"/>
          <w:bCs/>
          <w:caps w:val="0"/>
          <w:color w:val="0B5294" w:themeColor="accent1" w:themeShade="BF"/>
          <w:sz w:val="22"/>
          <w:szCs w:val="22"/>
        </w:rPr>
      </w:pPr>
      <w:r w:rsidRPr="00036A98">
        <w:tab/>
      </w:r>
      <w:hyperlink w:anchor="_Toc491791269" w:history="1">
        <w:r w:rsidRPr="00036A98">
          <w:rPr>
            <w:rStyle w:val="Hyperlink"/>
            <w:smallCaps/>
            <w:color w:val="0B5294" w:themeColor="accent1" w:themeShade="BF"/>
          </w:rPr>
          <w:t>Abbreviations used in the report</w:t>
        </w:r>
        <w:r w:rsidRPr="00036A98">
          <w:rPr>
            <w:rStyle w:val="Hyperlink"/>
            <w:smallCaps/>
            <w:color w:val="0B5294" w:themeColor="accent1" w:themeShade="BF"/>
            <w:u w:val="none"/>
          </w:rPr>
          <w:t xml:space="preserve"> </w:t>
        </w:r>
        <w:r w:rsidRPr="00036A98">
          <w:rPr>
            <w:webHidden/>
            <w:color w:val="0B5294" w:themeColor="accent1" w:themeShade="BF"/>
          </w:rPr>
          <w:t>2</w:t>
        </w:r>
      </w:hyperlink>
    </w:p>
    <w:p w:rsidR="00282EB2" w:rsidRPr="00036A98" w:rsidP="00282EB2">
      <w:pPr>
        <w:pStyle w:val="TOC2"/>
        <w:ind w:left="-284"/>
        <w:rPr>
          <w:b w:val="0"/>
          <w:bCs/>
          <w:caps w:val="0"/>
          <w:color w:val="0B5294" w:themeColor="accent1" w:themeShade="BF"/>
          <w:sz w:val="22"/>
          <w:szCs w:val="22"/>
        </w:rPr>
      </w:pPr>
      <w:hyperlink w:anchor="_Toc491791270" w:history="1">
        <w:r w:rsidRPr="00036A98">
          <w:rPr>
            <w:rStyle w:val="Hyperlink"/>
            <w:color w:val="0B5294" w:themeColor="accent1" w:themeShade="BF"/>
          </w:rPr>
          <w:t>A.</w:t>
        </w:r>
        <w:r w:rsidRPr="00036A98">
          <w:tab/>
        </w:r>
        <w:r w:rsidRPr="00036A98">
          <w:rPr>
            <w:rStyle w:val="Hyperlink"/>
            <w:color w:val="0B5294" w:themeColor="accent1" w:themeShade="BF"/>
          </w:rPr>
          <w:t>INTRODUCTION</w:t>
        </w:r>
        <w:r w:rsidRPr="00036A98">
          <w:rPr>
            <w:webHidden/>
            <w:color w:val="0B5294" w:themeColor="accent1" w:themeShade="BF"/>
          </w:rPr>
          <w:t xml:space="preserve"> 3</w:t>
        </w:r>
      </w:hyperlink>
    </w:p>
    <w:p w:rsidR="00282EB2" w:rsidRPr="00036A98" w:rsidP="00F54BB6">
      <w:pPr>
        <w:pStyle w:val="TOC1"/>
        <w:ind w:left="-284" w:hanging="142"/>
        <w:rPr>
          <w:color w:val="0B5294" w:themeColor="accent1" w:themeShade="BF"/>
          <w:sz w:val="22"/>
          <w:szCs w:val="22"/>
        </w:rPr>
      </w:pPr>
      <w:hyperlink w:anchor="_Toc491791271" w:history="1">
        <w:r w:rsidRPr="00036A98">
          <w:rPr>
            <w:rStyle w:val="Hyperlink"/>
            <w:color w:val="0B5294" w:themeColor="accent1" w:themeShade="BF"/>
          </w:rPr>
          <w:t>A.1.</w:t>
        </w:r>
        <w:r w:rsidRPr="00036A98">
          <w:tab/>
        </w:r>
        <w:r w:rsidRPr="00036A98">
          <w:rPr>
            <w:rStyle w:val="Hyperlink"/>
            <w:color w:val="0B5294" w:themeColor="accent1" w:themeShade="BF"/>
          </w:rPr>
          <w:t>Objective, Scope and Addressees of the Report</w:t>
        </w:r>
        <w:r w:rsidRPr="00036A98">
          <w:rPr>
            <w:rStyle w:val="Hyperlink"/>
            <w:color w:val="0B5294" w:themeColor="accent1" w:themeShade="BF"/>
            <w:u w:val="none"/>
          </w:rPr>
          <w:t xml:space="preserve"> </w:t>
        </w:r>
        <w:r w:rsidRPr="00036A98">
          <w:rPr>
            <w:webHidden/>
            <w:color w:val="0B5294" w:themeColor="accent1" w:themeShade="BF"/>
          </w:rPr>
          <w:t>3</w:t>
        </w:r>
      </w:hyperlink>
    </w:p>
    <w:p w:rsidR="00282EB2" w:rsidRPr="00036A98" w:rsidP="00F54BB6">
      <w:pPr>
        <w:pStyle w:val="TOC1"/>
        <w:ind w:left="-284" w:hanging="142"/>
        <w:rPr>
          <w:color w:val="0B5294" w:themeColor="accent1" w:themeShade="BF"/>
          <w:sz w:val="22"/>
          <w:szCs w:val="22"/>
        </w:rPr>
      </w:pPr>
      <w:hyperlink w:anchor="_Toc491791272" w:history="1">
        <w:r w:rsidRPr="00036A98">
          <w:rPr>
            <w:rStyle w:val="Hyperlink"/>
            <w:color w:val="0B5294" w:themeColor="accent1" w:themeShade="BF"/>
          </w:rPr>
          <w:t>A.2.</w:t>
        </w:r>
        <w:r w:rsidRPr="00036A98">
          <w:tab/>
        </w:r>
        <w:r w:rsidRPr="00036A98">
          <w:rPr>
            <w:rStyle w:val="Hyperlink"/>
            <w:color w:val="0B5294" w:themeColor="accent1" w:themeShade="BF"/>
          </w:rPr>
          <w:t>Significant Organisational Changes Affecting the NSA</w:t>
        </w:r>
        <w:r w:rsidRPr="00036A98">
          <w:rPr>
            <w:rStyle w:val="Hyperlink"/>
            <w:color w:val="0B5294" w:themeColor="accent1" w:themeShade="BF"/>
            <w:u w:val="none"/>
          </w:rPr>
          <w:t xml:space="preserve"> </w:t>
        </w:r>
        <w:r w:rsidRPr="00036A98">
          <w:rPr>
            <w:webHidden/>
            <w:color w:val="0B5294" w:themeColor="accent1" w:themeShade="BF"/>
          </w:rPr>
          <w:t>4</w:t>
        </w:r>
      </w:hyperlink>
    </w:p>
    <w:p w:rsidR="00282EB2" w:rsidRPr="00036A98" w:rsidP="00282EB2">
      <w:pPr>
        <w:pStyle w:val="TOC2"/>
        <w:ind w:left="-284"/>
        <w:rPr>
          <w:b w:val="0"/>
          <w:bCs/>
          <w:caps w:val="0"/>
          <w:color w:val="0B5294" w:themeColor="accent1" w:themeShade="BF"/>
          <w:sz w:val="22"/>
          <w:szCs w:val="22"/>
        </w:rPr>
      </w:pPr>
      <w:hyperlink w:anchor="_Toc491791273" w:history="1">
        <w:r w:rsidRPr="00036A98">
          <w:rPr>
            <w:rStyle w:val="Hyperlink"/>
            <w:color w:val="0B5294" w:themeColor="accent1" w:themeShade="BF"/>
          </w:rPr>
          <w:t>B.</w:t>
        </w:r>
        <w:r w:rsidRPr="00036A98">
          <w:tab/>
        </w:r>
        <w:r w:rsidRPr="00036A98">
          <w:rPr>
            <w:rStyle w:val="Hyperlink"/>
            <w:color w:val="0B5294" w:themeColor="accent1" w:themeShade="BF"/>
          </w:rPr>
          <w:t>Overall Safety Performance and Strategy</w:t>
        </w:r>
        <w:r w:rsidRPr="00036A98">
          <w:rPr>
            <w:rStyle w:val="Hyperlink"/>
            <w:color w:val="0B5294" w:themeColor="accent1" w:themeShade="BF"/>
            <w:u w:val="none"/>
          </w:rPr>
          <w:t xml:space="preserve"> </w:t>
        </w:r>
        <w:r w:rsidRPr="00036A98">
          <w:rPr>
            <w:webHidden/>
            <w:color w:val="0B5294" w:themeColor="accent1" w:themeShade="BF"/>
          </w:rPr>
          <w:t>4</w:t>
        </w:r>
      </w:hyperlink>
    </w:p>
    <w:p w:rsidR="00282EB2" w:rsidRPr="00036A98" w:rsidP="00F54BB6">
      <w:pPr>
        <w:pStyle w:val="TOC1"/>
        <w:ind w:left="-284" w:hanging="142"/>
        <w:rPr>
          <w:color w:val="0B5294" w:themeColor="accent1" w:themeShade="BF"/>
          <w:sz w:val="22"/>
          <w:szCs w:val="22"/>
        </w:rPr>
      </w:pPr>
      <w:hyperlink w:anchor="_Toc491791274" w:history="1">
        <w:r w:rsidRPr="00036A98">
          <w:rPr>
            <w:rStyle w:val="Hyperlink"/>
            <w:color w:val="0B5294" w:themeColor="accent1" w:themeShade="BF"/>
          </w:rPr>
          <w:t>B.1.</w:t>
        </w:r>
        <w:r w:rsidRPr="00036A98">
          <w:tab/>
        </w:r>
        <w:r w:rsidRPr="00036A98">
          <w:rPr>
            <w:rStyle w:val="Hyperlink"/>
            <w:color w:val="0B5294" w:themeColor="accent1" w:themeShade="BF"/>
          </w:rPr>
          <w:t>Main Conclusions from the Reporting Year</w:t>
        </w:r>
        <w:r w:rsidRPr="00036A98">
          <w:rPr>
            <w:rStyle w:val="Hyperlink"/>
            <w:color w:val="0B5294" w:themeColor="accent1" w:themeShade="BF"/>
            <w:u w:val="none"/>
          </w:rPr>
          <w:t xml:space="preserve"> </w:t>
        </w:r>
        <w:r w:rsidRPr="00036A98">
          <w:rPr>
            <w:webHidden/>
            <w:color w:val="0B5294" w:themeColor="accent1" w:themeShade="BF"/>
          </w:rPr>
          <w:t>4</w:t>
        </w:r>
      </w:hyperlink>
    </w:p>
    <w:p w:rsidR="00282EB2" w:rsidRPr="00036A98" w:rsidP="00F54BB6">
      <w:pPr>
        <w:pStyle w:val="TOC1"/>
        <w:ind w:left="-284" w:hanging="142"/>
        <w:rPr>
          <w:color w:val="0B5294" w:themeColor="accent1" w:themeShade="BF"/>
          <w:sz w:val="22"/>
          <w:szCs w:val="22"/>
        </w:rPr>
      </w:pPr>
      <w:hyperlink w:anchor="_Toc491791275" w:history="1">
        <w:r w:rsidRPr="00036A98">
          <w:rPr>
            <w:rStyle w:val="Hyperlink"/>
            <w:color w:val="0B5294" w:themeColor="accent1" w:themeShade="BF"/>
          </w:rPr>
          <w:t>B.2.</w:t>
        </w:r>
        <w:r w:rsidRPr="00036A98">
          <w:tab/>
        </w:r>
        <w:r w:rsidRPr="00036A98">
          <w:rPr>
            <w:rStyle w:val="Hyperlink"/>
            <w:color w:val="0B5294" w:themeColor="accent1" w:themeShade="BF"/>
          </w:rPr>
          <w:t>National Safety Strategy, Programmes and Initiatives</w:t>
        </w:r>
        <w:r w:rsidRPr="00036A98">
          <w:rPr>
            <w:webHidden/>
            <w:color w:val="0B5294" w:themeColor="accent1" w:themeShade="BF"/>
          </w:rPr>
          <w:t xml:space="preserve"> 12</w:t>
        </w:r>
      </w:hyperlink>
    </w:p>
    <w:p w:rsidR="00282EB2" w:rsidRPr="00036A98" w:rsidP="00F54BB6">
      <w:pPr>
        <w:pStyle w:val="TOC1"/>
        <w:ind w:left="-284" w:hanging="142"/>
        <w:rPr>
          <w:color w:val="0B5294" w:themeColor="accent1" w:themeShade="BF"/>
          <w:sz w:val="22"/>
          <w:szCs w:val="22"/>
        </w:rPr>
      </w:pPr>
      <w:hyperlink w:anchor="_Toc491791276" w:history="1">
        <w:r w:rsidRPr="00036A98">
          <w:rPr>
            <w:rStyle w:val="Hyperlink"/>
            <w:color w:val="0B5294" w:themeColor="accent1" w:themeShade="BF"/>
          </w:rPr>
          <w:t>B.3.</w:t>
        </w:r>
        <w:r w:rsidRPr="00036A98">
          <w:tab/>
        </w:r>
        <w:r w:rsidRPr="00036A98">
          <w:rPr>
            <w:rStyle w:val="Hyperlink"/>
            <w:color w:val="0B5294" w:themeColor="accent1" w:themeShade="BF"/>
          </w:rPr>
          <w:t>Review of the Previous Year</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_Toc491791276 \h </w:instrText>
        </w:r>
        <w:r w:rsidRPr="00036A98">
          <w:rPr>
            <w:webHidden/>
            <w:color w:val="0B5294" w:themeColor="accent1" w:themeShade="BF"/>
          </w:rPr>
          <w:fldChar w:fldCharType="separate"/>
        </w:r>
        <w:r w:rsidRPr="00036A98">
          <w:rPr>
            <w:webHidden/>
            <w:color w:val="0B5294" w:themeColor="accent1" w:themeShade="BF"/>
          </w:rPr>
          <w:t>14</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77" w:history="1">
        <w:r w:rsidRPr="00036A98">
          <w:rPr>
            <w:rStyle w:val="Hyperlink"/>
            <w:color w:val="0B5294" w:themeColor="accent1" w:themeShade="BF"/>
          </w:rPr>
          <w:t>B.4.</w:t>
        </w:r>
        <w:r w:rsidRPr="00036A98">
          <w:tab/>
        </w:r>
        <w:r w:rsidRPr="00036A98">
          <w:rPr>
            <w:rStyle w:val="Hyperlink"/>
            <w:color w:val="0B5294" w:themeColor="accent1" w:themeShade="BF"/>
          </w:rPr>
          <w:t>Focus Areas for the Next Year</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_Toc491791277 \h </w:instrText>
        </w:r>
        <w:r w:rsidRPr="00036A98">
          <w:rPr>
            <w:webHidden/>
            <w:color w:val="0B5294" w:themeColor="accent1" w:themeShade="BF"/>
          </w:rPr>
          <w:fldChar w:fldCharType="separate"/>
        </w:r>
        <w:r w:rsidRPr="00036A98">
          <w:rPr>
            <w:webHidden/>
            <w:color w:val="0B5294" w:themeColor="accent1" w:themeShade="BF"/>
          </w:rPr>
          <w:t>14</w:t>
        </w:r>
        <w:r w:rsidRPr="00036A98">
          <w:rPr>
            <w:webHidden/>
            <w:color w:val="0B5294" w:themeColor="accent1" w:themeShade="BF"/>
          </w:rPr>
          <w:fldChar w:fldCharType="end"/>
        </w:r>
      </w:hyperlink>
    </w:p>
    <w:p w:rsidR="00282EB2" w:rsidRPr="00036A98" w:rsidP="00282EB2">
      <w:pPr>
        <w:pStyle w:val="TOC2"/>
        <w:ind w:left="-284"/>
        <w:rPr>
          <w:b w:val="0"/>
          <w:bCs/>
          <w:caps w:val="0"/>
          <w:color w:val="0B5294" w:themeColor="accent1" w:themeShade="BF"/>
          <w:sz w:val="22"/>
          <w:szCs w:val="22"/>
        </w:rPr>
      </w:pPr>
      <w:hyperlink w:anchor="_Toc491791278" w:history="1">
        <w:r w:rsidRPr="00036A98">
          <w:rPr>
            <w:rStyle w:val="Hyperlink"/>
            <w:color w:val="0B5294" w:themeColor="accent1" w:themeShade="BF"/>
          </w:rPr>
          <w:t>C.</w:t>
        </w:r>
        <w:r w:rsidRPr="00036A98">
          <w:tab/>
        </w:r>
        <w:r w:rsidRPr="00036A98">
          <w:rPr>
            <w:rStyle w:val="Hyperlink"/>
            <w:color w:val="0B5294" w:themeColor="accent1" w:themeShade="BF"/>
          </w:rPr>
          <w:t>Development of Safety</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_Toc491791278 \h </w:instrText>
        </w:r>
        <w:r w:rsidRPr="00036A98">
          <w:rPr>
            <w:webHidden/>
            <w:color w:val="0B5294" w:themeColor="accent1" w:themeShade="BF"/>
          </w:rPr>
          <w:fldChar w:fldCharType="separate"/>
        </w:r>
        <w:r w:rsidRPr="00036A98">
          <w:rPr>
            <w:webHidden/>
            <w:color w:val="0B5294" w:themeColor="accent1" w:themeShade="BF"/>
          </w:rPr>
          <w:t>15</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79" w:history="1">
        <w:r w:rsidRPr="00036A98">
          <w:rPr>
            <w:rStyle w:val="Hyperlink"/>
            <w:color w:val="0B5294" w:themeColor="accent1" w:themeShade="BF"/>
          </w:rPr>
          <w:t>C.1.</w:t>
        </w:r>
        <w:r w:rsidRPr="00036A98">
          <w:tab/>
        </w:r>
        <w:r w:rsidRPr="00036A98">
          <w:rPr>
            <w:rStyle w:val="Hyperlink"/>
            <w:color w:val="0B5294" w:themeColor="accent1" w:themeShade="BF"/>
          </w:rPr>
          <w:t>Detailed Analysis of the Latest Recorded Trends</w:t>
        </w:r>
        <w:r w:rsidRPr="00036A98">
          <w:rPr>
            <w:webHidden/>
            <w:color w:val="0B5294" w:themeColor="accent1" w:themeShade="BF"/>
          </w:rPr>
          <w:fldChar w:fldCharType="begin"/>
        </w:r>
        <w:r w:rsidRPr="00036A98">
          <w:rPr>
            <w:webHidden/>
            <w:color w:val="0B5294" w:themeColor="accent1" w:themeShade="BF"/>
          </w:rPr>
          <w:instrText xml:space="preserve"> PAGEREF _Toc491791279 \h </w:instrText>
        </w:r>
        <w:r w:rsidRPr="00036A98">
          <w:rPr>
            <w:webHidden/>
            <w:color w:val="0B5294" w:themeColor="accent1" w:themeShade="BF"/>
          </w:rPr>
          <w:fldChar w:fldCharType="separate"/>
        </w:r>
        <w:r w:rsidRPr="00036A98">
          <w:rPr>
            <w:webHidden/>
            <w:color w:val="0B5294" w:themeColor="accent1" w:themeShade="BF"/>
          </w:rPr>
          <w:t>15</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80" w:history="1">
        <w:r w:rsidRPr="00036A98">
          <w:rPr>
            <w:rStyle w:val="Hyperlink"/>
            <w:color w:val="0B5294" w:themeColor="accent1" w:themeShade="BF"/>
          </w:rPr>
          <w:t>C.2.</w:t>
        </w:r>
        <w:r w:rsidRPr="00036A98">
          <w:tab/>
        </w:r>
        <w:r w:rsidRPr="00036A98">
          <w:rPr>
            <w:rStyle w:val="Hyperlink"/>
            <w:color w:val="0B5294" w:themeColor="accent1" w:themeShade="BF"/>
          </w:rPr>
          <w:t>Results of Safety Recommendations</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_Toc491791280 \h </w:instrText>
        </w:r>
        <w:r w:rsidRPr="00036A98">
          <w:rPr>
            <w:webHidden/>
            <w:color w:val="0B5294" w:themeColor="accent1" w:themeShade="BF"/>
          </w:rPr>
          <w:fldChar w:fldCharType="separate"/>
        </w:r>
        <w:r w:rsidRPr="00036A98">
          <w:rPr>
            <w:webHidden/>
            <w:color w:val="0B5294" w:themeColor="accent1" w:themeShade="BF"/>
          </w:rPr>
          <w:t>17</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81" w:history="1">
        <w:r w:rsidRPr="00036A98">
          <w:rPr>
            <w:rStyle w:val="Hyperlink"/>
            <w:color w:val="0B5294" w:themeColor="accent1" w:themeShade="BF"/>
          </w:rPr>
          <w:t>C.3.</w:t>
        </w:r>
        <w:r w:rsidRPr="00036A98">
          <w:tab/>
        </w:r>
        <w:r w:rsidRPr="00036A98">
          <w:rPr>
            <w:rStyle w:val="Hyperlink"/>
            <w:color w:val="0B5294" w:themeColor="accent1" w:themeShade="BF"/>
          </w:rPr>
          <w:t>Measures Taken not in Relation to NIB’s Recommendations</w:t>
        </w:r>
        <w:r w:rsidRPr="00036A98">
          <w:rPr>
            <w:webHidden/>
            <w:color w:val="0B5294" w:themeColor="accent1" w:themeShade="BF"/>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_Toc491791281 \h </w:instrText>
        </w:r>
        <w:r w:rsidRPr="00036A98">
          <w:rPr>
            <w:webHidden/>
            <w:color w:val="0B5294" w:themeColor="accent1" w:themeShade="BF"/>
          </w:rPr>
          <w:fldChar w:fldCharType="separate"/>
        </w:r>
        <w:r w:rsidRPr="00036A98">
          <w:rPr>
            <w:webHidden/>
            <w:color w:val="0B5294" w:themeColor="accent1" w:themeShade="BF"/>
          </w:rPr>
          <w:t>23</w:t>
        </w:r>
        <w:r w:rsidRPr="00036A98">
          <w:rPr>
            <w:webHidden/>
            <w:color w:val="0B5294" w:themeColor="accent1" w:themeShade="BF"/>
          </w:rPr>
          <w:fldChar w:fldCharType="end"/>
        </w:r>
      </w:hyperlink>
    </w:p>
    <w:p w:rsidR="00282EB2" w:rsidRPr="00036A98" w:rsidP="00282EB2">
      <w:pPr>
        <w:pStyle w:val="TOC2"/>
        <w:ind w:left="-284"/>
        <w:rPr>
          <w:b w:val="0"/>
          <w:bCs/>
          <w:caps w:val="0"/>
          <w:color w:val="0B5294" w:themeColor="accent1" w:themeShade="BF"/>
          <w:sz w:val="22"/>
          <w:szCs w:val="22"/>
        </w:rPr>
      </w:pPr>
      <w:hyperlink w:anchor="_Toc491791282" w:history="1">
        <w:r w:rsidRPr="00036A98">
          <w:rPr>
            <w:rStyle w:val="Hyperlink"/>
            <w:color w:val="0B5294" w:themeColor="accent1" w:themeShade="BF"/>
          </w:rPr>
          <w:t>D.</w:t>
        </w:r>
        <w:r w:rsidRPr="00036A98">
          <w:tab/>
        </w:r>
        <w:r w:rsidRPr="00036A98">
          <w:rPr>
            <w:rStyle w:val="Hyperlink"/>
            <w:color w:val="0B5294" w:themeColor="accent1" w:themeShade="BF"/>
          </w:rPr>
          <w:t>SUPERVISION</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_Toc491791282 \h </w:instrText>
        </w:r>
        <w:r w:rsidRPr="00036A98">
          <w:rPr>
            <w:webHidden/>
            <w:color w:val="0B5294" w:themeColor="accent1" w:themeShade="BF"/>
          </w:rPr>
          <w:fldChar w:fldCharType="separate"/>
        </w:r>
        <w:r w:rsidRPr="00036A98">
          <w:rPr>
            <w:webHidden/>
            <w:color w:val="0B5294" w:themeColor="accent1" w:themeShade="BF"/>
          </w:rPr>
          <w:t>25</w:t>
        </w:r>
        <w:r w:rsidRPr="00036A98">
          <w:rPr>
            <w:webHidden/>
            <w:color w:val="0B5294" w:themeColor="accent1" w:themeShade="BF"/>
          </w:rPr>
          <w:fldChar w:fldCharType="end"/>
        </w:r>
      </w:hyperlink>
    </w:p>
    <w:p w:rsidR="00282EB2" w:rsidRPr="00036A98" w:rsidP="00F54BB6">
      <w:pPr>
        <w:pStyle w:val="TOC2"/>
        <w:ind w:left="-284" w:hanging="142"/>
        <w:rPr>
          <w:b w:val="0"/>
          <w:bCs/>
          <w:caps w:val="0"/>
          <w:color w:val="0B5294" w:themeColor="accent1" w:themeShade="BF"/>
          <w:sz w:val="22"/>
          <w:szCs w:val="22"/>
        </w:rPr>
      </w:pPr>
      <w:hyperlink w:anchor="_Toc491791283" w:history="1">
        <w:r w:rsidRPr="00036A98">
          <w:rPr>
            <w:rStyle w:val="Hyperlink"/>
            <w:b w:val="0"/>
            <w:color w:val="0B5294" w:themeColor="accent1" w:themeShade="BF"/>
          </w:rPr>
          <w:t>D.1. Strategy and Plan(s)</w:t>
        </w:r>
        <w:r w:rsidRPr="00036A98">
          <w:rPr>
            <w:b w:val="0"/>
            <w:webHidden/>
            <w:color w:val="0B5294" w:themeColor="accent1" w:themeShade="BF"/>
          </w:rPr>
          <w:t xml:space="preserve"> </w:t>
        </w:r>
        <w:r w:rsidRPr="00036A98">
          <w:rPr>
            <w:b w:val="0"/>
            <w:bCs/>
            <w:webHidden/>
            <w:color w:val="0B5294" w:themeColor="accent1" w:themeShade="BF"/>
          </w:rPr>
          <w:fldChar w:fldCharType="begin"/>
        </w:r>
        <w:r w:rsidRPr="00036A98">
          <w:rPr>
            <w:b w:val="0"/>
            <w:webHidden/>
            <w:color w:val="0B5294" w:themeColor="accent1" w:themeShade="BF"/>
          </w:rPr>
          <w:instrText xml:space="preserve"> PAGEREF _Toc491791283 \h </w:instrText>
        </w:r>
        <w:r w:rsidRPr="00036A98">
          <w:rPr>
            <w:b w:val="0"/>
            <w:bCs/>
            <w:webHidden/>
            <w:color w:val="0B5294" w:themeColor="accent1" w:themeShade="BF"/>
          </w:rPr>
          <w:fldChar w:fldCharType="separate"/>
        </w:r>
        <w:r w:rsidRPr="00036A98">
          <w:rPr>
            <w:b w:val="0"/>
            <w:webHidden/>
            <w:color w:val="0B5294" w:themeColor="accent1" w:themeShade="BF"/>
          </w:rPr>
          <w:t>25</w:t>
        </w:r>
        <w:r w:rsidRPr="00036A98">
          <w:rPr>
            <w:b w:val="0"/>
            <w:bCs/>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84" w:history="1">
        <w:r w:rsidRPr="00036A98">
          <w:rPr>
            <w:rStyle w:val="Hyperlink"/>
            <w:color w:val="0B5294" w:themeColor="accent1" w:themeShade="BF"/>
          </w:rPr>
          <w:t>D.2.</w:t>
        </w:r>
        <w:r w:rsidRPr="00036A98">
          <w:tab/>
        </w:r>
        <w:r w:rsidRPr="00036A98">
          <w:rPr>
            <w:rStyle w:val="Hyperlink"/>
            <w:color w:val="0B5294" w:themeColor="accent1" w:themeShade="BF"/>
          </w:rPr>
          <w:t>Human Resources</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_Toc491791284 \h </w:instrText>
        </w:r>
        <w:r w:rsidRPr="00036A98">
          <w:rPr>
            <w:webHidden/>
            <w:color w:val="0B5294" w:themeColor="accent1" w:themeShade="BF"/>
          </w:rPr>
          <w:fldChar w:fldCharType="separate"/>
        </w:r>
        <w:r w:rsidRPr="00036A98">
          <w:rPr>
            <w:webHidden/>
            <w:color w:val="0B5294" w:themeColor="accent1" w:themeShade="BF"/>
          </w:rPr>
          <w:t>25</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85" w:history="1">
        <w:r w:rsidRPr="00036A98">
          <w:rPr>
            <w:rStyle w:val="Hyperlink"/>
            <w:color w:val="0B5294" w:themeColor="accent1" w:themeShade="BF"/>
          </w:rPr>
          <w:t>D.3.</w:t>
        </w:r>
        <w:r w:rsidRPr="00036A98">
          <w:tab/>
        </w:r>
        <w:r w:rsidRPr="00036A98">
          <w:rPr>
            <w:rStyle w:val="Hyperlink"/>
            <w:color w:val="0B5294" w:themeColor="accent1" w:themeShade="BF"/>
          </w:rPr>
          <w:t>Competence</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_Toc491791285 \h </w:instrText>
        </w:r>
        <w:r w:rsidRPr="00036A98">
          <w:rPr>
            <w:webHidden/>
            <w:color w:val="0B5294" w:themeColor="accent1" w:themeShade="BF"/>
          </w:rPr>
          <w:fldChar w:fldCharType="separate"/>
        </w:r>
        <w:r w:rsidRPr="00036A98">
          <w:rPr>
            <w:webHidden/>
            <w:color w:val="0B5294" w:themeColor="accent1" w:themeShade="BF"/>
          </w:rPr>
          <w:t>27</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86" w:history="1">
        <w:r w:rsidRPr="00036A98">
          <w:rPr>
            <w:rStyle w:val="Hyperlink"/>
            <w:color w:val="0B5294" w:themeColor="accent1" w:themeShade="BF"/>
          </w:rPr>
          <w:t>D.4.</w:t>
        </w:r>
        <w:r w:rsidRPr="00036A98">
          <w:tab/>
        </w:r>
        <w:r w:rsidRPr="00036A98">
          <w:rPr>
            <w:rStyle w:val="Hyperlink"/>
            <w:color w:val="0B5294" w:themeColor="accent1" w:themeShade="BF"/>
          </w:rPr>
          <w:t>Decision-making</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_Toc491791286 \h </w:instrText>
        </w:r>
        <w:r w:rsidRPr="00036A98">
          <w:rPr>
            <w:webHidden/>
            <w:color w:val="0B5294" w:themeColor="accent1" w:themeShade="BF"/>
          </w:rPr>
          <w:fldChar w:fldCharType="separate"/>
        </w:r>
        <w:r w:rsidRPr="00036A98">
          <w:rPr>
            <w:webHidden/>
            <w:color w:val="0B5294" w:themeColor="accent1" w:themeShade="BF"/>
          </w:rPr>
          <w:t>27</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87" w:history="1">
        <w:r w:rsidRPr="00036A98">
          <w:rPr>
            <w:rStyle w:val="Hyperlink"/>
            <w:color w:val="0B5294" w:themeColor="accent1" w:themeShade="BF"/>
          </w:rPr>
          <w:t>D.5.</w:t>
        </w:r>
        <w:r w:rsidRPr="00036A98">
          <w:tab/>
        </w:r>
        <w:r w:rsidRPr="00036A98">
          <w:rPr>
            <w:rStyle w:val="Hyperlink"/>
            <w:color w:val="0B5294" w:themeColor="accent1" w:themeShade="BF"/>
          </w:rPr>
          <w:t>Coordination and Cooperation</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_Toc491791287 \h </w:instrText>
        </w:r>
        <w:r w:rsidRPr="00036A98">
          <w:rPr>
            <w:webHidden/>
            <w:color w:val="0B5294" w:themeColor="accent1" w:themeShade="BF"/>
          </w:rPr>
          <w:fldChar w:fldCharType="separate"/>
        </w:r>
        <w:r w:rsidRPr="00036A98">
          <w:rPr>
            <w:webHidden/>
            <w:color w:val="0B5294" w:themeColor="accent1" w:themeShade="BF"/>
          </w:rPr>
          <w:t>28</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88" w:history="1">
        <w:r w:rsidRPr="00036A98">
          <w:rPr>
            <w:rStyle w:val="Hyperlink"/>
            <w:color w:val="0B5294" w:themeColor="accent1" w:themeShade="BF"/>
          </w:rPr>
          <w:t>D.6.</w:t>
        </w:r>
        <w:r w:rsidRPr="00036A98">
          <w:tab/>
        </w:r>
        <w:r w:rsidRPr="00036A98">
          <w:rPr>
            <w:rStyle w:val="Hyperlink"/>
            <w:color w:val="0B5294" w:themeColor="accent1" w:themeShade="BF"/>
          </w:rPr>
          <w:t>Findings from Measures Taken</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_Toc491791288 \h </w:instrText>
        </w:r>
        <w:r w:rsidRPr="00036A98">
          <w:rPr>
            <w:webHidden/>
            <w:color w:val="0B5294" w:themeColor="accent1" w:themeShade="BF"/>
          </w:rPr>
          <w:fldChar w:fldCharType="separate"/>
        </w:r>
        <w:r w:rsidRPr="00036A98">
          <w:rPr>
            <w:webHidden/>
            <w:color w:val="0B5294" w:themeColor="accent1" w:themeShade="BF"/>
          </w:rPr>
          <w:t>28</w:t>
        </w:r>
        <w:r w:rsidRPr="00036A98">
          <w:rPr>
            <w:webHidden/>
            <w:color w:val="0B5294" w:themeColor="accent1" w:themeShade="BF"/>
          </w:rPr>
          <w:fldChar w:fldCharType="end"/>
        </w:r>
      </w:hyperlink>
    </w:p>
    <w:p w:rsidR="00282EB2" w:rsidRPr="00036A98" w:rsidP="00282EB2">
      <w:pPr>
        <w:pStyle w:val="TOC2"/>
        <w:ind w:left="-284"/>
        <w:rPr>
          <w:b w:val="0"/>
          <w:bCs/>
          <w:caps w:val="0"/>
          <w:color w:val="0B5294" w:themeColor="accent1" w:themeShade="BF"/>
          <w:sz w:val="22"/>
          <w:szCs w:val="22"/>
        </w:rPr>
      </w:pPr>
      <w:hyperlink w:anchor="_Toc491791289" w:history="1">
        <w:r w:rsidRPr="00036A98">
          <w:rPr>
            <w:rStyle w:val="Hyperlink"/>
            <w:color w:val="0B5294" w:themeColor="accent1" w:themeShade="BF"/>
          </w:rPr>
          <w:t>E.</w:t>
        </w:r>
        <w:r w:rsidRPr="00036A98">
          <w:tab/>
        </w:r>
        <w:r w:rsidRPr="00036A98">
          <w:rPr>
            <w:rStyle w:val="Hyperlink"/>
            <w:color w:val="0B5294" w:themeColor="accent1" w:themeShade="BF"/>
          </w:rPr>
          <w:t>ISSUANCE OF SAFETY CERTIFICATES AND AUTHORISATIONS</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_Toc491791289 \h </w:instrText>
        </w:r>
        <w:r w:rsidRPr="00036A98">
          <w:rPr>
            <w:webHidden/>
            <w:color w:val="0B5294" w:themeColor="accent1" w:themeShade="BF"/>
          </w:rPr>
          <w:fldChar w:fldCharType="separate"/>
        </w:r>
        <w:r w:rsidRPr="00036A98">
          <w:rPr>
            <w:webHidden/>
            <w:color w:val="0B5294" w:themeColor="accent1" w:themeShade="BF"/>
          </w:rPr>
          <w:t>28</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90" w:history="1">
        <w:r w:rsidRPr="00036A98">
          <w:rPr>
            <w:rStyle w:val="Hyperlink"/>
            <w:color w:val="0B5294" w:themeColor="accent1" w:themeShade="BF"/>
          </w:rPr>
          <w:t>E.1.</w:t>
        </w:r>
        <w:r w:rsidRPr="00036A98">
          <w:tab/>
        </w:r>
        <w:r w:rsidRPr="00036A98">
          <w:rPr>
            <w:rStyle w:val="Hyperlink"/>
            <w:color w:val="0B5294" w:themeColor="accent1" w:themeShade="BF"/>
          </w:rPr>
          <w:t>Guidance</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_Toc491791290 \h </w:instrText>
        </w:r>
        <w:r w:rsidRPr="00036A98">
          <w:rPr>
            <w:webHidden/>
            <w:color w:val="0B5294" w:themeColor="accent1" w:themeShade="BF"/>
          </w:rPr>
          <w:fldChar w:fldCharType="separate"/>
        </w:r>
        <w:r w:rsidRPr="00036A98">
          <w:rPr>
            <w:webHidden/>
            <w:color w:val="0B5294" w:themeColor="accent1" w:themeShade="BF"/>
          </w:rPr>
          <w:t>28</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91" w:history="1">
        <w:r w:rsidRPr="00036A98">
          <w:rPr>
            <w:rStyle w:val="Hyperlink"/>
            <w:color w:val="0B5294" w:themeColor="accent1" w:themeShade="BF"/>
          </w:rPr>
          <w:t>E.2.</w:t>
        </w:r>
        <w:r w:rsidRPr="00036A98">
          <w:tab/>
        </w:r>
        <w:r w:rsidRPr="00036A98">
          <w:rPr>
            <w:rStyle w:val="Hyperlink"/>
            <w:color w:val="0B5294" w:themeColor="accent1" w:themeShade="BF"/>
          </w:rPr>
          <w:t>Contacts with Other NSAs</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_Toc491791291 \h </w:instrText>
        </w:r>
        <w:r w:rsidRPr="00036A98">
          <w:rPr>
            <w:webHidden/>
            <w:color w:val="0B5294" w:themeColor="accent1" w:themeShade="BF"/>
          </w:rPr>
          <w:fldChar w:fldCharType="separate"/>
        </w:r>
        <w:r w:rsidRPr="00036A98">
          <w:rPr>
            <w:webHidden/>
            <w:color w:val="0B5294" w:themeColor="accent1" w:themeShade="BF"/>
          </w:rPr>
          <w:t>29</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92" w:history="1">
        <w:r w:rsidRPr="00036A98">
          <w:rPr>
            <w:rStyle w:val="Hyperlink"/>
            <w:color w:val="0B5294" w:themeColor="accent1" w:themeShade="BF"/>
          </w:rPr>
          <w:t>E.3.</w:t>
        </w:r>
        <w:r w:rsidRPr="00036A98">
          <w:tab/>
        </w:r>
        <w:r w:rsidRPr="00036A98">
          <w:rPr>
            <w:rStyle w:val="Hyperlink"/>
            <w:color w:val="0B5294" w:themeColor="accent1" w:themeShade="BF"/>
          </w:rPr>
          <w:t>Procedural Issues</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_Toc491791292 \h </w:instrText>
        </w:r>
        <w:r w:rsidRPr="00036A98">
          <w:rPr>
            <w:webHidden/>
            <w:color w:val="0B5294" w:themeColor="accent1" w:themeShade="BF"/>
          </w:rPr>
          <w:fldChar w:fldCharType="separate"/>
        </w:r>
        <w:r w:rsidRPr="00036A98">
          <w:rPr>
            <w:webHidden/>
            <w:color w:val="0B5294" w:themeColor="accent1" w:themeShade="BF"/>
          </w:rPr>
          <w:t>29</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93" w:history="1">
        <w:r w:rsidRPr="00036A98">
          <w:rPr>
            <w:rStyle w:val="Hyperlink"/>
            <w:color w:val="0B5294" w:themeColor="accent1" w:themeShade="BF"/>
          </w:rPr>
          <w:t>E.4.</w:t>
        </w:r>
        <w:r w:rsidRPr="00036A98">
          <w:tab/>
        </w:r>
        <w:r w:rsidRPr="00036A98">
          <w:rPr>
            <w:rStyle w:val="Hyperlink"/>
            <w:color w:val="0B5294" w:themeColor="accent1" w:themeShade="BF"/>
          </w:rPr>
          <w:t>Feedback</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_Toc491791293 \h </w:instrText>
        </w:r>
        <w:r w:rsidRPr="00036A98">
          <w:rPr>
            <w:webHidden/>
            <w:color w:val="0B5294" w:themeColor="accent1" w:themeShade="BF"/>
          </w:rPr>
          <w:fldChar w:fldCharType="separate"/>
        </w:r>
        <w:r w:rsidRPr="00036A98">
          <w:rPr>
            <w:webHidden/>
            <w:color w:val="0B5294" w:themeColor="accent1" w:themeShade="BF"/>
          </w:rPr>
          <w:t>30</w:t>
        </w:r>
        <w:r w:rsidRPr="00036A98">
          <w:rPr>
            <w:webHidden/>
            <w:color w:val="0B5294" w:themeColor="accent1" w:themeShade="BF"/>
          </w:rPr>
          <w:fldChar w:fldCharType="end"/>
        </w:r>
      </w:hyperlink>
    </w:p>
    <w:p w:rsidR="00282EB2" w:rsidRPr="00036A98" w:rsidP="00282EB2">
      <w:pPr>
        <w:pStyle w:val="TOC2"/>
        <w:ind w:left="-284"/>
        <w:rPr>
          <w:b w:val="0"/>
          <w:bCs/>
          <w:caps w:val="0"/>
          <w:color w:val="0B5294" w:themeColor="accent1" w:themeShade="BF"/>
          <w:sz w:val="22"/>
          <w:szCs w:val="22"/>
        </w:rPr>
      </w:pPr>
      <w:hyperlink w:anchor="_Toc491791294" w:history="1">
        <w:r w:rsidRPr="00036A98">
          <w:rPr>
            <w:rStyle w:val="Hyperlink"/>
            <w:color w:val="0B5294" w:themeColor="accent1" w:themeShade="BF"/>
          </w:rPr>
          <w:t>F.</w:t>
        </w:r>
        <w:r w:rsidRPr="00036A98">
          <w:tab/>
        </w:r>
        <w:r w:rsidRPr="00036A98">
          <w:rPr>
            <w:rStyle w:val="Hyperlink"/>
            <w:color w:val="0B5294" w:themeColor="accent1" w:themeShade="BF"/>
          </w:rPr>
          <w:t xml:space="preserve">CHANGES IN LEGISLATION </w:t>
        </w:r>
        <w:r w:rsidRPr="00036A98">
          <w:rPr>
            <w:webHidden/>
            <w:color w:val="0B5294" w:themeColor="accent1" w:themeShade="BF"/>
          </w:rPr>
          <w:fldChar w:fldCharType="begin"/>
        </w:r>
        <w:r w:rsidRPr="00036A98">
          <w:rPr>
            <w:webHidden/>
            <w:color w:val="0B5294" w:themeColor="accent1" w:themeShade="BF"/>
          </w:rPr>
          <w:instrText xml:space="preserve"> PAGEREF _Toc491791294 \h </w:instrText>
        </w:r>
        <w:r w:rsidRPr="00036A98">
          <w:rPr>
            <w:webHidden/>
            <w:color w:val="0B5294" w:themeColor="accent1" w:themeShade="BF"/>
          </w:rPr>
          <w:fldChar w:fldCharType="separate"/>
        </w:r>
        <w:r w:rsidRPr="00036A98">
          <w:rPr>
            <w:webHidden/>
            <w:color w:val="0B5294" w:themeColor="accent1" w:themeShade="BF"/>
          </w:rPr>
          <w:t>30</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95" w:history="1">
        <w:r w:rsidRPr="00036A98">
          <w:rPr>
            <w:rStyle w:val="Hyperlink"/>
            <w:color w:val="0B5294" w:themeColor="accent1" w:themeShade="BF"/>
          </w:rPr>
          <w:t>F.1.</w:t>
        </w:r>
        <w:r w:rsidRPr="00036A98">
          <w:tab/>
        </w:r>
        <w:r w:rsidRPr="00036A98">
          <w:rPr>
            <w:rStyle w:val="Hyperlink"/>
            <w:color w:val="0B5294" w:themeColor="accent1" w:themeShade="BF"/>
          </w:rPr>
          <w:t>Railway Safety Directive (RSD)</w:t>
        </w:r>
        <w:r w:rsidRPr="00036A98">
          <w:rPr>
            <w:webHidden/>
            <w:color w:val="0B5294" w:themeColor="accent1" w:themeShade="BF"/>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_Toc491791295 \h </w:instrText>
        </w:r>
        <w:r w:rsidRPr="00036A98">
          <w:rPr>
            <w:webHidden/>
            <w:color w:val="0B5294" w:themeColor="accent1" w:themeShade="BF"/>
          </w:rPr>
          <w:fldChar w:fldCharType="separate"/>
        </w:r>
        <w:r w:rsidRPr="00036A98">
          <w:rPr>
            <w:webHidden/>
            <w:color w:val="0B5294" w:themeColor="accent1" w:themeShade="BF"/>
          </w:rPr>
          <w:t>30</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96" w:history="1">
        <w:r w:rsidRPr="00036A98">
          <w:rPr>
            <w:rStyle w:val="Hyperlink"/>
            <w:color w:val="0B5294" w:themeColor="accent1" w:themeShade="BF"/>
          </w:rPr>
          <w:t>F.2.</w:t>
        </w:r>
        <w:r w:rsidRPr="00036A98">
          <w:tab/>
        </w:r>
        <w:r w:rsidRPr="00036A98">
          <w:rPr>
            <w:rStyle w:val="Hyperlink"/>
            <w:color w:val="0B5294" w:themeColor="accent1" w:themeShade="BF"/>
          </w:rPr>
          <w:t>Legislative and Regulatory Amendments:</w:t>
        </w:r>
        <w:r w:rsidRPr="00036A98">
          <w:rPr>
            <w:webHidden/>
            <w:color w:val="0B5294" w:themeColor="accent1" w:themeShade="BF"/>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_Toc491791296 \h </w:instrText>
        </w:r>
        <w:r w:rsidRPr="00036A98">
          <w:rPr>
            <w:webHidden/>
            <w:color w:val="0B5294" w:themeColor="accent1" w:themeShade="BF"/>
          </w:rPr>
          <w:fldChar w:fldCharType="separate"/>
        </w:r>
        <w:r w:rsidRPr="00036A98">
          <w:rPr>
            <w:webHidden/>
            <w:color w:val="0B5294" w:themeColor="accent1" w:themeShade="BF"/>
          </w:rPr>
          <w:t>30</w:t>
        </w:r>
        <w:r w:rsidRPr="00036A98">
          <w:rPr>
            <w:webHidden/>
            <w:color w:val="0B5294" w:themeColor="accent1" w:themeShade="BF"/>
          </w:rPr>
          <w:fldChar w:fldCharType="end"/>
        </w:r>
      </w:hyperlink>
    </w:p>
    <w:p w:rsidR="00282EB2" w:rsidRPr="00036A98" w:rsidP="00282EB2">
      <w:pPr>
        <w:pStyle w:val="TOC2"/>
        <w:ind w:left="-284"/>
        <w:rPr>
          <w:b w:val="0"/>
          <w:bCs/>
          <w:caps w:val="0"/>
          <w:color w:val="0B5294" w:themeColor="accent1" w:themeShade="BF"/>
          <w:sz w:val="22"/>
          <w:szCs w:val="22"/>
        </w:rPr>
      </w:pPr>
      <w:hyperlink w:anchor="_Toc491791297" w:history="1">
        <w:r w:rsidRPr="00036A98">
          <w:rPr>
            <w:rStyle w:val="Hyperlink"/>
            <w:color w:val="0B5294" w:themeColor="accent1" w:themeShade="BF"/>
          </w:rPr>
          <w:t>G.</w:t>
        </w:r>
        <w:r w:rsidRPr="00036A98">
          <w:tab/>
        </w:r>
        <w:r w:rsidRPr="00036A98">
          <w:rPr>
            <w:rStyle w:val="Hyperlink"/>
            <w:color w:val="0B5294" w:themeColor="accent1" w:themeShade="BF"/>
          </w:rPr>
          <w:t>APPLICATION OF THE CSM RELATED TO REA (RISK EVALUATION AND ASSESSMENT)</w:t>
        </w:r>
        <w:r w:rsidRPr="00036A98">
          <w:rPr>
            <w:webHidden/>
            <w:color w:val="0B5294" w:themeColor="accent1" w:themeShade="BF"/>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_Toc491791297 \h </w:instrText>
        </w:r>
        <w:r w:rsidRPr="00036A98">
          <w:rPr>
            <w:webHidden/>
            <w:color w:val="0B5294" w:themeColor="accent1" w:themeShade="BF"/>
          </w:rPr>
          <w:fldChar w:fldCharType="separate"/>
        </w:r>
        <w:r w:rsidRPr="00036A98">
          <w:rPr>
            <w:webHidden/>
            <w:color w:val="0B5294" w:themeColor="accent1" w:themeShade="BF"/>
          </w:rPr>
          <w:t>31</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98" w:history="1">
        <w:r w:rsidRPr="00036A98">
          <w:rPr>
            <w:rStyle w:val="Hyperlink"/>
            <w:color w:val="0B5294" w:themeColor="accent1" w:themeShade="BF"/>
          </w:rPr>
          <w:t>G.1.</w:t>
        </w:r>
        <w:r w:rsidRPr="00036A98">
          <w:tab/>
        </w:r>
        <w:r w:rsidRPr="00036A98">
          <w:rPr>
            <w:rStyle w:val="Hyperlink"/>
            <w:color w:val="0B5294" w:themeColor="accent1" w:themeShade="BF"/>
          </w:rPr>
          <w:t>NSA Experience</w:t>
        </w:r>
        <w:r w:rsidRPr="00036A98">
          <w:rPr>
            <w:webHidden/>
            <w:color w:val="0B5294" w:themeColor="accent1" w:themeShade="BF"/>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_Toc491791298 \h </w:instrText>
        </w:r>
        <w:r w:rsidRPr="00036A98">
          <w:rPr>
            <w:webHidden/>
            <w:color w:val="0B5294" w:themeColor="accent1" w:themeShade="BF"/>
          </w:rPr>
          <w:fldChar w:fldCharType="separate"/>
        </w:r>
        <w:r w:rsidRPr="00036A98">
          <w:rPr>
            <w:webHidden/>
            <w:color w:val="0B5294" w:themeColor="accent1" w:themeShade="BF"/>
          </w:rPr>
          <w:t>32</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299" w:history="1">
        <w:r w:rsidRPr="00036A98">
          <w:rPr>
            <w:rStyle w:val="Hyperlink"/>
            <w:color w:val="0B5294" w:themeColor="accent1" w:themeShade="BF"/>
          </w:rPr>
          <w:t>G.2.</w:t>
        </w:r>
        <w:r w:rsidRPr="00036A98">
          <w:tab/>
        </w:r>
        <w:r w:rsidRPr="00036A98">
          <w:rPr>
            <w:rStyle w:val="Hyperlink"/>
            <w:color w:val="0B5294" w:themeColor="accent1" w:themeShade="BF"/>
          </w:rPr>
          <w:t>Feedback from Stakeholders</w:t>
        </w:r>
        <w:r w:rsidRPr="00036A98">
          <w:rPr>
            <w:webHidden/>
            <w:color w:val="0B5294" w:themeColor="accent1" w:themeShade="BF"/>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_Toc491791299 \h </w:instrText>
        </w:r>
        <w:r w:rsidRPr="00036A98">
          <w:rPr>
            <w:webHidden/>
            <w:color w:val="0B5294" w:themeColor="accent1" w:themeShade="BF"/>
          </w:rPr>
          <w:fldChar w:fldCharType="separate"/>
        </w:r>
        <w:r w:rsidRPr="00036A98">
          <w:rPr>
            <w:webHidden/>
            <w:color w:val="0B5294" w:themeColor="accent1" w:themeShade="BF"/>
          </w:rPr>
          <w:t>32</w:t>
        </w:r>
        <w:r w:rsidRPr="00036A98">
          <w:rPr>
            <w:webHidden/>
            <w:color w:val="0B5294" w:themeColor="accent1" w:themeShade="BF"/>
          </w:rPr>
          <w:fldChar w:fldCharType="end"/>
        </w:r>
      </w:hyperlink>
    </w:p>
    <w:p w:rsidR="00282EB2" w:rsidRPr="00036A98" w:rsidP="00F54BB6">
      <w:pPr>
        <w:pStyle w:val="TOC1"/>
        <w:ind w:left="-284" w:hanging="142"/>
        <w:rPr>
          <w:color w:val="0B5294" w:themeColor="accent1" w:themeShade="BF"/>
          <w:sz w:val="22"/>
          <w:szCs w:val="22"/>
        </w:rPr>
      </w:pPr>
      <w:hyperlink w:anchor="_Toc491791300" w:history="1">
        <w:r w:rsidRPr="00036A98">
          <w:rPr>
            <w:rStyle w:val="Hyperlink"/>
            <w:color w:val="0B5294" w:themeColor="accent1" w:themeShade="BF"/>
          </w:rPr>
          <w:t>G.3.</w:t>
        </w:r>
        <w:r w:rsidRPr="00036A98">
          <w:tab/>
        </w:r>
        <w:r w:rsidRPr="00036A98">
          <w:rPr>
            <w:rStyle w:val="Hyperlink"/>
            <w:color w:val="0B5294" w:themeColor="accent1" w:themeShade="BF"/>
          </w:rPr>
          <w:t>Revised National Safety Rules (NSR) as a Result of the Implementation of the EU Provisions regarding Risk Evaluation and Assessment</w:t>
        </w:r>
        <w:r w:rsidRPr="00036A98">
          <w:rPr>
            <w:webHidden/>
            <w:color w:val="0B5294" w:themeColor="accent1" w:themeShade="BF"/>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_Toc491791300 \h </w:instrText>
        </w:r>
        <w:r w:rsidRPr="00036A98">
          <w:rPr>
            <w:webHidden/>
            <w:color w:val="0B5294" w:themeColor="accent1" w:themeShade="BF"/>
          </w:rPr>
          <w:fldChar w:fldCharType="separate"/>
        </w:r>
        <w:r w:rsidRPr="00036A98">
          <w:rPr>
            <w:webHidden/>
            <w:color w:val="0B5294" w:themeColor="accent1" w:themeShade="BF"/>
          </w:rPr>
          <w:t>32</w:t>
        </w:r>
        <w:r w:rsidRPr="00036A98">
          <w:rPr>
            <w:webHidden/>
            <w:color w:val="0B5294" w:themeColor="accent1" w:themeShade="BF"/>
          </w:rPr>
          <w:fldChar w:fldCharType="end"/>
        </w:r>
      </w:hyperlink>
    </w:p>
    <w:p w:rsidR="00282EB2" w:rsidRPr="00036A98" w:rsidP="00282EB2">
      <w:pPr>
        <w:pStyle w:val="TOC2"/>
        <w:spacing w:after="360"/>
        <w:ind w:left="-284"/>
        <w:rPr>
          <w:b w:val="0"/>
          <w:bCs/>
          <w:caps w:val="0"/>
          <w:color w:val="0B5294" w:themeColor="accent1" w:themeShade="BF"/>
          <w:sz w:val="22"/>
          <w:szCs w:val="22"/>
        </w:rPr>
      </w:pPr>
      <w:hyperlink w:anchor="_Toc491791301" w:history="1">
        <w:r w:rsidRPr="00036A98">
          <w:rPr>
            <w:rStyle w:val="Hyperlink"/>
            <w:color w:val="0B5294" w:themeColor="accent1" w:themeShade="BF"/>
          </w:rPr>
          <w:t>H.</w:t>
        </w:r>
        <w:r w:rsidRPr="00036A98">
          <w:tab/>
        </w:r>
        <w:r w:rsidRPr="00036A98">
          <w:rPr>
            <w:rStyle w:val="Hyperlink"/>
            <w:color w:val="0B5294" w:themeColor="accent1" w:themeShade="BF"/>
          </w:rPr>
          <w:t>DEROGATIONS IN CONNECTION WITH THE SCHEME FOR THE CERTIFICATION OF ENTITIES (PERSONS) IN CHARGE OF MAINTENANCE OF VEHICLES IN ACCORDANCE WITH ARTICLE 14a(8) of DIRECTIVE 2008/110/EC</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_Toc491791301 \h </w:instrText>
        </w:r>
        <w:r w:rsidRPr="00036A98">
          <w:rPr>
            <w:webHidden/>
            <w:color w:val="0B5294" w:themeColor="accent1" w:themeShade="BF"/>
          </w:rPr>
          <w:fldChar w:fldCharType="separate"/>
        </w:r>
        <w:r w:rsidRPr="00036A98">
          <w:rPr>
            <w:webHidden/>
            <w:color w:val="0B5294" w:themeColor="accent1" w:themeShade="BF"/>
          </w:rPr>
          <w:t>32</w:t>
        </w:r>
        <w:r w:rsidRPr="00036A98">
          <w:rPr>
            <w:webHidden/>
            <w:color w:val="0B5294" w:themeColor="accent1" w:themeShade="BF"/>
          </w:rPr>
          <w:fldChar w:fldCharType="end"/>
        </w:r>
      </w:hyperlink>
    </w:p>
    <w:p w:rsidR="00282EB2" w:rsidRPr="00036A98" w:rsidP="00282EB2">
      <w:pPr>
        <w:pStyle w:val="TOC2"/>
        <w:ind w:left="-284"/>
        <w:rPr>
          <w:b w:val="0"/>
          <w:bCs/>
          <w:caps w:val="0"/>
          <w:color w:val="0B5294" w:themeColor="accent1" w:themeShade="BF"/>
          <w:sz w:val="22"/>
          <w:szCs w:val="22"/>
        </w:rPr>
      </w:pPr>
      <w:hyperlink w:anchor="_Toc491791302" w:history="1">
        <w:r w:rsidRPr="00036A98">
          <w:rPr>
            <w:rStyle w:val="Hyperlink"/>
            <w:color w:val="0B5294" w:themeColor="accent1" w:themeShade="BF"/>
          </w:rPr>
          <w:t>ANNEX A. COMMON SAFETY INDICATORS (CSI)</w:t>
        </w:r>
        <w:r w:rsidRPr="00036A98">
          <w:rPr>
            <w:webHidden/>
            <w:color w:val="0B5294" w:themeColor="accent1" w:themeShade="BF"/>
          </w:rPr>
          <w:t xml:space="preserve"> </w:t>
        </w:r>
      </w:hyperlink>
      <w:r w:rsidRPr="00036A98">
        <w:rPr>
          <w:color w:val="0B5294" w:themeColor="accent1" w:themeShade="BF"/>
        </w:rPr>
        <w:t>30</w:t>
      </w:r>
    </w:p>
    <w:p w:rsidR="00282EB2" w:rsidRPr="00036A98" w:rsidP="00AC4A22">
      <w:pPr>
        <w:pStyle w:val="TOC1"/>
        <w:spacing w:after="240"/>
        <w:ind w:left="-284" w:hanging="142"/>
        <w:rPr>
          <w:color w:val="0B5294" w:themeColor="accent1" w:themeShade="BF"/>
          <w:sz w:val="22"/>
          <w:szCs w:val="22"/>
        </w:rPr>
      </w:pPr>
      <w:hyperlink w:anchor="_Toc491791303" w:history="1">
        <w:r w:rsidRPr="00036A98">
          <w:rPr>
            <w:rStyle w:val="Hyperlink"/>
            <w:color w:val="0B5294" w:themeColor="accent1" w:themeShade="BF"/>
          </w:rPr>
          <w:t>Data/charts on the performance of the main CSI in the 2013–2017 period</w:t>
        </w:r>
        <w:r w:rsidRPr="00036A98">
          <w:rPr>
            <w:webHidden/>
            <w:color w:val="0B5294" w:themeColor="accent1" w:themeShade="BF"/>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_Toc491791303 \h </w:instrText>
        </w:r>
        <w:r w:rsidRPr="00036A98">
          <w:rPr>
            <w:webHidden/>
            <w:color w:val="0B5294" w:themeColor="accent1" w:themeShade="BF"/>
          </w:rPr>
          <w:fldChar w:fldCharType="separate"/>
        </w:r>
        <w:r w:rsidRPr="00036A98">
          <w:rPr>
            <w:webHidden/>
            <w:color w:val="0B5294" w:themeColor="accent1" w:themeShade="BF"/>
          </w:rPr>
          <w:t>33</w:t>
        </w:r>
        <w:r w:rsidRPr="00036A98">
          <w:rPr>
            <w:webHidden/>
            <w:color w:val="0B5294" w:themeColor="accent1" w:themeShade="BF"/>
          </w:rPr>
          <w:fldChar w:fldCharType="end"/>
        </w:r>
      </w:hyperlink>
    </w:p>
    <w:p w:rsidR="00282EB2" w:rsidRPr="00036A98" w:rsidP="00282EB2">
      <w:pPr>
        <w:pStyle w:val="TOC2"/>
        <w:ind w:left="-284"/>
        <w:rPr>
          <w:b w:val="0"/>
          <w:bCs/>
          <w:caps w:val="0"/>
          <w:color w:val="0B5294" w:themeColor="accent1" w:themeShade="BF"/>
          <w:sz w:val="22"/>
          <w:szCs w:val="22"/>
        </w:rPr>
      </w:pPr>
      <w:hyperlink w:anchor="_Toc491791305" w:history="1">
        <w:r w:rsidRPr="00036A98">
          <w:rPr>
            <w:rStyle w:val="Hyperlink"/>
            <w:color w:val="0B5294" w:themeColor="accent1" w:themeShade="BF"/>
          </w:rPr>
          <w:t>ANNEX C. CHANGES IN LEGISLATION</w:t>
        </w:r>
        <w:r w:rsidRPr="00036A98">
          <w:rPr>
            <w:rStyle w:val="Hyperlink"/>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_Toc491791305 \h </w:instrText>
        </w:r>
        <w:r w:rsidRPr="00036A98">
          <w:rPr>
            <w:webHidden/>
            <w:color w:val="0B5294" w:themeColor="accent1" w:themeShade="BF"/>
          </w:rPr>
          <w:fldChar w:fldCharType="separate"/>
        </w:r>
        <w:r w:rsidRPr="00036A98">
          <w:rPr>
            <w:webHidden/>
            <w:color w:val="0B5294" w:themeColor="accent1" w:themeShade="BF"/>
          </w:rPr>
          <w:t>40</w:t>
        </w:r>
        <w:r w:rsidRPr="00036A98">
          <w:rPr>
            <w:webHidden/>
            <w:color w:val="0B5294" w:themeColor="accent1" w:themeShade="BF"/>
          </w:rPr>
          <w:fldChar w:fldCharType="end"/>
        </w:r>
      </w:hyperlink>
    </w:p>
    <w:p w:rsidR="00282EB2" w:rsidRPr="00036A98" w:rsidP="00AC4A22">
      <w:pPr>
        <w:autoSpaceDE w:val="0"/>
        <w:autoSpaceDN w:val="0"/>
        <w:adjustRightInd w:val="0"/>
        <w:ind w:left="-426"/>
        <w:rPr>
          <w:rFonts w:eastAsia="Calibri"/>
          <w:b/>
        </w:rPr>
      </w:pPr>
      <w:hyperlink w:anchor="_Toc491791306" w:history="1">
        <w:r w:rsidRPr="00036A98">
          <w:rPr>
            <w:rStyle w:val="Hyperlink"/>
            <w:color w:val="0B5294" w:themeColor="accent1" w:themeShade="BF"/>
          </w:rPr>
          <w:t xml:space="preserve">Table: Legislative and regulatory changes in the field of railway transport of Bulgaria, published in the State Gazette and entering into force in the period between 1 January 2017 and 31 December 2017 </w:t>
        </w:r>
        <w:r w:rsidRPr="00036A98">
          <w:rPr>
            <w:rStyle w:val="Hyperlink"/>
            <w:i/>
            <w:color w:val="0B5294" w:themeColor="accent1" w:themeShade="BF"/>
          </w:rPr>
          <w:t>(Annex to Section F.2 of this report)</w:t>
        </w:r>
        <w:r w:rsidRPr="00036A98">
          <w:rPr>
            <w:rStyle w:val="Hyperlink"/>
            <w:i/>
            <w:color w:val="0B5294" w:themeColor="accent1" w:themeShade="BF"/>
            <w:u w:val="none"/>
          </w:rPr>
          <w:t xml:space="preserve"> </w:t>
        </w:r>
        <w:r w:rsidRPr="00036A98">
          <w:rPr>
            <w:webHidden/>
            <w:color w:val="0B5294" w:themeColor="accent1" w:themeShade="BF"/>
          </w:rPr>
          <w:fldChar w:fldCharType="begin"/>
        </w:r>
        <w:r w:rsidRPr="00036A98">
          <w:rPr>
            <w:webHidden/>
            <w:color w:val="0B5294" w:themeColor="accent1" w:themeShade="BF"/>
          </w:rPr>
          <w:instrText xml:space="preserve"> PAGEREF _Toc491791306 \h </w:instrText>
        </w:r>
        <w:r w:rsidRPr="00036A98">
          <w:rPr>
            <w:webHidden/>
            <w:color w:val="0B5294" w:themeColor="accent1" w:themeShade="BF"/>
          </w:rPr>
          <w:fldChar w:fldCharType="separate"/>
        </w:r>
        <w:r w:rsidRPr="00036A98">
          <w:rPr>
            <w:webHidden/>
            <w:color w:val="0B5294" w:themeColor="accent1" w:themeShade="BF"/>
          </w:rPr>
          <w:fldChar w:fldCharType="end"/>
        </w:r>
      </w:hyperlink>
      <w:r w:rsidRPr="00036A98">
        <w:rPr>
          <w:color w:val="0B5294" w:themeColor="accent1" w:themeShade="BF"/>
        </w:rPr>
        <w:t>40</w:t>
      </w:r>
    </w:p>
    <w:p w:rsidR="00E8298E" w:rsidRPr="00036A98" w:rsidP="00DA1832">
      <w:pPr>
        <w:autoSpaceDE w:val="0"/>
        <w:autoSpaceDN w:val="0"/>
        <w:adjustRightInd w:val="0"/>
        <w:rPr>
          <w:rFonts w:eastAsia="Calibri"/>
          <w:caps/>
          <w:smallCaps/>
          <w:sz w:val="32"/>
        </w:rPr>
      </w:pPr>
      <w:r w:rsidRPr="00036A98">
        <w:br w:type="page"/>
      </w:r>
      <w:bookmarkStart w:id="0" w:name="_Toc462754775"/>
      <w:bookmarkStart w:id="1" w:name="_Toc490231002"/>
      <w:bookmarkStart w:id="2" w:name="_Toc490231894"/>
      <w:bookmarkStart w:id="3" w:name="_Toc490232022"/>
      <w:bookmarkStart w:id="4" w:name="_Toc491352150"/>
      <w:bookmarkStart w:id="5" w:name="_Toc491788082"/>
      <w:bookmarkStart w:id="6" w:name="_Toc491789272"/>
      <w:bookmarkStart w:id="7" w:name="_Toc491791269"/>
      <w:r w:rsidRPr="00036A98">
        <w:rPr>
          <w:smallCaps/>
          <w:sz w:val="32"/>
        </w:rPr>
        <w:t>Acronyms Used in the Report</w:t>
      </w:r>
      <w:bookmarkEnd w:id="0"/>
      <w:bookmarkEnd w:id="1"/>
      <w:bookmarkEnd w:id="2"/>
      <w:bookmarkEnd w:id="3"/>
      <w:bookmarkEnd w:id="4"/>
      <w:bookmarkEnd w:id="5"/>
      <w:bookmarkEnd w:id="6"/>
      <w:bookmarkEnd w:id="7"/>
    </w:p>
    <w:tbl>
      <w:tblPr>
        <w:tblStyle w:val="TableGrid"/>
        <w:tblpPr w:leftFromText="141" w:rightFromText="141" w:vertAnchor="text" w:tblpXSpec="right" w:tblpY="1"/>
        <w:tblW w:w="10188" w:type="dxa"/>
        <w:tblLook w:val="0400"/>
      </w:tblPr>
      <w:tblGrid>
        <w:gridCol w:w="1809"/>
        <w:gridCol w:w="8379"/>
      </w:tblGrid>
      <w:tr w:rsidTr="00235C86">
        <w:tblPrEx>
          <w:tblW w:w="10188" w:type="dxa"/>
          <w:tblLook w:val="0400"/>
        </w:tblPrEx>
        <w:trPr>
          <w:trHeight w:val="355"/>
        </w:trPr>
        <w:tc>
          <w:tcPr>
            <w:tcW w:w="1809" w:type="dxa"/>
            <w:noWrap/>
          </w:tcPr>
          <w:p w:rsidR="0062415A"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ERA</w:t>
            </w:r>
          </w:p>
        </w:tc>
        <w:tc>
          <w:tcPr>
            <w:tcW w:w="8379" w:type="dxa"/>
          </w:tcPr>
          <w:p w:rsidR="0062415A" w:rsidRPr="00036A98" w:rsidP="007B2924">
            <w:pPr>
              <w:tabs>
                <w:tab w:val="left" w:pos="1276"/>
              </w:tabs>
              <w:autoSpaceDE w:val="0"/>
              <w:autoSpaceDN w:val="0"/>
              <w:adjustRightInd w:val="0"/>
              <w:rPr>
                <w:b/>
                <w:bCs/>
                <w:noProof w:val="0"/>
                <w:color w:val="000000" w:themeColor="text1"/>
                <w:sz w:val="28"/>
                <w:szCs w:val="28"/>
              </w:rPr>
            </w:pPr>
            <w:r w:rsidRPr="00036A98">
              <w:rPr>
                <w:noProof w:val="0"/>
                <w:color w:val="000000" w:themeColor="text1"/>
                <w:sz w:val="28"/>
              </w:rPr>
              <w:t>European Union Agency for Railways (ERA)</w:t>
            </w:r>
          </w:p>
        </w:tc>
      </w:tr>
      <w:tr w:rsidTr="00235C86">
        <w:tblPrEx>
          <w:tblW w:w="10188" w:type="dxa"/>
          <w:tblLook w:val="0400"/>
        </w:tblPrEx>
        <w:trPr>
          <w:trHeight w:val="355"/>
        </w:trPr>
        <w:tc>
          <w:tcPr>
            <w:tcW w:w="1809" w:type="dxa"/>
            <w:noWrap/>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AsBo</w:t>
            </w:r>
          </w:p>
        </w:tc>
        <w:tc>
          <w:tcPr>
            <w:tcW w:w="8379" w:type="dxa"/>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Assessment Body</w:t>
            </w:r>
          </w:p>
        </w:tc>
      </w:tr>
      <w:tr w:rsidTr="00235C86">
        <w:tblPrEx>
          <w:tblW w:w="10188" w:type="dxa"/>
          <w:tblLook w:val="0400"/>
        </w:tblPrEx>
        <w:trPr>
          <w:trHeight w:val="355"/>
        </w:trPr>
        <w:tc>
          <w:tcPr>
            <w:tcW w:w="1809" w:type="dxa"/>
            <w:noWrap/>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BDZ</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Bulgarian State Railways</w:t>
            </w:r>
          </w:p>
        </w:tc>
      </w:tr>
      <w:tr w:rsidTr="00235C86">
        <w:tblPrEx>
          <w:tblW w:w="10188" w:type="dxa"/>
          <w:tblLook w:val="0400"/>
        </w:tblPrEx>
        <w:trPr>
          <w:trHeight w:val="355"/>
        </w:trPr>
        <w:tc>
          <w:tcPr>
            <w:tcW w:w="1809" w:type="dxa"/>
            <w:noWrap/>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ASR</w:t>
            </w:r>
          </w:p>
        </w:tc>
        <w:tc>
          <w:tcPr>
            <w:tcW w:w="8379" w:type="dxa"/>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Annual Safety Report</w:t>
            </w:r>
          </w:p>
        </w:tc>
      </w:tr>
      <w:tr w:rsidTr="00235C86">
        <w:tblPrEx>
          <w:tblW w:w="10188" w:type="dxa"/>
          <w:tblLook w:val="0400"/>
        </w:tblPrEx>
        <w:trPr>
          <w:trHeight w:val="355"/>
        </w:trPr>
        <w:tc>
          <w:tcPr>
            <w:tcW w:w="1809" w:type="dxa"/>
            <w:noWrap/>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DGRI</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Directorate General Railway Inspection at the RAEA</w:t>
            </w:r>
          </w:p>
        </w:tc>
      </w:tr>
      <w:tr w:rsidTr="00235C86">
        <w:tblPrEx>
          <w:tblW w:w="10188" w:type="dxa"/>
          <w:tblLook w:val="0400"/>
        </w:tblPrEx>
        <w:trPr>
          <w:trHeight w:val="355"/>
        </w:trPr>
        <w:tc>
          <w:tcPr>
            <w:tcW w:w="1809" w:type="dxa"/>
            <w:noWrap/>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DeBo</w:t>
            </w:r>
          </w:p>
        </w:tc>
        <w:tc>
          <w:tcPr>
            <w:tcW w:w="8379" w:type="dxa"/>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Designated Body</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RSD</w:t>
            </w:r>
          </w:p>
        </w:tc>
        <w:tc>
          <w:tcPr>
            <w:tcW w:w="8379" w:type="dxa"/>
            <w:hideMark/>
          </w:tcPr>
          <w:p w:rsidR="00704864" w:rsidRPr="00036A98" w:rsidP="00AF2C5A">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 xml:space="preserve">Railway Safety Directive 2004/49/EC </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IOD</w:t>
            </w:r>
          </w:p>
        </w:tc>
        <w:tc>
          <w:tcPr>
            <w:tcW w:w="8379" w:type="dxa"/>
            <w:hideMark/>
          </w:tcPr>
          <w:p w:rsidR="00704864" w:rsidRPr="00036A98" w:rsidP="00AF2C5A">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 xml:space="preserve">Railway Interoperability Directive 2008/57/EC </w:t>
            </w:r>
          </w:p>
        </w:tc>
      </w:tr>
      <w:tr w:rsidTr="002F5A3F">
        <w:tblPrEx>
          <w:tblW w:w="10188" w:type="dxa"/>
          <w:tblLook w:val="0400"/>
        </w:tblPrEx>
        <w:trPr>
          <w:trHeight w:val="327"/>
        </w:trPr>
        <w:tc>
          <w:tcPr>
            <w:tcW w:w="1809" w:type="dxa"/>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NRIC SE</w:t>
            </w:r>
          </w:p>
        </w:tc>
        <w:tc>
          <w:tcPr>
            <w:tcW w:w="8379" w:type="dxa"/>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National Railway Infrastructure Company State Enterprise</w:t>
            </w:r>
          </w:p>
        </w:tc>
      </w:tr>
      <w:tr w:rsidTr="00235C86">
        <w:tblPrEx>
          <w:tblW w:w="10188" w:type="dxa"/>
          <w:tblLook w:val="0400"/>
        </w:tblPrEx>
        <w:trPr>
          <w:trHeight w:val="79"/>
        </w:trPr>
        <w:tc>
          <w:tcPr>
            <w:tcW w:w="1809" w:type="dxa"/>
            <w:noWrap/>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EC</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European Commission</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ERADIS</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ERA Database of Interoperability and Safety (</w:t>
            </w:r>
            <w:r w:rsidRPr="00036A98">
              <w:rPr>
                <w:i/>
                <w:noProof w:val="0"/>
                <w:color w:val="000000" w:themeColor="text1"/>
                <w:sz w:val="28"/>
              </w:rPr>
              <w:t>ERADIS</w:t>
            </w:r>
            <w:r w:rsidRPr="00036A98">
              <w:rPr>
                <w:noProof w:val="0"/>
                <w:color w:val="000000" w:themeColor="text1"/>
                <w:sz w:val="28"/>
              </w:rPr>
              <w:t>)</w:t>
            </w:r>
          </w:p>
        </w:tc>
      </w:tr>
      <w:tr w:rsidTr="00235C86">
        <w:tblPrEx>
          <w:tblW w:w="10188" w:type="dxa"/>
          <w:tblLook w:val="0400"/>
        </w:tblPrEx>
        <w:trPr>
          <w:trHeight w:val="439"/>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ERAIL</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i/>
                <w:noProof w:val="0"/>
                <w:color w:val="000000" w:themeColor="text1"/>
                <w:sz w:val="28"/>
              </w:rPr>
              <w:t>European Railway Accident Information Links</w:t>
            </w:r>
            <w:r w:rsidRPr="00036A98">
              <w:rPr>
                <w:noProof w:val="0"/>
                <w:color w:val="000000" w:themeColor="text1"/>
                <w:sz w:val="28"/>
              </w:rPr>
              <w:t xml:space="preserve"> register</w:t>
            </w:r>
          </w:p>
        </w:tc>
      </w:tr>
      <w:tr w:rsidTr="00235C86">
        <w:tblPrEx>
          <w:tblW w:w="10188" w:type="dxa"/>
          <w:tblLook w:val="0400"/>
        </w:tblPrEx>
        <w:trPr>
          <w:trHeight w:val="355"/>
        </w:trPr>
        <w:tc>
          <w:tcPr>
            <w:tcW w:w="1809" w:type="dxa"/>
            <w:noWrap/>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EU</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European Union</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RI</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Railway Infrastructure</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RU</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Railway Undertaking</w:t>
            </w:r>
          </w:p>
        </w:tc>
      </w:tr>
      <w:tr w:rsidTr="00235C86">
        <w:tblPrEx>
          <w:tblW w:w="10188" w:type="dxa"/>
          <w:tblLook w:val="0400"/>
        </w:tblPrEx>
        <w:trPr>
          <w:trHeight w:val="355"/>
        </w:trPr>
        <w:tc>
          <w:tcPr>
            <w:tcW w:w="1809" w:type="dxa"/>
            <w:noWrap/>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RTA</w:t>
            </w:r>
          </w:p>
        </w:tc>
        <w:tc>
          <w:tcPr>
            <w:tcW w:w="8379" w:type="dxa"/>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Railway Transport Act of the Republic of Bulgaria</w:t>
            </w:r>
          </w:p>
        </w:tc>
      </w:tr>
      <w:tr w:rsidTr="00235C86">
        <w:tblPrEx>
          <w:tblW w:w="10188" w:type="dxa"/>
          <w:tblLook w:val="0400"/>
        </w:tblPrEx>
        <w:trPr>
          <w:trHeight w:val="355"/>
        </w:trPr>
        <w:tc>
          <w:tcPr>
            <w:tcW w:w="1809" w:type="dxa"/>
            <w:noWrap/>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RAEA</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Railway Administration Executive Agency</w:t>
            </w:r>
          </w:p>
        </w:tc>
      </w:tr>
      <w:tr w:rsidTr="00235C86">
        <w:tblPrEx>
          <w:tblW w:w="10188" w:type="dxa"/>
          <w:tblLook w:val="0400"/>
        </w:tblPrEx>
        <w:trPr>
          <w:trHeight w:val="355"/>
        </w:trPr>
        <w:tc>
          <w:tcPr>
            <w:tcW w:w="1809" w:type="dxa"/>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ED</w:t>
            </w:r>
          </w:p>
        </w:tc>
        <w:tc>
          <w:tcPr>
            <w:tcW w:w="8379" w:type="dxa"/>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Executive Director</w:t>
            </w:r>
          </w:p>
        </w:tc>
      </w:tr>
      <w:tr w:rsidTr="00235C86">
        <w:tblPrEx>
          <w:tblW w:w="10188" w:type="dxa"/>
          <w:tblLook w:val="0400"/>
        </w:tblPrEx>
        <w:trPr>
          <w:trHeight w:val="355"/>
        </w:trPr>
        <w:tc>
          <w:tcPr>
            <w:tcW w:w="1809" w:type="dxa"/>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PRM</w:t>
            </w:r>
          </w:p>
        </w:tc>
        <w:tc>
          <w:tcPr>
            <w:tcW w:w="8379" w:type="dxa"/>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Persons with Reduced Mobility</w:t>
            </w:r>
          </w:p>
        </w:tc>
      </w:tr>
      <w:tr w:rsidTr="00235C86">
        <w:tblPrEx>
          <w:tblW w:w="10188" w:type="dxa"/>
          <w:tblLook w:val="0400"/>
        </w:tblPrEx>
        <w:trPr>
          <w:trHeight w:val="355"/>
        </w:trPr>
        <w:tc>
          <w:tcPr>
            <w:tcW w:w="1809" w:type="dxa"/>
            <w:noWrap/>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MTITC</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Ministry of Transport, Information Technology and Communications</w:t>
            </w:r>
          </w:p>
        </w:tc>
      </w:tr>
      <w:tr w:rsidTr="00235C86">
        <w:tblPrEx>
          <w:tblW w:w="10188" w:type="dxa"/>
          <w:tblLook w:val="0400"/>
        </w:tblPrEx>
        <w:trPr>
          <w:trHeight w:val="50"/>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NRV</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National Reference Value</w:t>
            </w:r>
          </w:p>
        </w:tc>
      </w:tr>
      <w:tr w:rsidTr="00235C86">
        <w:tblPrEx>
          <w:tblW w:w="10188" w:type="dxa"/>
          <w:tblLook w:val="0400"/>
        </w:tblPrEx>
        <w:trPr>
          <w:trHeight w:val="355"/>
        </w:trPr>
        <w:tc>
          <w:tcPr>
            <w:tcW w:w="1809" w:type="dxa"/>
            <w:hideMark/>
          </w:tcPr>
          <w:p w:rsidR="00AF2C5A" w:rsidRPr="00036A98" w:rsidP="00AF2C5A">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NRSD</w:t>
            </w:r>
          </w:p>
        </w:tc>
        <w:tc>
          <w:tcPr>
            <w:tcW w:w="8379" w:type="dxa"/>
            <w:hideMark/>
          </w:tcPr>
          <w:p w:rsidR="00AF2C5A" w:rsidRPr="00036A98" w:rsidP="00DA7DAC">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New Railway Safety Directive 2016/798</w:t>
            </w:r>
          </w:p>
        </w:tc>
      </w:tr>
      <w:tr w:rsidTr="00235C86">
        <w:tblPrEx>
          <w:tblW w:w="10188" w:type="dxa"/>
          <w:tblLook w:val="0400"/>
        </w:tblPrEx>
        <w:trPr>
          <w:trHeight w:val="355"/>
        </w:trPr>
        <w:tc>
          <w:tcPr>
            <w:tcW w:w="1809" w:type="dxa"/>
            <w:hideMark/>
          </w:tcPr>
          <w:p w:rsidR="00AF2C5A" w:rsidRPr="00036A98" w:rsidP="00AF2C5A">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NIOD</w:t>
            </w:r>
          </w:p>
        </w:tc>
        <w:tc>
          <w:tcPr>
            <w:tcW w:w="8379" w:type="dxa"/>
            <w:hideMark/>
          </w:tcPr>
          <w:p w:rsidR="00AF2C5A" w:rsidRPr="00036A98" w:rsidP="00DA7DAC">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New Interoperability Directive 2016/797</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NoBo</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Notified Body</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NSA</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National Safety Authority</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NIB</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National Investigation Body</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NSR</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National Safety Rule</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NVR</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National Vehicle Register</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CST</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Common Safety Targets</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CSM</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Common Safety Methods</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CSI</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Common Safety Indicators</w:t>
            </w:r>
          </w:p>
        </w:tc>
      </w:tr>
      <w:tr w:rsidTr="00235C86">
        <w:tblPrEx>
          <w:tblW w:w="10188" w:type="dxa"/>
          <w:tblLook w:val="0400"/>
        </w:tblPrEx>
        <w:trPr>
          <w:trHeight w:val="355"/>
        </w:trPr>
        <w:tc>
          <w:tcPr>
            <w:tcW w:w="1809" w:type="dxa"/>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RS</w:t>
            </w:r>
          </w:p>
        </w:tc>
        <w:tc>
          <w:tcPr>
            <w:tcW w:w="8379" w:type="dxa"/>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Rolling Stock</w:t>
            </w:r>
          </w:p>
        </w:tc>
      </w:tr>
      <w:tr w:rsidTr="00235C86">
        <w:tblPrEx>
          <w:tblW w:w="10188" w:type="dxa"/>
          <w:tblLook w:val="0400"/>
        </w:tblPrEx>
        <w:trPr>
          <w:trHeight w:val="355"/>
        </w:trPr>
        <w:tc>
          <w:tcPr>
            <w:tcW w:w="1809" w:type="dxa"/>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RD</w:t>
            </w:r>
          </w:p>
        </w:tc>
        <w:tc>
          <w:tcPr>
            <w:tcW w:w="8379" w:type="dxa"/>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Reference Document of the Network</w:t>
            </w:r>
          </w:p>
        </w:tc>
      </w:tr>
      <w:tr w:rsidTr="00235C86">
        <w:tblPrEx>
          <w:tblW w:w="10188" w:type="dxa"/>
          <w:tblLook w:val="0400"/>
        </w:tblPrEx>
        <w:trPr>
          <w:trHeight w:val="355"/>
        </w:trPr>
        <w:tc>
          <w:tcPr>
            <w:tcW w:w="1809" w:type="dxa"/>
            <w:noWrap/>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SC</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Safety Certificate</w:t>
            </w:r>
          </w:p>
        </w:tc>
      </w:tr>
      <w:tr w:rsidTr="00235C86">
        <w:tblPrEx>
          <w:tblW w:w="10188" w:type="dxa"/>
          <w:tblLook w:val="0400"/>
        </w:tblPrEx>
        <w:trPr>
          <w:trHeight w:val="355"/>
        </w:trPr>
        <w:tc>
          <w:tcPr>
            <w:tcW w:w="1809" w:type="dxa"/>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PCM/ECM</w:t>
            </w:r>
          </w:p>
        </w:tc>
        <w:tc>
          <w:tcPr>
            <w:tcW w:w="8379" w:type="dxa"/>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Person (Entity) in Charge of Maintenance of Vehicles</w:t>
            </w:r>
          </w:p>
        </w:tc>
      </w:tr>
      <w:tr w:rsidTr="00235C86">
        <w:tblPrEx>
          <w:tblW w:w="10188" w:type="dxa"/>
          <w:tblLook w:val="0400"/>
        </w:tblPrEx>
        <w:trPr>
          <w:trHeight w:val="355"/>
        </w:trPr>
        <w:tc>
          <w:tcPr>
            <w:tcW w:w="1809" w:type="dxa"/>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SMS</w:t>
            </w:r>
          </w:p>
        </w:tc>
        <w:tc>
          <w:tcPr>
            <w:tcW w:w="8379" w:type="dxa"/>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Safety Management System</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QMS</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Quality Management System</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TSI</w:t>
            </w:r>
          </w:p>
        </w:tc>
        <w:tc>
          <w:tcPr>
            <w:tcW w:w="8379" w:type="dxa"/>
            <w:hideMark/>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Technical Specification for Interoperability</w:t>
            </w:r>
          </w:p>
        </w:tc>
      </w:tr>
      <w:tr w:rsidTr="00235C86">
        <w:tblPrEx>
          <w:tblW w:w="10188" w:type="dxa"/>
          <w:tblLook w:val="0400"/>
        </w:tblPrEx>
        <w:trPr>
          <w:trHeight w:val="355"/>
        </w:trPr>
        <w:tc>
          <w:tcPr>
            <w:tcW w:w="1809" w:type="dxa"/>
          </w:tcPr>
          <w:p w:rsidR="00704864" w:rsidRPr="00036A98" w:rsidP="007B2924">
            <w:pPr>
              <w:tabs>
                <w:tab w:val="left" w:pos="1276"/>
              </w:tabs>
              <w:autoSpaceDE w:val="0"/>
              <w:autoSpaceDN w:val="0"/>
              <w:adjustRightInd w:val="0"/>
              <w:rPr>
                <w:b/>
                <w:bCs/>
                <w:noProof w:val="0"/>
                <w:color w:val="000000" w:themeColor="text1"/>
                <w:sz w:val="28"/>
                <w:szCs w:val="28"/>
              </w:rPr>
            </w:pPr>
            <w:r w:rsidRPr="00036A98">
              <w:rPr>
                <w:b/>
                <w:noProof w:val="0"/>
                <w:color w:val="000000" w:themeColor="text1"/>
                <w:sz w:val="28"/>
              </w:rPr>
              <w:t>SA</w:t>
            </w:r>
          </w:p>
        </w:tc>
        <w:tc>
          <w:tcPr>
            <w:tcW w:w="8379" w:type="dxa"/>
          </w:tcPr>
          <w:p w:rsidR="00704864" w:rsidRPr="00036A98" w:rsidP="007B2924">
            <w:pPr>
              <w:tabs>
                <w:tab w:val="left" w:pos="1276"/>
              </w:tabs>
              <w:autoSpaceDE w:val="0"/>
              <w:autoSpaceDN w:val="0"/>
              <w:adjustRightInd w:val="0"/>
              <w:rPr>
                <w:bCs/>
                <w:noProof w:val="0"/>
                <w:color w:val="000000" w:themeColor="text1"/>
                <w:sz w:val="28"/>
                <w:szCs w:val="28"/>
              </w:rPr>
            </w:pPr>
            <w:r w:rsidRPr="00036A98">
              <w:rPr>
                <w:noProof w:val="0"/>
                <w:color w:val="000000" w:themeColor="text1"/>
                <w:sz w:val="28"/>
              </w:rPr>
              <w:t>Safety Authorisation</w:t>
            </w:r>
          </w:p>
        </w:tc>
      </w:tr>
      <w:tr w:rsidTr="00235C86">
        <w:tblPrEx>
          <w:tblW w:w="10188" w:type="dxa"/>
          <w:tblLook w:val="0400"/>
        </w:tblPrEx>
        <w:trPr>
          <w:trHeight w:val="355"/>
        </w:trPr>
        <w:tc>
          <w:tcPr>
            <w:tcW w:w="1809" w:type="dxa"/>
            <w:hideMark/>
          </w:tcPr>
          <w:p w:rsidR="00704864" w:rsidRPr="00036A98" w:rsidP="007B2924">
            <w:pPr>
              <w:tabs>
                <w:tab w:val="left" w:pos="1276"/>
              </w:tabs>
              <w:autoSpaceDE w:val="0"/>
              <w:autoSpaceDN w:val="0"/>
              <w:adjustRightInd w:val="0"/>
              <w:spacing w:after="60"/>
              <w:rPr>
                <w:b/>
                <w:bCs/>
                <w:noProof w:val="0"/>
                <w:color w:val="000000" w:themeColor="text1"/>
                <w:sz w:val="28"/>
                <w:szCs w:val="28"/>
              </w:rPr>
            </w:pPr>
            <w:r w:rsidRPr="00036A98">
              <w:rPr>
                <w:b/>
                <w:noProof w:val="0"/>
                <w:color w:val="000000" w:themeColor="text1"/>
                <w:sz w:val="28"/>
              </w:rPr>
              <w:t>IM</w:t>
            </w:r>
          </w:p>
        </w:tc>
        <w:tc>
          <w:tcPr>
            <w:tcW w:w="8379" w:type="dxa"/>
            <w:hideMark/>
          </w:tcPr>
          <w:p w:rsidR="00704864" w:rsidRPr="00036A98" w:rsidP="007B2924">
            <w:pPr>
              <w:tabs>
                <w:tab w:val="left" w:pos="1276"/>
              </w:tabs>
              <w:autoSpaceDE w:val="0"/>
              <w:autoSpaceDN w:val="0"/>
              <w:adjustRightInd w:val="0"/>
              <w:spacing w:after="60"/>
              <w:rPr>
                <w:bCs/>
                <w:noProof w:val="0"/>
                <w:color w:val="000000" w:themeColor="text1"/>
                <w:sz w:val="28"/>
                <w:szCs w:val="28"/>
              </w:rPr>
            </w:pPr>
            <w:r w:rsidRPr="00036A98">
              <w:rPr>
                <w:noProof w:val="0"/>
                <w:color w:val="000000" w:themeColor="text1"/>
                <w:sz w:val="28"/>
              </w:rPr>
              <w:t>Railway Infrastructure Manager</w:t>
            </w:r>
          </w:p>
        </w:tc>
      </w:tr>
    </w:tbl>
    <w:p w:rsidR="002F5A3F">
      <w:pPr>
        <w:rPr>
          <w:b/>
          <w:bCs/>
          <w:iCs/>
          <w:caps/>
          <w:spacing w:val="20"/>
          <w:szCs w:val="28"/>
        </w:rPr>
      </w:pPr>
      <w:bookmarkStart w:id="8" w:name="_Toc462235794"/>
      <w:bookmarkStart w:id="9" w:name="_Toc462754776"/>
      <w:bookmarkStart w:id="10" w:name="_Toc490231003"/>
      <w:bookmarkStart w:id="11" w:name="_Toc490231895"/>
      <w:bookmarkStart w:id="12" w:name="_Toc490232023"/>
      <w:bookmarkStart w:id="13" w:name="_Toc491352151"/>
      <w:bookmarkStart w:id="14" w:name="_Toc491788083"/>
      <w:bookmarkStart w:id="15" w:name="_Toc491789273"/>
      <w:bookmarkStart w:id="16" w:name="_Toc491791270"/>
      <w:bookmarkStart w:id="17" w:name="_Toc525214750"/>
    </w:p>
    <w:p w:rsidR="00694487" w:rsidRPr="00036A98" w:rsidP="00EF1E96">
      <w:pPr>
        <w:pStyle w:val="Heading2"/>
        <w:numPr>
          <w:ilvl w:val="0"/>
          <w:numId w:val="7"/>
        </w:numPr>
        <w:spacing w:before="0" w:after="0"/>
        <w:ind w:left="357" w:hanging="357"/>
        <w:rPr>
          <w:spacing w:val="0"/>
        </w:rPr>
      </w:pPr>
      <w:r w:rsidRPr="00036A98">
        <w:t>Introduction</w:t>
      </w:r>
      <w:bookmarkEnd w:id="8"/>
      <w:bookmarkEnd w:id="9"/>
      <w:bookmarkEnd w:id="10"/>
      <w:bookmarkEnd w:id="11"/>
      <w:bookmarkEnd w:id="12"/>
      <w:bookmarkEnd w:id="13"/>
      <w:bookmarkEnd w:id="14"/>
      <w:bookmarkEnd w:id="15"/>
      <w:bookmarkEnd w:id="16"/>
      <w:bookmarkEnd w:id="17"/>
    </w:p>
    <w:p w:rsidR="006C4AB2" w:rsidRPr="00036A98" w:rsidP="00EF1E96">
      <w:pPr>
        <w:pStyle w:val="Heading1"/>
        <w:numPr>
          <w:ilvl w:val="0"/>
          <w:numId w:val="8"/>
        </w:numPr>
        <w:spacing w:before="0"/>
        <w:ind w:left="357" w:hanging="357"/>
      </w:pPr>
      <w:bookmarkStart w:id="18" w:name="_Toc525214751"/>
      <w:r w:rsidRPr="00036A98">
        <w:t>Objective, Scope and Addressees of the Report</w:t>
      </w:r>
      <w:bookmarkEnd w:id="18"/>
    </w:p>
    <w:p w:rsidR="00576C3D" w:rsidRPr="00036A98" w:rsidP="00EF1E96">
      <w:pPr>
        <w:pStyle w:val="ListParagraph"/>
        <w:numPr>
          <w:ilvl w:val="0"/>
          <w:numId w:val="20"/>
        </w:numPr>
        <w:ind w:left="0" w:firstLine="360"/>
        <w:jc w:val="both"/>
      </w:pPr>
      <w:r w:rsidRPr="00036A98">
        <w:rPr>
          <w:lang w:val="fr-FR" w:eastAsia="fr-FR" w:bidi="ar-SA"/>
        </w:rPr>
        <w:drawing>
          <wp:anchor distT="0" distB="0" distL="114300" distR="114300" simplePos="0" relativeHeight="251688960" behindDoc="0" locked="0" layoutInCell="1" allowOverlap="1">
            <wp:simplePos x="0" y="0"/>
            <wp:positionH relativeFrom="column">
              <wp:posOffset>-26035</wp:posOffset>
            </wp:positionH>
            <wp:positionV relativeFrom="paragraph">
              <wp:posOffset>91440</wp:posOffset>
            </wp:positionV>
            <wp:extent cx="892810" cy="877570"/>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82770" name="17775539-red-darts-target-aim-and-arrow-successful-shoot-no-transparency-only-gradient.jpg"/>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a:xfrm>
                      <a:off x="0" y="0"/>
                      <a:ext cx="892810" cy="877570"/>
                    </a:xfrm>
                    <a:prstGeom prst="rect">
                      <a:avLst/>
                    </a:prstGeom>
                  </pic:spPr>
                </pic:pic>
              </a:graphicData>
            </a:graphic>
            <wp14:sizeRelH relativeFrom="page">
              <wp14:pctWidth>0</wp14:pctWidth>
            </wp14:sizeRelH>
            <wp14:sizeRelV relativeFrom="page">
              <wp14:pctHeight>0</wp14:pctHeight>
            </wp14:sizeRelV>
          </wp:anchor>
        </w:drawing>
      </w:r>
      <w:r w:rsidRPr="00036A98">
        <w:t xml:space="preserve">This report aims to assess the achievement of Common Safety Indicators in 2017 and to present the overall development of railway safety in the Republic of Bulgaria in accordance with Article 5 of Directive 2004/49/EC of 29 April 2004 on safety on the Community’s railways (RSD). </w:t>
      </w:r>
    </w:p>
    <w:p w:rsidR="00FE50D7" w:rsidRPr="00036A98" w:rsidP="00EF1E96">
      <w:pPr>
        <w:pStyle w:val="ListParagraph"/>
        <w:numPr>
          <w:ilvl w:val="0"/>
          <w:numId w:val="20"/>
        </w:numPr>
        <w:ind w:left="0" w:firstLine="360"/>
        <w:jc w:val="both"/>
      </w:pPr>
      <w:r w:rsidRPr="00036A98">
        <w:t xml:space="preserve">The scope of the report complies with the requirements of Article 18 of the RSD. </w:t>
      </w:r>
    </w:p>
    <w:p w:rsidR="00FE50D7" w:rsidRPr="00036A98" w:rsidP="00FE50D7">
      <w:pPr>
        <w:pStyle w:val="ListParagraph"/>
        <w:ind w:left="360"/>
        <w:jc w:val="both"/>
      </w:pPr>
    </w:p>
    <w:p w:rsidR="00181DD1" w:rsidRPr="00036A98" w:rsidP="00FE50D7">
      <w:pPr>
        <w:pStyle w:val="ListParagraph"/>
        <w:ind w:left="360"/>
        <w:jc w:val="both"/>
      </w:pPr>
      <w:r w:rsidRPr="00036A98">
        <w:t xml:space="preserve">It contains information on: </w:t>
      </w:r>
    </w:p>
    <w:p w:rsidR="00181DD1" w:rsidRPr="00036A98" w:rsidP="00181DD1">
      <w:pPr>
        <w:pStyle w:val="ListParagraph"/>
        <w:numPr>
          <w:ilvl w:val="0"/>
          <w:numId w:val="30"/>
        </w:numPr>
        <w:jc w:val="both"/>
      </w:pPr>
      <w:r w:rsidRPr="00036A98">
        <w:t xml:space="preserve">the development of safety and Common Safety Indicators (CSI) for the railway transport of Bulgaria, in 2017; </w:t>
      </w:r>
    </w:p>
    <w:p w:rsidR="00181DD1" w:rsidRPr="00036A98" w:rsidP="00181DD1">
      <w:pPr>
        <w:pStyle w:val="ListParagraph"/>
        <w:numPr>
          <w:ilvl w:val="0"/>
          <w:numId w:val="30"/>
        </w:numPr>
        <w:jc w:val="both"/>
      </w:pPr>
      <w:r w:rsidRPr="00036A98">
        <w:t xml:space="preserve">the activities relating to the issuance, renewal, amendment or revocation of safety certificates and authorisations; </w:t>
      </w:r>
    </w:p>
    <w:p w:rsidR="00181DD1" w:rsidRPr="00036A98" w:rsidP="00181DD1">
      <w:pPr>
        <w:pStyle w:val="ListParagraph"/>
        <w:numPr>
          <w:ilvl w:val="0"/>
          <w:numId w:val="30"/>
        </w:numPr>
        <w:jc w:val="both"/>
      </w:pPr>
      <w:r w:rsidRPr="00036A98">
        <w:t xml:space="preserve">the experience gathered from the supervision over the infrastructure managers (IMs) and the railway undertakings (RUs), including the number and results of checks and audits; </w:t>
      </w:r>
    </w:p>
    <w:p w:rsidR="00181DD1" w:rsidRPr="00036A98" w:rsidP="00181DD1">
      <w:pPr>
        <w:pStyle w:val="ListParagraph"/>
        <w:numPr>
          <w:ilvl w:val="0"/>
          <w:numId w:val="30"/>
        </w:numPr>
        <w:jc w:val="both"/>
      </w:pPr>
      <w:r w:rsidRPr="00036A98">
        <w:t xml:space="preserve">important changes in safety legislation and regulation; derogations whereon a decision was made pursuant to </w:t>
      </w:r>
      <w:hyperlink r:id="rId10" w:history="1">
        <w:r w:rsidRPr="00036A98">
          <w:rPr>
            <w:rStyle w:val="Hyperlink"/>
            <w:color w:val="auto"/>
            <w:u w:val="none"/>
          </w:rPr>
          <w:t>Article 14a(8)</w:t>
        </w:r>
      </w:hyperlink>
      <w:r w:rsidRPr="00036A98">
        <w:rPr>
          <w:rStyle w:val="Hyperlink"/>
          <w:color w:val="auto"/>
          <w:u w:val="none"/>
        </w:rPr>
        <w:t xml:space="preserve"> </w:t>
      </w:r>
      <w:r w:rsidRPr="00036A98">
        <w:t xml:space="preserve">of the RSD; </w:t>
      </w:r>
    </w:p>
    <w:p w:rsidR="006332DC" w:rsidRPr="00036A98" w:rsidP="00181DD1">
      <w:pPr>
        <w:pStyle w:val="ListParagraph"/>
        <w:numPr>
          <w:ilvl w:val="0"/>
          <w:numId w:val="30"/>
        </w:numPr>
        <w:jc w:val="both"/>
      </w:pPr>
      <w:r w:rsidRPr="00036A98">
        <w:t xml:space="preserve">the experience of the RUs and the IM from the application of the respective Common Safety Methods (CSM). </w:t>
      </w:r>
    </w:p>
    <w:p w:rsidR="00FE50D7" w:rsidRPr="00036A98" w:rsidP="007B2924">
      <w:pPr>
        <w:ind w:firstLine="709"/>
        <w:jc w:val="both"/>
      </w:pPr>
    </w:p>
    <w:p w:rsidR="00084411" w:rsidRPr="00036A98" w:rsidP="007B2924">
      <w:pPr>
        <w:ind w:firstLine="709"/>
        <w:jc w:val="both"/>
      </w:pPr>
      <w:r w:rsidRPr="00036A98">
        <w:t>This report was prepared using the model of the annual safety reports (ASR) of the National Safety Authorities (NSA), approved in 2013 by the Network of NSAs of the European Union (EU) Member States (MS), which is also applicable to the 2017 ASR.</w:t>
      </w:r>
    </w:p>
    <w:p w:rsidR="00FE50D7" w:rsidRPr="00036A98" w:rsidP="007B2924">
      <w:pPr>
        <w:ind w:firstLine="709"/>
        <w:jc w:val="both"/>
      </w:pPr>
    </w:p>
    <w:p w:rsidR="00084411" w:rsidRPr="00036A98" w:rsidP="00EF1E96">
      <w:pPr>
        <w:pStyle w:val="ListParagraph"/>
        <w:numPr>
          <w:ilvl w:val="0"/>
          <w:numId w:val="20"/>
        </w:numPr>
        <w:ind w:left="0" w:firstLine="360"/>
        <w:jc w:val="both"/>
      </w:pPr>
      <w:r w:rsidRPr="00036A98">
        <w:t>The Railway Administration Executive Agency (RAEA) is the National Safety Authority for railway transport pursuant to Article 6(3) of the Railway Transport Act (RTA). The RAEA is headquartered in Sofia and has regional units in Sofia, Plovdiv and Gorna Oryahovitsa.</w:t>
      </w:r>
    </w:p>
    <w:p w:rsidR="006C2993" w:rsidRPr="00036A98" w:rsidP="006C2993">
      <w:pPr>
        <w:ind w:firstLine="720"/>
        <w:jc w:val="both"/>
      </w:pPr>
      <w:r w:rsidRPr="00036A98">
        <w:t>The CSI information was created based on the data received from the ASR of the IM in Bulgaria (NRIC SE) and the RUs holding passenger or freight transport SCs in Bulgaria, as well as from the registers of railway accidents and incidents maintained by the RAEA (AISIAS</w:t>
      </w:r>
      <w:r>
        <w:rPr>
          <w:rStyle w:val="FootnoteReference"/>
        </w:rPr>
        <w:footnoteReference w:id="2"/>
      </w:r>
      <w:r w:rsidRPr="00036A98">
        <w:t>) and the NRIC SE (SmartSafety 2.1).</w:t>
      </w:r>
    </w:p>
    <w:p w:rsidR="00B75924" w:rsidRPr="00036A98" w:rsidP="006C2993">
      <w:pPr>
        <w:pStyle w:val="ListParagraph"/>
        <w:numPr>
          <w:ilvl w:val="0"/>
          <w:numId w:val="20"/>
        </w:numPr>
        <w:ind w:left="0" w:firstLine="426"/>
        <w:jc w:val="both"/>
      </w:pPr>
      <w:r w:rsidRPr="00036A98">
        <w:t>In addition to the European Union Agency for Railways (ERA), this report is also intended for: the MTITC, the National Investigation Body (NIB) of the Republic of Bulgaria (RAISIU), railway infrastructure managers, railway undertakings, entities in charge of maintenance of vehicles, notified bodies (NoBos), designated bodies (DeBos), assessment bodies (AsBos), specialised training institutions (universities, institutes, high schools, colleges, professional and qualification centres, schools, etc.), professional associations, unions and all legal entities and natural persons in the country and abroad, performing or intending to perform railway activities on the territory of the Republic of Bulgaria.</w:t>
      </w:r>
    </w:p>
    <w:p w:rsidR="00055A16" w:rsidRPr="00036A98" w:rsidP="007B2924">
      <w:pPr>
        <w:ind w:firstLine="720"/>
        <w:jc w:val="both"/>
      </w:pPr>
      <w:r w:rsidRPr="00036A98">
        <w:t xml:space="preserve">This report is published online and is publicly available both in ERA’s ERADIS database, in the </w:t>
      </w:r>
      <w:r w:rsidRPr="00036A98">
        <w:rPr>
          <w:i/>
        </w:rPr>
        <w:t>NSA &amp; NIB reports</w:t>
      </w:r>
      <w:r>
        <w:rPr>
          <w:rStyle w:val="FootnoteReference"/>
        </w:rPr>
        <w:footnoteReference w:id="3"/>
      </w:r>
      <w:r w:rsidRPr="00036A98">
        <w:t xml:space="preserve"> section, and on the RAEA website—in the </w:t>
      </w:r>
      <w:r w:rsidRPr="00036A98">
        <w:rPr>
          <w:i/>
        </w:rPr>
        <w:t>National Safety Authority</w:t>
      </w:r>
      <w:r w:rsidRPr="00036A98">
        <w:t xml:space="preserve"> section, </w:t>
      </w:r>
      <w:r w:rsidRPr="00036A98">
        <w:rPr>
          <w:i/>
        </w:rPr>
        <w:t>Annual Safety Reports</w:t>
      </w:r>
      <w:r w:rsidRPr="00036A98">
        <w:t xml:space="preserve"> category. The CSI data for Bulgaria, both for 2017 and for the period between 2007 and 2017, are published and are publicly available in European Union’s ERAIL register on the link below</w:t>
      </w:r>
      <w:r>
        <w:rPr>
          <w:rStyle w:val="FootnoteReference"/>
        </w:rPr>
        <w:footnoteReference w:id="4"/>
      </w:r>
      <w:r w:rsidRPr="00036A98">
        <w:t>.</w:t>
      </w:r>
      <w:bookmarkStart w:id="19" w:name="_Toc462235796"/>
      <w:bookmarkStart w:id="20" w:name="_Toc462754778"/>
      <w:bookmarkStart w:id="21" w:name="_Toc490231005"/>
      <w:bookmarkStart w:id="22" w:name="_Toc490231897"/>
      <w:bookmarkStart w:id="23" w:name="_Toc490232025"/>
      <w:bookmarkStart w:id="24" w:name="_Toc491352153"/>
      <w:bookmarkStart w:id="25" w:name="_Toc491788085"/>
    </w:p>
    <w:p w:rsidR="00F63E52" w:rsidRPr="00036A98" w:rsidP="007B2924">
      <w:pPr>
        <w:ind w:firstLine="720"/>
        <w:jc w:val="both"/>
      </w:pPr>
    </w:p>
    <w:p w:rsidR="00F63E52" w:rsidRPr="00036A98" w:rsidP="007B2924">
      <w:pPr>
        <w:ind w:firstLine="720"/>
        <w:jc w:val="both"/>
      </w:pPr>
    </w:p>
    <w:p w:rsidR="00806AB7" w:rsidRPr="00036A98" w:rsidP="00F63E52">
      <w:pPr>
        <w:pStyle w:val="Heading1"/>
        <w:numPr>
          <w:ilvl w:val="0"/>
          <w:numId w:val="8"/>
        </w:numPr>
        <w:spacing w:before="0"/>
        <w:ind w:left="357" w:hanging="357"/>
      </w:pPr>
      <w:bookmarkStart w:id="26" w:name="_Toc491789275"/>
      <w:bookmarkStart w:id="27" w:name="_Toc491791272"/>
      <w:bookmarkStart w:id="28" w:name="_Toc525214752"/>
      <w:r w:rsidRPr="00036A98">
        <w:t>Significant Organisational Changes Affecting the NSA</w:t>
      </w:r>
      <w:bookmarkEnd w:id="19"/>
      <w:bookmarkEnd w:id="20"/>
      <w:bookmarkEnd w:id="21"/>
      <w:bookmarkEnd w:id="22"/>
      <w:bookmarkEnd w:id="23"/>
      <w:bookmarkEnd w:id="24"/>
      <w:bookmarkEnd w:id="25"/>
      <w:bookmarkEnd w:id="26"/>
      <w:bookmarkEnd w:id="27"/>
      <w:bookmarkEnd w:id="28"/>
    </w:p>
    <w:p w:rsidR="005202B9" w:rsidRPr="00036A98" w:rsidP="007B2924">
      <w:pPr>
        <w:tabs>
          <w:tab w:val="left" w:pos="709"/>
        </w:tabs>
        <w:spacing w:before="240"/>
        <w:ind w:firstLine="720"/>
        <w:jc w:val="both"/>
      </w:pPr>
      <w:r w:rsidRPr="00036A98">
        <w:rPr>
          <w:lang w:val="fr-FR" w:eastAsia="fr-FR" w:bidi="ar-SA"/>
        </w:rPr>
        <w:drawing>
          <wp:anchor distT="0" distB="0" distL="114300" distR="114300" simplePos="0" relativeHeight="251687936" behindDoc="0" locked="0" layoutInCell="1" allowOverlap="1">
            <wp:simplePos x="0" y="0"/>
            <wp:positionH relativeFrom="column">
              <wp:posOffset>-22860</wp:posOffset>
            </wp:positionH>
            <wp:positionV relativeFrom="paragraph">
              <wp:posOffset>22860</wp:posOffset>
            </wp:positionV>
            <wp:extent cx="1048385" cy="87757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723620" name="changes.jpg"/>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48385" cy="877570"/>
                    </a:xfrm>
                    <a:prstGeom prst="rect">
                      <a:avLst/>
                    </a:prstGeom>
                  </pic:spPr>
                </pic:pic>
              </a:graphicData>
            </a:graphic>
            <wp14:sizeRelH relativeFrom="page">
              <wp14:pctWidth>0</wp14:pctWidth>
            </wp14:sizeRelH>
            <wp14:sizeRelV relativeFrom="page">
              <wp14:pctHeight>0</wp14:pctHeight>
            </wp14:sizeRelV>
          </wp:anchor>
        </w:drawing>
      </w:r>
      <w:r w:rsidRPr="00036A98">
        <w:t xml:space="preserve">In 2017, no organisational changes were made, and there were no significant legislative or external organisational changes affecting RAEA’s responsibilities as a NSA for the railway transport of Bulgaria. </w:t>
      </w:r>
    </w:p>
    <w:p w:rsidR="00181DD1" w:rsidRPr="00036A98" w:rsidP="007B2924">
      <w:pPr>
        <w:tabs>
          <w:tab w:val="left" w:pos="709"/>
        </w:tabs>
        <w:spacing w:before="240"/>
        <w:ind w:firstLine="720"/>
        <w:jc w:val="both"/>
      </w:pPr>
    </w:p>
    <w:p w:rsidR="00084411" w:rsidRPr="00036A98" w:rsidP="00181DD1">
      <w:pPr>
        <w:pStyle w:val="Heading2"/>
        <w:numPr>
          <w:ilvl w:val="0"/>
          <w:numId w:val="7"/>
        </w:numPr>
        <w:spacing w:after="0"/>
        <w:ind w:left="357" w:hanging="357"/>
        <w:rPr>
          <w:rFonts w:eastAsia="Calibri"/>
          <w:spacing w:val="0"/>
        </w:rPr>
      </w:pPr>
      <w:bookmarkStart w:id="29" w:name="_Toc462235797"/>
      <w:bookmarkStart w:id="30" w:name="_Toc462754779"/>
      <w:bookmarkStart w:id="31" w:name="_Toc490231006"/>
      <w:bookmarkStart w:id="32" w:name="_Toc490231898"/>
      <w:bookmarkStart w:id="33" w:name="_Toc490232026"/>
      <w:bookmarkStart w:id="34" w:name="_Toc491352154"/>
      <w:bookmarkStart w:id="35" w:name="_Toc491788086"/>
      <w:bookmarkStart w:id="36" w:name="_Toc491789276"/>
      <w:bookmarkStart w:id="37" w:name="_Toc491791273"/>
      <w:bookmarkStart w:id="38" w:name="_Toc525214753"/>
      <w:r w:rsidRPr="00036A98">
        <w:t>Overall Safety Performance and Strategy</w:t>
      </w:r>
      <w:bookmarkEnd w:id="29"/>
      <w:bookmarkEnd w:id="30"/>
      <w:bookmarkEnd w:id="31"/>
      <w:bookmarkEnd w:id="32"/>
      <w:bookmarkEnd w:id="33"/>
      <w:bookmarkEnd w:id="34"/>
      <w:bookmarkEnd w:id="35"/>
      <w:bookmarkEnd w:id="36"/>
      <w:bookmarkEnd w:id="37"/>
      <w:bookmarkEnd w:id="38"/>
    </w:p>
    <w:p w:rsidR="00084411" w:rsidRPr="00036A98" w:rsidP="00EF1E96">
      <w:pPr>
        <w:pStyle w:val="Heading1"/>
        <w:numPr>
          <w:ilvl w:val="0"/>
          <w:numId w:val="26"/>
        </w:numPr>
        <w:spacing w:before="0"/>
        <w:ind w:left="357" w:hanging="357"/>
        <w:rPr>
          <w:rFonts w:eastAsia="Calibri"/>
        </w:rPr>
      </w:pPr>
      <w:bookmarkStart w:id="39" w:name="_Toc462235798"/>
      <w:bookmarkStart w:id="40" w:name="_Toc462754780"/>
      <w:bookmarkStart w:id="41" w:name="_Toc490231007"/>
      <w:bookmarkStart w:id="42" w:name="_Toc490231899"/>
      <w:bookmarkStart w:id="43" w:name="_Toc490232027"/>
      <w:bookmarkStart w:id="44" w:name="_Toc491352155"/>
      <w:bookmarkStart w:id="45" w:name="_Toc491788087"/>
      <w:bookmarkStart w:id="46" w:name="_Toc491789277"/>
      <w:bookmarkStart w:id="47" w:name="_Toc491791274"/>
      <w:bookmarkStart w:id="48" w:name="_Toc525214754"/>
      <w:r w:rsidRPr="00036A98">
        <w:t>Main Conclusions from the Reporting Year</w:t>
      </w:r>
      <w:bookmarkEnd w:id="39"/>
      <w:bookmarkEnd w:id="40"/>
      <w:bookmarkEnd w:id="41"/>
      <w:bookmarkEnd w:id="42"/>
      <w:bookmarkEnd w:id="43"/>
      <w:bookmarkEnd w:id="44"/>
      <w:bookmarkEnd w:id="45"/>
      <w:bookmarkEnd w:id="46"/>
      <w:bookmarkEnd w:id="47"/>
      <w:bookmarkEnd w:id="48"/>
    </w:p>
    <w:p w:rsidR="00745066" w:rsidRPr="00036A98" w:rsidP="007B2924">
      <w:pPr>
        <w:ind w:firstLine="357"/>
        <w:jc w:val="both"/>
        <w:rPr>
          <w:rFonts w:eastAsia="Calibri"/>
          <w:b/>
          <w:noProof w:val="0"/>
        </w:rPr>
      </w:pPr>
      <w:r w:rsidRPr="00036A98">
        <w:tab/>
      </w:r>
      <w:r w:rsidRPr="00036A98">
        <w:rPr>
          <w:b/>
          <w:noProof w:val="0"/>
        </w:rPr>
        <w:t>Common Safety Indicators</w:t>
      </w:r>
      <w:r w:rsidRPr="00036A98">
        <w:t xml:space="preserve"> (see also </w:t>
      </w:r>
      <w:r w:rsidRPr="00036A98">
        <w:rPr>
          <w:b/>
          <w:noProof w:val="0"/>
        </w:rPr>
        <w:t>Annex A</w:t>
      </w:r>
      <w:r w:rsidRPr="00036A98">
        <w:t xml:space="preserve"> to the report):</w:t>
      </w:r>
    </w:p>
    <w:p w:rsidR="00745066" w:rsidRPr="00036A98" w:rsidP="00EF1E96">
      <w:pPr>
        <w:numPr>
          <w:ilvl w:val="0"/>
          <w:numId w:val="3"/>
        </w:numPr>
        <w:tabs>
          <w:tab w:val="left" w:pos="851"/>
        </w:tabs>
        <w:ind w:left="0" w:firstLine="567"/>
        <w:jc w:val="both"/>
        <w:rPr>
          <w:rFonts w:eastAsia="Calibri"/>
          <w:b/>
          <w:noProof w:val="0"/>
        </w:rPr>
      </w:pPr>
      <w:bookmarkStart w:id="49" w:name="_Ref397691728"/>
      <w:r w:rsidRPr="00036A98">
        <w:rPr>
          <w:b/>
          <w:noProof w:val="0"/>
        </w:rPr>
        <w:t>Common safety indicators data related to railway accidents:</w:t>
      </w:r>
      <w:bookmarkEnd w:id="49"/>
    </w:p>
    <w:p w:rsidR="00745066" w:rsidRPr="00036A98" w:rsidP="007B2924">
      <w:pPr>
        <w:ind w:firstLine="567"/>
        <w:jc w:val="both"/>
        <w:rPr>
          <w:rFonts w:eastAsia="Calibri"/>
          <w:noProof w:val="0"/>
        </w:rPr>
      </w:pPr>
      <w:r w:rsidRPr="00036A98">
        <w:t>The total number of significant accidents in Bulgaria, in 2017, broke the positive trend for improvement of the common safety indicator (CSI) for railway accidents, namely: total number of ‘</w:t>
      </w:r>
      <w:r w:rsidRPr="00036A98">
        <w:rPr>
          <w:i/>
          <w:noProof w:val="0"/>
        </w:rPr>
        <w:t>significant accidents</w:t>
      </w:r>
      <w:r>
        <w:rPr>
          <w:rStyle w:val="FootnoteReference"/>
          <w:noProof w:val="0"/>
        </w:rPr>
        <w:footnoteReference w:id="5"/>
      </w:r>
      <w:r w:rsidRPr="00036A98">
        <w:t>’—47 in 2017, compared to 40 in 2016 and 48 in 2015. The total number of railway accidents registered in Bulgaria in 2017 was 351, compared to 327 in 2016 and 305 in 2015.</w:t>
      </w:r>
    </w:p>
    <w:p w:rsidR="00F20613" w:rsidRPr="00036A98" w:rsidP="00EF1E96">
      <w:pPr>
        <w:pStyle w:val="ListParagraph"/>
        <w:numPr>
          <w:ilvl w:val="0"/>
          <w:numId w:val="24"/>
        </w:numPr>
        <w:spacing w:before="120"/>
        <w:ind w:left="0" w:firstLine="567"/>
        <w:jc w:val="both"/>
        <w:rPr>
          <w:rFonts w:eastAsia="Calibri"/>
          <w:noProof w:val="0"/>
        </w:rPr>
      </w:pPr>
      <w:r w:rsidRPr="00036A98">
        <w:t>The value of the total number of ‘significant accidents’ indicator (N00) for 2017 was 47 accidents. The values of this indicator for the previous five years were as follows: 40 (2016), 48 (2015), 58 (2014), 33 (2013) and 48 (2012). The trend for the share of ‘</w:t>
      </w:r>
      <w:r w:rsidRPr="00036A98">
        <w:rPr>
          <w:i/>
          <w:noProof w:val="0"/>
        </w:rPr>
        <w:t xml:space="preserve">accidents to persons involving </w:t>
      </w:r>
      <w:r w:rsidRPr="00036A98">
        <w:rPr>
          <w:i/>
          <w:noProof w:val="0"/>
          <w:color w:val="000000" w:themeColor="text1"/>
        </w:rPr>
        <w:t>RS</w:t>
      </w:r>
      <w:r w:rsidRPr="00036A98">
        <w:rPr>
          <w:i/>
          <w:noProof w:val="0"/>
        </w:rPr>
        <w:t xml:space="preserve"> in motion</w:t>
      </w:r>
      <w:r w:rsidRPr="00036A98">
        <w:t>’</w:t>
      </w:r>
      <w:r>
        <w:rPr>
          <w:rStyle w:val="FootnoteReference"/>
          <w:noProof w:val="0"/>
        </w:rPr>
        <w:footnoteReference w:id="6"/>
      </w:r>
      <w:r w:rsidRPr="00036A98">
        <w:t xml:space="preserve"> to be the highest continued in 2017. For 2017, they were: 29 (indicator code N04). The next most serious significant accidents were: ‘</w:t>
      </w:r>
      <w:r w:rsidRPr="00036A98">
        <w:rPr>
          <w:i/>
          <w:noProof w:val="0"/>
        </w:rPr>
        <w:t>level-crossing accidents, including level-crossing accidents involving pedestrians</w:t>
      </w:r>
      <w:r w:rsidRPr="00036A98">
        <w:t>’ (indicator N03)—11; ‘</w:t>
      </w:r>
      <w:r w:rsidRPr="00036A98">
        <w:rPr>
          <w:i/>
          <w:noProof w:val="0"/>
        </w:rPr>
        <w:t>derailments of trains</w:t>
      </w:r>
      <w:r w:rsidRPr="00036A98">
        <w:t>’—5. (indicator N02); ‘</w:t>
      </w:r>
      <w:r w:rsidRPr="00036A98">
        <w:rPr>
          <w:i/>
          <w:noProof w:val="0"/>
        </w:rPr>
        <w:t>collisions of train with obstacle within the clearance gauge</w:t>
      </w:r>
      <w:r w:rsidRPr="00036A98">
        <w:t>’—1. (indicator N012) and ‘</w:t>
      </w:r>
      <w:r w:rsidRPr="00036A98">
        <w:rPr>
          <w:i/>
          <w:noProof w:val="0"/>
        </w:rPr>
        <w:t>Fires in rolling stock</w:t>
      </w:r>
      <w:r w:rsidRPr="00036A98">
        <w:t>’—1. (indicator N05). In 2017, there were no registered ‘</w:t>
      </w:r>
      <w:r w:rsidRPr="00036A98">
        <w:rPr>
          <w:i/>
          <w:noProof w:val="0"/>
        </w:rPr>
        <w:t>significant accidents</w:t>
      </w:r>
      <w:r w:rsidRPr="00036A98">
        <w:t>’ of the types ‘</w:t>
      </w:r>
      <w:r w:rsidRPr="00036A98">
        <w:rPr>
          <w:i/>
          <w:noProof w:val="0"/>
        </w:rPr>
        <w:t>collisions of train with rail vehicle</w:t>
      </w:r>
      <w:r w:rsidRPr="00036A98">
        <w:t>’ (indicator N011), ‘</w:t>
      </w:r>
      <w:r w:rsidRPr="00036A98">
        <w:rPr>
          <w:i/>
          <w:noProof w:val="0"/>
        </w:rPr>
        <w:t>level-crossing accidents on rail-side protected LCs</w:t>
      </w:r>
      <w:r w:rsidRPr="00036A98">
        <w:t>’ (indicator N035) and ‘</w:t>
      </w:r>
      <w:r w:rsidRPr="00036A98">
        <w:rPr>
          <w:i/>
          <w:noProof w:val="0"/>
        </w:rPr>
        <w:t>level-crossing accidents on passive LCs</w:t>
      </w:r>
      <w:r w:rsidRPr="00036A98">
        <w:t xml:space="preserve">’ (indicator N031). </w:t>
      </w:r>
    </w:p>
    <w:p w:rsidR="00745066" w:rsidRPr="00036A98" w:rsidP="00EF1E96">
      <w:pPr>
        <w:pStyle w:val="ListParagraph"/>
        <w:numPr>
          <w:ilvl w:val="0"/>
          <w:numId w:val="24"/>
        </w:numPr>
        <w:spacing w:before="120"/>
        <w:ind w:left="0" w:firstLine="567"/>
        <w:jc w:val="both"/>
        <w:rPr>
          <w:rFonts w:eastAsia="Calibri"/>
          <w:noProof w:val="0"/>
        </w:rPr>
      </w:pPr>
      <w:r w:rsidRPr="00036A98">
        <w:t xml:space="preserve">In 2017, there was an improvement in the </w:t>
      </w:r>
      <w:r w:rsidRPr="00036A98">
        <w:rPr>
          <w:i/>
          <w:noProof w:val="0"/>
        </w:rPr>
        <w:t>‘total number of persons killed in all accidents’</w:t>
      </w:r>
      <w:r>
        <w:rPr>
          <w:rStyle w:val="FootnoteReference"/>
          <w:noProof w:val="0"/>
        </w:rPr>
        <w:footnoteReference w:id="7"/>
      </w:r>
      <w:r w:rsidRPr="00036A98">
        <w:rPr>
          <w:i/>
          <w:noProof w:val="0"/>
        </w:rPr>
        <w:t xml:space="preserve"> </w:t>
      </w:r>
      <w:r w:rsidRPr="00036A98">
        <w:t>(TK00) indicator, compared to 2016. In 2017, a total of 16 persons were killed in railway accidents, while in the previous five years they were: 22 (2016), 20 (2015), 23 (2014), 12 (2013) and 21 (2012).</w:t>
      </w:r>
    </w:p>
    <w:p w:rsidR="000154D4" w:rsidRPr="00036A98" w:rsidP="00EF1E96">
      <w:pPr>
        <w:pStyle w:val="ListParagraph"/>
        <w:numPr>
          <w:ilvl w:val="0"/>
          <w:numId w:val="24"/>
        </w:numPr>
        <w:spacing w:before="120"/>
        <w:ind w:left="0" w:firstLine="567"/>
        <w:jc w:val="both"/>
        <w:rPr>
          <w:rFonts w:eastAsia="Calibri"/>
          <w:noProof w:val="0"/>
        </w:rPr>
      </w:pPr>
      <w:r w:rsidRPr="00036A98">
        <w:t>In 2017, there was also an improvement in the ‘</w:t>
      </w:r>
      <w:r w:rsidRPr="00036A98">
        <w:rPr>
          <w:i/>
          <w:noProof w:val="0"/>
        </w:rPr>
        <w:t>total number of persons seriously injured in all accidents</w:t>
      </w:r>
      <w:r w:rsidRPr="00036A98">
        <w:t>’</w:t>
      </w:r>
      <w:r>
        <w:rPr>
          <w:rStyle w:val="FootnoteReference"/>
          <w:noProof w:val="0"/>
        </w:rPr>
        <w:footnoteReference w:id="8"/>
      </w:r>
      <w:r w:rsidRPr="00036A98">
        <w:t xml:space="preserve"> (TS00) indicator, compared to 2016. In 2017, seriously injured were 28 persons, while in the previous five years they were: 32 (2016), 24 (2015), 45 (2014), 21 (2013) and 32 (2012).   </w:t>
      </w:r>
    </w:p>
    <w:p w:rsidR="00745066" w:rsidRPr="00036A98" w:rsidP="00EF1E96">
      <w:pPr>
        <w:pStyle w:val="ListParagraph"/>
        <w:numPr>
          <w:ilvl w:val="0"/>
          <w:numId w:val="24"/>
        </w:numPr>
        <w:spacing w:before="120"/>
        <w:ind w:left="0" w:firstLine="567"/>
        <w:jc w:val="both"/>
        <w:rPr>
          <w:rFonts w:eastAsia="Calibri"/>
          <w:noProof w:val="0"/>
        </w:rPr>
      </w:pPr>
      <w:r w:rsidRPr="00036A98">
        <w:t>Details of separate railway accidents registered in 2017, in Bulgaria, with the highest number of dead (killed) and seriously injured persons for each of the risk categories referred to in Article 7(4)(a) and (b) of the RSD and Decision 2009/460/EC</w:t>
      </w:r>
      <w:r>
        <w:rPr>
          <w:rStyle w:val="FootnoteReference"/>
          <w:noProof w:val="0"/>
        </w:rPr>
        <w:footnoteReference w:id="9"/>
      </w:r>
      <w:r w:rsidRPr="00036A98">
        <w:t>:</w:t>
      </w:r>
    </w:p>
    <w:p w:rsidR="00745066" w:rsidRPr="00036A98" w:rsidP="00EF1E96">
      <w:pPr>
        <w:numPr>
          <w:ilvl w:val="1"/>
          <w:numId w:val="3"/>
        </w:numPr>
        <w:tabs>
          <w:tab w:val="num" w:pos="1026"/>
          <w:tab w:val="clear" w:pos="1440"/>
        </w:tabs>
        <w:spacing w:before="120"/>
        <w:ind w:left="1027" w:hanging="284"/>
        <w:jc w:val="both"/>
        <w:rPr>
          <w:rFonts w:eastAsia="Calibri"/>
          <w:noProof w:val="0"/>
          <w:u w:val="single"/>
        </w:rPr>
      </w:pPr>
      <w:r w:rsidRPr="00036A98">
        <w:rPr>
          <w:u w:val="single"/>
        </w:rPr>
        <w:t>Of the ‘</w:t>
      </w:r>
      <w:r w:rsidRPr="00036A98">
        <w:rPr>
          <w:i/>
          <w:noProof w:val="0"/>
          <w:u w:val="single"/>
        </w:rPr>
        <w:t>Passengers</w:t>
      </w:r>
      <w:r>
        <w:rPr>
          <w:rStyle w:val="FootnoteReference"/>
          <w:noProof w:val="0"/>
          <w:u w:val="single"/>
        </w:rPr>
        <w:footnoteReference w:id="10"/>
      </w:r>
      <w:r w:rsidRPr="00036A98">
        <w:rPr>
          <w:u w:val="single"/>
        </w:rPr>
        <w:t>’ risk category (RC):</w:t>
      </w:r>
    </w:p>
    <w:p w:rsidR="00EC1C6B" w:rsidRPr="00036A98" w:rsidP="007B2924">
      <w:pPr>
        <w:ind w:firstLine="709"/>
        <w:jc w:val="both"/>
        <w:rPr>
          <w:rFonts w:eastAsia="Calibri"/>
          <w:noProof w:val="0"/>
        </w:rPr>
      </w:pPr>
      <w:r w:rsidRPr="00036A98">
        <w:t>In 2017, there were no killed persons of the ‘</w:t>
      </w:r>
      <w:r w:rsidRPr="00036A98">
        <w:rPr>
          <w:i/>
          <w:noProof w:val="0"/>
        </w:rPr>
        <w:t>Passengers</w:t>
      </w:r>
      <w:r w:rsidRPr="00036A98">
        <w:t xml:space="preserve">’ RC. </w:t>
      </w:r>
    </w:p>
    <w:p w:rsidR="000C3D7E" w:rsidRPr="00036A98" w:rsidP="00EF1E96">
      <w:pPr>
        <w:pStyle w:val="ListParagraph"/>
        <w:numPr>
          <w:ilvl w:val="1"/>
          <w:numId w:val="3"/>
        </w:numPr>
        <w:tabs>
          <w:tab w:val="num" w:pos="993"/>
          <w:tab w:val="clear" w:pos="1440"/>
        </w:tabs>
        <w:spacing w:before="120"/>
        <w:ind w:left="993" w:hanging="284"/>
        <w:jc w:val="both"/>
        <w:rPr>
          <w:rFonts w:eastAsia="Calibri"/>
          <w:noProof w:val="0"/>
          <w:u w:val="single"/>
        </w:rPr>
      </w:pPr>
      <w:r w:rsidRPr="00036A98">
        <w:rPr>
          <w:u w:val="single"/>
        </w:rPr>
        <w:t>Of the ‘</w:t>
      </w:r>
      <w:r w:rsidRPr="00036A98">
        <w:rPr>
          <w:i/>
          <w:noProof w:val="0"/>
          <w:u w:val="single"/>
        </w:rPr>
        <w:t>Employees or subcontractors</w:t>
      </w:r>
      <w:r>
        <w:rPr>
          <w:rStyle w:val="FootnoteReference"/>
          <w:noProof w:val="0"/>
          <w:u w:val="single"/>
        </w:rPr>
        <w:footnoteReference w:id="11"/>
      </w:r>
      <w:r w:rsidRPr="00036A98">
        <w:rPr>
          <w:u w:val="single"/>
        </w:rPr>
        <w:t>’ RC:</w:t>
      </w:r>
    </w:p>
    <w:p w:rsidR="000C3D7E" w:rsidRPr="00036A98" w:rsidP="007B2924">
      <w:pPr>
        <w:pStyle w:val="ListParagraph"/>
        <w:ind w:left="0"/>
        <w:jc w:val="both"/>
        <w:rPr>
          <w:rFonts w:eastAsia="Calibri"/>
          <w:noProof w:val="0"/>
          <w:u w:val="single"/>
        </w:rPr>
      </w:pPr>
      <w:r w:rsidRPr="00036A98">
        <w:tab/>
        <w:t>In 2017, there were no killed persons of the ‘Employees or subcontractors’ RC.</w:t>
      </w:r>
    </w:p>
    <w:p w:rsidR="00704D80" w:rsidRPr="00036A98" w:rsidP="00EF1E96">
      <w:pPr>
        <w:pStyle w:val="ListParagraph"/>
        <w:numPr>
          <w:ilvl w:val="1"/>
          <w:numId w:val="3"/>
        </w:numPr>
        <w:tabs>
          <w:tab w:val="num" w:pos="990"/>
          <w:tab w:val="left" w:pos="1026"/>
          <w:tab w:val="clear" w:pos="1440"/>
        </w:tabs>
        <w:spacing w:before="120"/>
        <w:ind w:left="992" w:hanging="272"/>
        <w:jc w:val="both"/>
        <w:rPr>
          <w:rFonts w:eastAsia="Calibri"/>
          <w:noProof w:val="0"/>
          <w:u w:val="single"/>
        </w:rPr>
      </w:pPr>
      <w:r w:rsidRPr="00036A98">
        <w:rPr>
          <w:noProof w:val="0"/>
          <w:u w:val="single"/>
        </w:rPr>
        <w:t>Of the ‘</w:t>
      </w:r>
      <w:r w:rsidRPr="00036A98">
        <w:rPr>
          <w:i/>
          <w:noProof w:val="0"/>
          <w:u w:val="single"/>
        </w:rPr>
        <w:t>Level crossing users</w:t>
      </w:r>
      <w:r>
        <w:rPr>
          <w:rStyle w:val="FootnoteReference"/>
          <w:noProof w:val="0"/>
          <w:u w:val="single"/>
        </w:rPr>
        <w:footnoteReference w:id="12"/>
      </w:r>
      <w:r w:rsidRPr="00036A98">
        <w:rPr>
          <w:noProof w:val="0"/>
          <w:u w:val="single"/>
        </w:rPr>
        <w:t>’ RC:</w:t>
      </w:r>
    </w:p>
    <w:p w:rsidR="000C3D7E" w:rsidRPr="00036A98" w:rsidP="007B2924">
      <w:pPr>
        <w:pStyle w:val="ListParagraph"/>
        <w:tabs>
          <w:tab w:val="left" w:pos="709"/>
        </w:tabs>
        <w:ind w:left="0"/>
        <w:jc w:val="both"/>
        <w:rPr>
          <w:rFonts w:eastAsia="Calibri"/>
          <w:noProof w:val="0"/>
        </w:rPr>
      </w:pPr>
      <w:r w:rsidRPr="00036A98">
        <w:rPr>
          <w:rFonts w:eastAsia="Calibri"/>
          <w:lang w:val="fr-FR" w:eastAsia="fr-FR" w:bidi="ar-SA"/>
        </w:rPr>
        <w:drawing>
          <wp:anchor distT="0" distB="0" distL="114300" distR="114300" simplePos="0" relativeHeight="251691008" behindDoc="0" locked="0" layoutInCell="1" allowOverlap="1">
            <wp:simplePos x="0" y="0"/>
            <wp:positionH relativeFrom="column">
              <wp:posOffset>-11430</wp:posOffset>
            </wp:positionH>
            <wp:positionV relativeFrom="paragraph">
              <wp:posOffset>45720</wp:posOffset>
            </wp:positionV>
            <wp:extent cx="2154555" cy="1236345"/>
            <wp:effectExtent l="0" t="0" r="0" b="190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03855" name="level crossing.jpg"/>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2154555" cy="1236345"/>
                    </a:xfrm>
                    <a:prstGeom prst="rect">
                      <a:avLst/>
                    </a:prstGeom>
                  </pic:spPr>
                </pic:pic>
              </a:graphicData>
            </a:graphic>
            <wp14:sizeRelH relativeFrom="page">
              <wp14:pctWidth>0</wp14:pctWidth>
            </wp14:sizeRelH>
            <wp14:sizeRelV relativeFrom="page">
              <wp14:pctHeight>0</wp14:pctHeight>
            </wp14:sizeRelV>
          </wp:anchor>
        </w:drawing>
      </w:r>
      <w:r w:rsidRPr="00036A98">
        <w:tab/>
        <w:t>On 3 March 2017, at a level crossing at km 107</w:t>
      </w:r>
      <w:r w:rsidRPr="00036A98">
        <w:rPr>
          <w:noProof w:val="0"/>
          <w:vertAlign w:val="superscript"/>
        </w:rPr>
        <w:t xml:space="preserve">+750 </w:t>
      </w:r>
      <w:r w:rsidRPr="00036A98">
        <w:t>within the Pazardzhik–Septemvri station-adjacent section, with the crossing barriers closed, a car drove around the gates attempting to traverse the track and was hit by train No 10392. As a result of the collision, one of the passengers in the car was killed and the driver and the other passenger in the car were taken to hospital with injuries.</w:t>
      </w:r>
    </w:p>
    <w:p w:rsidR="0041580B" w:rsidRPr="00036A98" w:rsidP="007B2924">
      <w:pPr>
        <w:pStyle w:val="ListParagraph"/>
        <w:tabs>
          <w:tab w:val="left" w:pos="709"/>
        </w:tabs>
        <w:ind w:left="0"/>
        <w:jc w:val="both"/>
        <w:rPr>
          <w:rFonts w:eastAsia="Calibri"/>
          <w:noProof w:val="0"/>
        </w:rPr>
      </w:pPr>
    </w:p>
    <w:p w:rsidR="005D1039" w:rsidRPr="00036A98" w:rsidP="00EF1E96">
      <w:pPr>
        <w:pStyle w:val="ListParagraph"/>
        <w:numPr>
          <w:ilvl w:val="1"/>
          <w:numId w:val="3"/>
        </w:numPr>
        <w:tabs>
          <w:tab w:val="num" w:pos="993"/>
          <w:tab w:val="left" w:pos="1026"/>
          <w:tab w:val="clear" w:pos="1440"/>
        </w:tabs>
        <w:spacing w:before="120"/>
        <w:ind w:hanging="731"/>
        <w:jc w:val="both"/>
        <w:rPr>
          <w:rFonts w:eastAsia="Calibri"/>
          <w:noProof w:val="0"/>
          <w:u w:val="single"/>
        </w:rPr>
      </w:pPr>
      <w:r w:rsidRPr="00036A98">
        <w:rPr>
          <w:u w:val="single"/>
        </w:rPr>
        <w:t>Of the ‘</w:t>
      </w:r>
      <w:r w:rsidRPr="00036A98">
        <w:rPr>
          <w:i/>
          <w:noProof w:val="0"/>
          <w:u w:val="single"/>
        </w:rPr>
        <w:t>Unauthorised persons</w:t>
      </w:r>
      <w:r>
        <w:rPr>
          <w:rStyle w:val="FootnoteReference"/>
          <w:noProof w:val="0"/>
          <w:u w:val="single"/>
        </w:rPr>
        <w:footnoteReference w:id="13"/>
      </w:r>
      <w:r w:rsidRPr="00036A98">
        <w:rPr>
          <w:u w:val="single"/>
        </w:rPr>
        <w:t>’ RC:</w:t>
      </w:r>
    </w:p>
    <w:p w:rsidR="001314BB" w:rsidRPr="00036A98" w:rsidP="007B2924">
      <w:pPr>
        <w:ind w:firstLine="709"/>
        <w:jc w:val="both"/>
        <w:rPr>
          <w:rFonts w:eastAsia="Calibri"/>
          <w:noProof w:val="0"/>
        </w:rPr>
      </w:pPr>
      <w:r w:rsidRPr="00036A98">
        <w:rPr>
          <w:rFonts w:eastAsia="Calibri"/>
          <w:lang w:val="fr-FR" w:eastAsia="fr-FR" w:bidi="ar-SA"/>
        </w:rPr>
        <w:drawing>
          <wp:anchor distT="0" distB="0" distL="114300" distR="114300" simplePos="0" relativeHeight="251692032" behindDoc="0" locked="0" layoutInCell="1" allowOverlap="1">
            <wp:simplePos x="0" y="0"/>
            <wp:positionH relativeFrom="column">
              <wp:posOffset>-10160</wp:posOffset>
            </wp:positionH>
            <wp:positionV relativeFrom="paragraph">
              <wp:posOffset>732790</wp:posOffset>
            </wp:positionV>
            <wp:extent cx="2154555" cy="1507490"/>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961072" name="article-2141711-1300423D000005DC-590_636x461.jp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2154555" cy="1507490"/>
                    </a:xfrm>
                    <a:prstGeom prst="rect">
                      <a:avLst/>
                    </a:prstGeom>
                  </pic:spPr>
                </pic:pic>
              </a:graphicData>
            </a:graphic>
            <wp14:sizeRelH relativeFrom="page">
              <wp14:pctWidth>0</wp14:pctWidth>
            </wp14:sizeRelH>
            <wp14:sizeRelV relativeFrom="page">
              <wp14:pctHeight>0</wp14:pctHeight>
            </wp14:sizeRelV>
          </wp:anchor>
        </w:drawing>
      </w:r>
      <w:r w:rsidRPr="00036A98">
        <w:t>On 21 October 2017, within the Gorna banya–Zaharna fabrika station-adjacent section, between the warning and entry signals at the Zaharna fabrika station, exiting left curve in the direction of travel, at km 3</w:t>
      </w:r>
      <w:r w:rsidRPr="00036A98">
        <w:rPr>
          <w:noProof w:val="0"/>
          <w:vertAlign w:val="superscript"/>
        </w:rPr>
        <w:t>+950</w:t>
      </w:r>
      <w:r w:rsidRPr="00036A98">
        <w:t>, the train driver saw, to the left of the direction of travel, two individuals, one of whom had stepped on the railroad track. The train driver immediately proceeded with emergency braking and gave the “warning” audible signal with the train whistle of the EMU. One of the individuals managed to cross the railroad track, while the other, trying to cross, stumbled and fell across the rails. Seeing this, the individual who crossed the track returned and tried to help the fallen individual. The distance between the moving train and the individuals on the railroad track was too short to avoid collision. Both individuals died on impact.</w:t>
      </w:r>
    </w:p>
    <w:p w:rsidR="00745066" w:rsidRPr="00036A98" w:rsidP="00EF1E96">
      <w:pPr>
        <w:numPr>
          <w:ilvl w:val="1"/>
          <w:numId w:val="3"/>
        </w:numPr>
        <w:tabs>
          <w:tab w:val="num" w:pos="1026"/>
          <w:tab w:val="clear" w:pos="1440"/>
        </w:tabs>
        <w:spacing w:before="120"/>
        <w:ind w:left="1027" w:hanging="284"/>
        <w:jc w:val="both"/>
        <w:rPr>
          <w:rFonts w:eastAsia="Calibri"/>
          <w:noProof w:val="0"/>
          <w:u w:val="single"/>
        </w:rPr>
      </w:pPr>
      <w:r w:rsidRPr="00036A98">
        <w:rPr>
          <w:u w:val="single"/>
        </w:rPr>
        <w:t>Of the ‘</w:t>
      </w:r>
      <w:r w:rsidRPr="00036A98">
        <w:rPr>
          <w:i/>
          <w:noProof w:val="0"/>
          <w:u w:val="single"/>
        </w:rPr>
        <w:t>Other persons on platform</w:t>
      </w:r>
      <w:r>
        <w:rPr>
          <w:rStyle w:val="FootnoteReference"/>
          <w:noProof w:val="0"/>
          <w:u w:val="single"/>
        </w:rPr>
        <w:footnoteReference w:id="14"/>
      </w:r>
      <w:r w:rsidRPr="00036A98">
        <w:rPr>
          <w:u w:val="single"/>
        </w:rPr>
        <w:t>’ RC:</w:t>
      </w:r>
    </w:p>
    <w:p w:rsidR="00CF7CE0" w:rsidRPr="00036A98" w:rsidP="007B2924">
      <w:pPr>
        <w:ind w:firstLine="992"/>
        <w:jc w:val="both"/>
        <w:rPr>
          <w:rFonts w:eastAsia="Calibri"/>
          <w:noProof w:val="0"/>
        </w:rPr>
      </w:pPr>
      <w:r w:rsidRPr="00036A98">
        <w:t>In 2017, there were no killed persons of the ‘</w:t>
      </w:r>
      <w:r w:rsidRPr="00036A98">
        <w:rPr>
          <w:i/>
          <w:noProof w:val="0"/>
        </w:rPr>
        <w:t>Other persons on platform</w:t>
      </w:r>
      <w:r w:rsidRPr="00036A98">
        <w:t>’ RC.</w:t>
      </w:r>
    </w:p>
    <w:p w:rsidR="00CF7CE0" w:rsidRPr="00036A98" w:rsidP="00EF1E96">
      <w:pPr>
        <w:numPr>
          <w:ilvl w:val="1"/>
          <w:numId w:val="3"/>
        </w:numPr>
        <w:tabs>
          <w:tab w:val="num" w:pos="1026"/>
          <w:tab w:val="clear" w:pos="1440"/>
        </w:tabs>
        <w:spacing w:before="120"/>
        <w:ind w:left="1027" w:hanging="284"/>
        <w:jc w:val="both"/>
        <w:rPr>
          <w:rFonts w:eastAsia="Calibri"/>
          <w:noProof w:val="0"/>
          <w:u w:val="single"/>
        </w:rPr>
      </w:pPr>
      <w:r w:rsidRPr="00036A98">
        <w:rPr>
          <w:noProof w:val="0"/>
          <w:u w:val="single"/>
        </w:rPr>
        <w:t>Of the ‘</w:t>
      </w:r>
      <w:r w:rsidRPr="00036A98">
        <w:rPr>
          <w:i/>
          <w:noProof w:val="0"/>
          <w:u w:val="single"/>
        </w:rPr>
        <w:t>Other persons not on platform</w:t>
      </w:r>
      <w:r>
        <w:rPr>
          <w:rStyle w:val="FootnoteReference"/>
          <w:noProof w:val="0"/>
          <w:u w:val="single"/>
        </w:rPr>
        <w:footnoteReference w:id="15"/>
      </w:r>
      <w:r w:rsidRPr="00036A98">
        <w:rPr>
          <w:noProof w:val="0"/>
          <w:u w:val="single"/>
        </w:rPr>
        <w:t>’ RC:</w:t>
      </w:r>
    </w:p>
    <w:p w:rsidR="00740C17" w:rsidRPr="00036A98" w:rsidP="007B2924">
      <w:pPr>
        <w:ind w:firstLine="1026"/>
        <w:jc w:val="both"/>
        <w:rPr>
          <w:rFonts w:eastAsia="Calibri"/>
          <w:noProof w:val="0"/>
        </w:rPr>
      </w:pPr>
      <w:r w:rsidRPr="00036A98">
        <w:t>In 2017, in Bulgaria, 2 separate accidents of the ‘</w:t>
      </w:r>
      <w:r w:rsidRPr="00036A98">
        <w:rPr>
          <w:i/>
          <w:noProof w:val="0"/>
        </w:rPr>
        <w:t xml:space="preserve">Other </w:t>
      </w:r>
      <w:r w:rsidRPr="00036A98">
        <w:rPr>
          <w:i/>
          <w:noProof w:val="0"/>
        </w:rPr>
        <w:t>persons</w:t>
      </w:r>
      <w:r w:rsidRPr="00036A98">
        <w:rPr>
          <w:i/>
          <w:noProof w:val="0"/>
        </w:rPr>
        <w:t xml:space="preserve"> not on platform</w:t>
      </w:r>
      <w:r w:rsidRPr="00036A98">
        <w:t>’ RC were registered, with two persons killed. Both cases involved similar attempts to cross the railroad track outside a platform and hits by a train in transit.</w:t>
      </w:r>
    </w:p>
    <w:p w:rsidR="006E0DCB" w:rsidRPr="00036A98" w:rsidP="00EF1E96">
      <w:pPr>
        <w:pStyle w:val="ListParagraph"/>
        <w:numPr>
          <w:ilvl w:val="0"/>
          <w:numId w:val="24"/>
        </w:numPr>
        <w:spacing w:before="240"/>
        <w:ind w:left="0" w:firstLine="567"/>
        <w:jc w:val="both"/>
        <w:rPr>
          <w:rFonts w:eastAsia="Calibri"/>
          <w:noProof w:val="0"/>
        </w:rPr>
      </w:pPr>
      <w:r w:rsidRPr="00036A98">
        <w:t>Total number of killed and seriously injured persons in all significant accidents registered in 2017 divided into individual risk categories of persons as defined in Article 7(4)(a) and (b) of the RSD and Decision 2009/460/EC.</w:t>
      </w:r>
    </w:p>
    <w:p w:rsidR="006E0DCB" w:rsidRPr="00036A98" w:rsidP="00EF1E96">
      <w:pPr>
        <w:numPr>
          <w:ilvl w:val="1"/>
          <w:numId w:val="3"/>
        </w:numPr>
        <w:tabs>
          <w:tab w:val="clear" w:pos="1440"/>
        </w:tabs>
        <w:spacing w:before="120"/>
        <w:ind w:left="993" w:hanging="284"/>
        <w:jc w:val="both"/>
        <w:rPr>
          <w:rFonts w:eastAsia="Calibri"/>
          <w:noProof w:val="0"/>
          <w:u w:val="single"/>
        </w:rPr>
      </w:pPr>
      <w:r w:rsidRPr="00036A98">
        <w:rPr>
          <w:u w:val="single"/>
        </w:rPr>
        <w:t>Of the ‘</w:t>
      </w:r>
      <w:r w:rsidRPr="00036A98">
        <w:rPr>
          <w:i/>
          <w:noProof w:val="0"/>
          <w:u w:val="single"/>
        </w:rPr>
        <w:t>Passengers</w:t>
      </w:r>
      <w:r w:rsidRPr="00036A98">
        <w:rPr>
          <w:u w:val="single"/>
        </w:rPr>
        <w:t>’ RC:</w:t>
      </w:r>
    </w:p>
    <w:p w:rsidR="006E0DCB" w:rsidRPr="00036A98" w:rsidP="007B2924">
      <w:pPr>
        <w:ind w:firstLine="1027"/>
        <w:jc w:val="both"/>
        <w:rPr>
          <w:rFonts w:eastAsia="Calibri"/>
          <w:noProof w:val="0"/>
        </w:rPr>
      </w:pPr>
      <w:r w:rsidRPr="00036A98">
        <w:t>In 2017, there were no killed persons of the ‘</w:t>
      </w:r>
      <w:r w:rsidRPr="00036A98">
        <w:rPr>
          <w:i/>
          <w:noProof w:val="0"/>
        </w:rPr>
        <w:t>Passengers</w:t>
      </w:r>
      <w:r w:rsidRPr="00036A98">
        <w:t>’ RC. In 12 separate accidents, 12 persons of the ‘</w:t>
      </w:r>
      <w:r w:rsidRPr="00036A98">
        <w:rPr>
          <w:i/>
          <w:noProof w:val="0"/>
        </w:rPr>
        <w:t>Passengers</w:t>
      </w:r>
      <w:r w:rsidRPr="00036A98">
        <w:t>’ RC were injured. All of them were injured when trying to get off a passenger train moving off after a regular stay at the station.</w:t>
      </w:r>
    </w:p>
    <w:p w:rsidR="006E0DCB" w:rsidRPr="00036A98" w:rsidP="00EF1E96">
      <w:pPr>
        <w:numPr>
          <w:ilvl w:val="1"/>
          <w:numId w:val="3"/>
        </w:numPr>
        <w:tabs>
          <w:tab w:val="num" w:pos="993"/>
          <w:tab w:val="clear" w:pos="1440"/>
        </w:tabs>
        <w:spacing w:before="120"/>
        <w:ind w:left="993" w:hanging="284"/>
        <w:jc w:val="both"/>
        <w:rPr>
          <w:rFonts w:eastAsia="Calibri"/>
          <w:noProof w:val="0"/>
          <w:u w:val="single"/>
        </w:rPr>
      </w:pPr>
      <w:r w:rsidRPr="00036A98">
        <w:rPr>
          <w:noProof w:val="0"/>
          <w:u w:val="single"/>
        </w:rPr>
        <w:t>Of the ‘</w:t>
      </w:r>
      <w:r w:rsidRPr="00036A98">
        <w:rPr>
          <w:i/>
          <w:noProof w:val="0"/>
          <w:u w:val="single"/>
        </w:rPr>
        <w:t>Employees or contractors</w:t>
      </w:r>
      <w:r w:rsidRPr="00036A98">
        <w:rPr>
          <w:noProof w:val="0"/>
          <w:u w:val="single"/>
        </w:rPr>
        <w:t>’ RC:</w:t>
      </w:r>
    </w:p>
    <w:p w:rsidR="006E0DCB" w:rsidRPr="00036A98" w:rsidP="007B2924">
      <w:pPr>
        <w:ind w:firstLine="1026"/>
        <w:jc w:val="both"/>
        <w:rPr>
          <w:rFonts w:eastAsia="Calibri"/>
          <w:noProof w:val="0"/>
        </w:rPr>
      </w:pPr>
      <w:r w:rsidRPr="00036A98">
        <w:t>In 2017, one significant accident of the ‘</w:t>
      </w:r>
      <w:r w:rsidRPr="00036A98">
        <w:rPr>
          <w:i/>
          <w:noProof w:val="0"/>
        </w:rPr>
        <w:t>Employees or contractors</w:t>
      </w:r>
      <w:r w:rsidRPr="00036A98">
        <w:t>’ risk category was registered, where, on 3 July 2017, while traversing at an automated level-crossing device (ALCD), at km 61</w:t>
      </w:r>
      <w:r w:rsidRPr="00036A98">
        <w:rPr>
          <w:noProof w:val="0"/>
          <w:vertAlign w:val="superscript"/>
        </w:rPr>
        <w:t>+089</w:t>
      </w:r>
      <w:r w:rsidRPr="00036A98">
        <w:t>, with barriers closed, within the Borovo–Morunitsa station-adjacent section, one employee (truck driver) was seriously injured.</w:t>
      </w:r>
    </w:p>
    <w:p w:rsidR="006E0DCB" w:rsidRPr="00036A98" w:rsidP="00EF1E96">
      <w:pPr>
        <w:pStyle w:val="ListParagraph"/>
        <w:numPr>
          <w:ilvl w:val="1"/>
          <w:numId w:val="3"/>
        </w:numPr>
        <w:tabs>
          <w:tab w:val="num" w:pos="990"/>
          <w:tab w:val="left" w:pos="1026"/>
          <w:tab w:val="clear" w:pos="1440"/>
        </w:tabs>
        <w:spacing w:before="120"/>
        <w:ind w:left="992" w:hanging="272"/>
        <w:jc w:val="both"/>
        <w:rPr>
          <w:rFonts w:eastAsia="Calibri"/>
          <w:noProof w:val="0"/>
          <w:u w:val="single"/>
        </w:rPr>
      </w:pPr>
      <w:r w:rsidRPr="00036A98">
        <w:rPr>
          <w:noProof w:val="0"/>
          <w:u w:val="single"/>
        </w:rPr>
        <w:t>Of the ‘</w:t>
      </w:r>
      <w:r w:rsidRPr="00036A98">
        <w:rPr>
          <w:i/>
          <w:noProof w:val="0"/>
          <w:u w:val="single"/>
        </w:rPr>
        <w:t>Level crossing users</w:t>
      </w:r>
      <w:r w:rsidRPr="00036A98">
        <w:rPr>
          <w:noProof w:val="0"/>
          <w:u w:val="single"/>
        </w:rPr>
        <w:t>’ RC:</w:t>
      </w:r>
    </w:p>
    <w:p w:rsidR="0059089E" w:rsidRPr="00036A98" w:rsidP="007B2924">
      <w:pPr>
        <w:ind w:firstLine="1026"/>
        <w:jc w:val="both"/>
        <w:rPr>
          <w:rFonts w:eastAsia="Calibri"/>
          <w:noProof w:val="0"/>
        </w:rPr>
      </w:pPr>
      <w:r w:rsidRPr="00036A98">
        <w:t>In 2017, in 10 separate significant level-crossing accidents, 8 persons of the ‘</w:t>
      </w:r>
      <w:r w:rsidRPr="00036A98">
        <w:rPr>
          <w:i/>
          <w:noProof w:val="0"/>
        </w:rPr>
        <w:t>Level crossing users</w:t>
      </w:r>
      <w:r w:rsidRPr="00036A98">
        <w:t xml:space="preserve">’ RC were seriously injured and 5 were killed. </w:t>
      </w:r>
    </w:p>
    <w:p w:rsidR="006E0DCB" w:rsidRPr="00036A98" w:rsidP="00EF1E96">
      <w:pPr>
        <w:pStyle w:val="ListParagraph"/>
        <w:numPr>
          <w:ilvl w:val="1"/>
          <w:numId w:val="3"/>
        </w:numPr>
        <w:tabs>
          <w:tab w:val="num" w:pos="990"/>
          <w:tab w:val="left" w:pos="1026"/>
          <w:tab w:val="clear" w:pos="1440"/>
        </w:tabs>
        <w:spacing w:before="120"/>
        <w:ind w:left="992" w:hanging="272"/>
        <w:jc w:val="both"/>
        <w:rPr>
          <w:rFonts w:eastAsia="Calibri"/>
          <w:noProof w:val="0"/>
          <w:u w:val="single"/>
        </w:rPr>
      </w:pPr>
      <w:r w:rsidRPr="00036A98">
        <w:rPr>
          <w:noProof w:val="0"/>
          <w:u w:val="single"/>
        </w:rPr>
        <w:t>Of the ‘</w:t>
      </w:r>
      <w:r w:rsidRPr="00036A98">
        <w:rPr>
          <w:i/>
          <w:noProof w:val="0"/>
          <w:u w:val="single"/>
        </w:rPr>
        <w:t>Unauthorised persons</w:t>
      </w:r>
      <w:r w:rsidRPr="00036A98">
        <w:rPr>
          <w:noProof w:val="0"/>
          <w:u w:val="single"/>
        </w:rPr>
        <w:t>’ RC:</w:t>
      </w:r>
    </w:p>
    <w:p w:rsidR="006E0DCB" w:rsidRPr="00036A98" w:rsidP="007B2924">
      <w:pPr>
        <w:ind w:firstLine="1026"/>
        <w:jc w:val="both"/>
        <w:rPr>
          <w:rFonts w:eastAsia="Calibri"/>
          <w:noProof w:val="0"/>
          <w:u w:val="single"/>
        </w:rPr>
      </w:pPr>
      <w:r w:rsidRPr="00036A98">
        <w:t>In 2017, in 15 ‘significant’ separate accidents, 9 persons of the ‘</w:t>
      </w:r>
      <w:r w:rsidRPr="00036A98">
        <w:rPr>
          <w:i/>
          <w:noProof w:val="0"/>
        </w:rPr>
        <w:t>Unauthorised persons</w:t>
      </w:r>
      <w:r w:rsidRPr="00036A98">
        <w:t xml:space="preserve">’ RC were killed and 6 were severely injured. </w:t>
      </w:r>
    </w:p>
    <w:p w:rsidR="006E0DCB" w:rsidRPr="00036A98" w:rsidP="00EF1E96">
      <w:pPr>
        <w:numPr>
          <w:ilvl w:val="1"/>
          <w:numId w:val="3"/>
        </w:numPr>
        <w:tabs>
          <w:tab w:val="num" w:pos="1026"/>
          <w:tab w:val="clear" w:pos="1440"/>
        </w:tabs>
        <w:spacing w:before="120"/>
        <w:ind w:left="1027" w:hanging="284"/>
        <w:jc w:val="both"/>
        <w:rPr>
          <w:rFonts w:eastAsia="Calibri"/>
          <w:noProof w:val="0"/>
          <w:u w:val="single"/>
        </w:rPr>
      </w:pPr>
      <w:r w:rsidRPr="00036A98">
        <w:t xml:space="preserve">Of </w:t>
      </w:r>
      <w:r w:rsidRPr="00036A98">
        <w:rPr>
          <w:noProof w:val="0"/>
          <w:u w:val="single"/>
        </w:rPr>
        <w:t>the ‘</w:t>
      </w:r>
      <w:r w:rsidRPr="00036A98">
        <w:rPr>
          <w:i/>
          <w:noProof w:val="0"/>
          <w:u w:val="single"/>
        </w:rPr>
        <w:t>Other persons not on platform</w:t>
      </w:r>
      <w:r w:rsidRPr="00036A98">
        <w:rPr>
          <w:noProof w:val="0"/>
          <w:u w:val="single"/>
        </w:rPr>
        <w:t>’ RC:</w:t>
      </w:r>
    </w:p>
    <w:p w:rsidR="006E0DCB" w:rsidRPr="00036A98" w:rsidP="007B2924">
      <w:pPr>
        <w:ind w:firstLine="1026"/>
        <w:jc w:val="both"/>
        <w:rPr>
          <w:rFonts w:eastAsia="Calibri"/>
          <w:noProof w:val="0"/>
        </w:rPr>
      </w:pPr>
      <w:r w:rsidRPr="00036A98">
        <w:t xml:space="preserve">In 2017, two serious accidents with persons of the </w:t>
      </w:r>
      <w:r w:rsidRPr="00036A98">
        <w:rPr>
          <w:i/>
          <w:noProof w:val="0"/>
        </w:rPr>
        <w:t>‘Other persons not on platform’</w:t>
      </w:r>
      <w:r w:rsidRPr="00036A98">
        <w:t xml:space="preserve"> RC were registered, wherein 2 persons were killed. No seriously injured persons of the ‘</w:t>
      </w:r>
      <w:r w:rsidRPr="00036A98">
        <w:rPr>
          <w:i/>
          <w:noProof w:val="0"/>
        </w:rPr>
        <w:t>Other persons not on platform</w:t>
      </w:r>
      <w:r w:rsidRPr="00036A98">
        <w:t>’ RC were identified</w:t>
      </w:r>
      <w:r w:rsidRPr="00036A98">
        <w:rPr>
          <w:i/>
          <w:noProof w:val="0"/>
        </w:rPr>
        <w:t>.</w:t>
      </w:r>
    </w:p>
    <w:p w:rsidR="00D1656F" w:rsidRPr="00036A98" w:rsidP="00EF1E96">
      <w:pPr>
        <w:pStyle w:val="ListParagraph"/>
        <w:numPr>
          <w:ilvl w:val="1"/>
          <w:numId w:val="3"/>
        </w:numPr>
        <w:tabs>
          <w:tab w:val="num" w:pos="0"/>
          <w:tab w:val="left" w:pos="993"/>
          <w:tab w:val="clear" w:pos="1440"/>
        </w:tabs>
        <w:spacing w:before="120"/>
        <w:ind w:left="709" w:firstLine="0"/>
        <w:jc w:val="both"/>
        <w:rPr>
          <w:rFonts w:eastAsia="Calibri"/>
          <w:noProof w:val="0"/>
          <w:u w:val="single"/>
        </w:rPr>
      </w:pPr>
      <w:r w:rsidRPr="00036A98">
        <w:rPr>
          <w:noProof w:val="0"/>
          <w:u w:val="single"/>
        </w:rPr>
        <w:t>Of the ‘</w:t>
      </w:r>
      <w:r w:rsidRPr="00036A98">
        <w:rPr>
          <w:i/>
          <w:noProof w:val="0"/>
          <w:u w:val="single"/>
        </w:rPr>
        <w:t>Other persons on platform</w:t>
      </w:r>
      <w:r w:rsidRPr="00036A98">
        <w:rPr>
          <w:noProof w:val="0"/>
          <w:u w:val="single"/>
        </w:rPr>
        <w:t xml:space="preserve">’ RC: </w:t>
      </w:r>
    </w:p>
    <w:p w:rsidR="00481452" w:rsidRPr="00036A98" w:rsidP="007B2924">
      <w:pPr>
        <w:pStyle w:val="ListParagraph"/>
        <w:tabs>
          <w:tab w:val="left" w:pos="993"/>
        </w:tabs>
        <w:ind w:left="0" w:firstLine="720"/>
        <w:jc w:val="both"/>
        <w:rPr>
          <w:rFonts w:eastAsia="Calibri"/>
          <w:i/>
          <w:noProof w:val="0"/>
        </w:rPr>
      </w:pPr>
      <w:r w:rsidRPr="00036A98">
        <w:tab/>
        <w:t xml:space="preserve">In 2017, there were no killed or injured persons of the </w:t>
      </w:r>
      <w:r w:rsidRPr="00036A98">
        <w:rPr>
          <w:i/>
          <w:noProof w:val="0"/>
          <w:u w:val="single"/>
        </w:rPr>
        <w:t>‘</w:t>
      </w:r>
      <w:r w:rsidRPr="00036A98">
        <w:rPr>
          <w:i/>
          <w:noProof w:val="0"/>
        </w:rPr>
        <w:t>Other persons on platform</w:t>
      </w:r>
      <w:r w:rsidRPr="00036A98">
        <w:t>’ RC.</w:t>
      </w:r>
    </w:p>
    <w:p w:rsidR="00745066" w:rsidRPr="00036A98" w:rsidP="006918D8">
      <w:pPr>
        <w:pStyle w:val="ListParagraph"/>
        <w:numPr>
          <w:ilvl w:val="0"/>
          <w:numId w:val="24"/>
        </w:numPr>
        <w:tabs>
          <w:tab w:val="left" w:pos="1134"/>
        </w:tabs>
        <w:spacing w:before="240"/>
        <w:ind w:left="0" w:firstLine="567"/>
        <w:jc w:val="both"/>
        <w:rPr>
          <w:rFonts w:eastAsia="Calibri"/>
          <w:noProof w:val="0"/>
          <w:u w:val="single"/>
        </w:rPr>
      </w:pPr>
      <w:r w:rsidRPr="00036A98">
        <w:rPr>
          <w:b/>
          <w:noProof w:val="0"/>
        </w:rPr>
        <w:t xml:space="preserve"> </w:t>
      </w:r>
      <w:r w:rsidRPr="00036A98">
        <w:t xml:space="preserve">Safety indicators relating to </w:t>
      </w:r>
      <w:r w:rsidRPr="00036A98">
        <w:rPr>
          <w:i/>
          <w:noProof w:val="0"/>
        </w:rPr>
        <w:t>dangerous goods</w:t>
      </w:r>
      <w:r w:rsidRPr="00036A98">
        <w:t xml:space="preserve"> (DG)</w:t>
      </w:r>
    </w:p>
    <w:p w:rsidR="002E1CB2" w:rsidRPr="00036A98" w:rsidP="007B2924">
      <w:pPr>
        <w:jc w:val="both"/>
        <w:rPr>
          <w:rFonts w:eastAsia="Calibri"/>
          <w:noProof w:val="0"/>
        </w:rPr>
      </w:pPr>
      <w:r w:rsidRPr="00036A98">
        <w:tab/>
        <w:t>In Bulgaria, in 2017, only one serious (including ‘significant’) railway accident</w:t>
      </w:r>
      <w:r>
        <w:rPr>
          <w:rStyle w:val="FootnoteReference"/>
          <w:noProof w:val="0"/>
        </w:rPr>
        <w:footnoteReference w:id="16"/>
      </w:r>
      <w:r w:rsidRPr="00036A98">
        <w:t xml:space="preserve"> involving transport of dangerous goods was registered. On 9 February 2017, around 00:38, direct freight train No 30582, in transit within the Dalgopol–Komunari station-adjacent section, on road No 2, at km 88</w:t>
      </w:r>
      <w:r w:rsidRPr="00036A98">
        <w:rPr>
          <w:vertAlign w:val="superscript"/>
        </w:rPr>
        <w:t>+350</w:t>
      </w:r>
      <w:r w:rsidRPr="00036A98">
        <w:t xml:space="preserve">, the first bogie in the direction of travel of wagon No 84537915420-4 (Z 4), full, 22nd within the train composition, derailed. As the train entered the Komunari station, at switch No 5, the derailed bogie of wagon No 84537915420-4 rerailed. At 01:31, at the Zavet station, the train was stopped for an emergency inspection by the train crew, but nothing was found. At 02:20, train traffic was suspended within the Dalgopol–Komunari station-adjacent section, on road No 2, switches No 103, 3, 5 and Komunari station track three, by Section Manager Nenov from the NRIC’s railway section, due to damages caused to the railway infrastructure. At the Karnobat station, after the train arrival, damages to wagon No 84537915420-4 were identified. The tank wagon had a centre of mass visibly shifted sidewise, as a result of the gaps found on both sides in the side bearers of both bogies and the body, as well as of the loosening of the wheel-axle press assembly, which had upset the distances between the tyres of the first leading wheelset of the wagon and, subsequently, decreased the ability of the bogie to follow the track curve. </w:t>
      </w:r>
    </w:p>
    <w:p w:rsidR="00745066" w:rsidRPr="00036A98" w:rsidP="00EF1E96">
      <w:pPr>
        <w:numPr>
          <w:ilvl w:val="0"/>
          <w:numId w:val="3"/>
        </w:numPr>
        <w:spacing w:before="120"/>
        <w:ind w:left="714" w:hanging="357"/>
        <w:jc w:val="both"/>
        <w:rPr>
          <w:rFonts w:eastAsia="Calibri"/>
          <w:b/>
          <w:noProof w:val="0"/>
          <w:u w:val="single"/>
        </w:rPr>
      </w:pPr>
      <w:r w:rsidRPr="00036A98">
        <w:rPr>
          <w:b/>
          <w:noProof w:val="0"/>
          <w:u w:val="single"/>
        </w:rPr>
        <w:t xml:space="preserve">Safety indicators relating to </w:t>
      </w:r>
      <w:r w:rsidRPr="00036A98">
        <w:rPr>
          <w:b/>
          <w:i/>
          <w:noProof w:val="0"/>
          <w:u w:val="single"/>
        </w:rPr>
        <w:t>suicides</w:t>
      </w:r>
      <w:r>
        <w:rPr>
          <w:rStyle w:val="FootnoteReference"/>
          <w:b/>
          <w:noProof w:val="0"/>
          <w:u w:val="single"/>
        </w:rPr>
        <w:footnoteReference w:id="17"/>
      </w:r>
      <w:r w:rsidRPr="00036A98">
        <w:rPr>
          <w:b/>
          <w:noProof w:val="0"/>
          <w:u w:val="single"/>
        </w:rPr>
        <w:t>:</w:t>
      </w:r>
    </w:p>
    <w:p w:rsidR="00AB7D5A" w:rsidRPr="00036A98" w:rsidP="007B2924">
      <w:pPr>
        <w:ind w:firstLine="720"/>
        <w:jc w:val="both"/>
        <w:rPr>
          <w:rFonts w:eastAsia="Calibri"/>
          <w:noProof w:val="0"/>
        </w:rPr>
      </w:pPr>
      <w:r w:rsidRPr="00036A98">
        <w:t>In 2017, 23 suicides were registered in the railway transport of Bulgaria. In the past five years, the number of suicides committed on the railways was: 15 (2016), 21 (2015), 29 (2014), 17 (2013) and 33 (2012).</w:t>
      </w:r>
    </w:p>
    <w:p w:rsidR="00745066" w:rsidRPr="00036A98" w:rsidP="007B2924">
      <w:pPr>
        <w:ind w:firstLine="720"/>
        <w:jc w:val="both"/>
        <w:rPr>
          <w:rFonts w:eastAsia="Calibri"/>
          <w:noProof w:val="0"/>
        </w:rPr>
      </w:pPr>
      <w:r w:rsidRPr="00036A98">
        <w:t>In 2017, two attempted suicides were registered. In 2016, one attempted suicide was registered. In 2015, only one attempted suicide was registered, as well. Prior to 2015, no statistical data on the attempted suicides, as indicators, were collected.</w:t>
      </w:r>
    </w:p>
    <w:p w:rsidR="00745066" w:rsidRPr="00036A98" w:rsidP="00EF1E96">
      <w:pPr>
        <w:numPr>
          <w:ilvl w:val="0"/>
          <w:numId w:val="3"/>
        </w:numPr>
        <w:spacing w:before="120"/>
        <w:ind w:left="714" w:hanging="357"/>
        <w:jc w:val="both"/>
        <w:rPr>
          <w:rFonts w:eastAsia="Calibri"/>
          <w:b/>
          <w:noProof w:val="0"/>
          <w:u w:val="single"/>
        </w:rPr>
      </w:pPr>
      <w:r w:rsidRPr="00036A98">
        <w:rPr>
          <w:b/>
          <w:noProof w:val="0"/>
          <w:u w:val="single"/>
        </w:rPr>
        <w:t>Safety indicators relating to ‘</w:t>
      </w:r>
      <w:r w:rsidRPr="00036A98">
        <w:rPr>
          <w:b/>
          <w:i/>
          <w:noProof w:val="0"/>
          <w:u w:val="single"/>
        </w:rPr>
        <w:t>precursors of accidents</w:t>
      </w:r>
      <w:r>
        <w:rPr>
          <w:rStyle w:val="FootnoteReference"/>
          <w:b/>
          <w:i/>
          <w:noProof w:val="0"/>
          <w:u w:val="single"/>
        </w:rPr>
        <w:footnoteReference w:id="18"/>
      </w:r>
      <w:r w:rsidRPr="00036A98">
        <w:rPr>
          <w:b/>
          <w:noProof w:val="0"/>
          <w:u w:val="single"/>
        </w:rPr>
        <w:t>’:</w:t>
      </w:r>
    </w:p>
    <w:p w:rsidR="00D66D87" w:rsidRPr="00036A98" w:rsidP="007B2924">
      <w:pPr>
        <w:ind w:firstLine="720"/>
        <w:jc w:val="both"/>
        <w:rPr>
          <w:rFonts w:eastAsia="Calibri"/>
          <w:noProof w:val="0"/>
        </w:rPr>
      </w:pPr>
      <w:r w:rsidRPr="00036A98">
        <w:t xml:space="preserve">In 2017, the indicator </w:t>
      </w:r>
      <w:r w:rsidRPr="00036A98">
        <w:rPr>
          <w:i/>
          <w:noProof w:val="0"/>
        </w:rPr>
        <w:t>‘Total number of precursors of accidents’</w:t>
      </w:r>
      <w:r w:rsidRPr="00036A98">
        <w:t xml:space="preserve">, code I00, decreased by 24%, compared to the previous year 2016. The value of the I00 indicator was 91 in 2017, 120 in 2016, 133 in 2015 and 124 in 2014. </w:t>
      </w:r>
    </w:p>
    <w:p w:rsidR="006E312C" w:rsidRPr="00036A98" w:rsidP="007B2924">
      <w:pPr>
        <w:ind w:firstLine="720"/>
        <w:jc w:val="both"/>
        <w:rPr>
          <w:rFonts w:eastAsia="Calibri"/>
          <w:noProof w:val="0"/>
        </w:rPr>
      </w:pPr>
      <w:r w:rsidRPr="00036A98">
        <w:t xml:space="preserve">The last four years saw the continuing positive trend for the precursors of accidents related to technical malfunctions of the RS, of the types: </w:t>
      </w:r>
      <w:r w:rsidRPr="00036A98">
        <w:rPr>
          <w:i/>
          <w:noProof w:val="0"/>
        </w:rPr>
        <w:t xml:space="preserve">‘Broken wheel on rolling stock in service’ </w:t>
      </w:r>
      <w:r w:rsidRPr="00036A98">
        <w:t>(</w:t>
      </w:r>
      <w:r w:rsidRPr="00036A98">
        <w:rPr>
          <w:i/>
          <w:noProof w:val="0"/>
        </w:rPr>
        <w:t>I05</w:t>
      </w:r>
      <w:r w:rsidRPr="00036A98">
        <w:t xml:space="preserve">) and </w:t>
      </w:r>
      <w:r w:rsidRPr="00036A98">
        <w:rPr>
          <w:i/>
          <w:noProof w:val="0"/>
        </w:rPr>
        <w:t xml:space="preserve">‘Broken axle on rolling stock in service’ </w:t>
      </w:r>
      <w:r w:rsidRPr="00036A98">
        <w:t>(</w:t>
      </w:r>
      <w:r w:rsidRPr="00036A98">
        <w:rPr>
          <w:i/>
          <w:noProof w:val="0"/>
        </w:rPr>
        <w:t>I06</w:t>
      </w:r>
      <w:r w:rsidRPr="00036A98">
        <w:t xml:space="preserve">) to be zero or near zero. The value of the </w:t>
      </w:r>
      <w:r w:rsidRPr="00036A98">
        <w:rPr>
          <w:i/>
          <w:noProof w:val="0"/>
        </w:rPr>
        <w:t>I05</w:t>
      </w:r>
      <w:r w:rsidRPr="00036A98">
        <w:t xml:space="preserve"> indicator was 0 in 2017, 2 in 2016, 0 in 2015 and 1 in 2014. In 2017, 2016 and 2015, the value of the </w:t>
      </w:r>
      <w:r w:rsidRPr="00036A98">
        <w:rPr>
          <w:i/>
          <w:noProof w:val="0"/>
        </w:rPr>
        <w:t>I06</w:t>
      </w:r>
      <w:r w:rsidRPr="00036A98">
        <w:t xml:space="preserve"> indicator was 0, while, in 2014, it was 4.  </w:t>
      </w:r>
    </w:p>
    <w:p w:rsidR="006E312C" w:rsidRPr="00036A98" w:rsidP="007B2924">
      <w:pPr>
        <w:ind w:firstLine="720"/>
        <w:jc w:val="both"/>
        <w:rPr>
          <w:rFonts w:eastAsia="Calibri"/>
          <w:noProof w:val="0"/>
        </w:rPr>
      </w:pPr>
      <w:r w:rsidRPr="00036A98">
        <w:t xml:space="preserve">In recent years, the number of precursors of accidents related to technical failures of the track, respectively: </w:t>
      </w:r>
      <w:r w:rsidRPr="00036A98">
        <w:rPr>
          <w:i/>
          <w:noProof w:val="0"/>
        </w:rPr>
        <w:t>‘Broken rail’</w:t>
      </w:r>
      <w:r w:rsidRPr="00036A98">
        <w:t xml:space="preserve"> (</w:t>
      </w:r>
      <w:r w:rsidRPr="00036A98">
        <w:rPr>
          <w:i/>
          <w:noProof w:val="0"/>
        </w:rPr>
        <w:t>I01</w:t>
      </w:r>
      <w:r w:rsidRPr="00036A98">
        <w:t xml:space="preserve">) and </w:t>
      </w:r>
      <w:r w:rsidRPr="00036A98">
        <w:rPr>
          <w:i/>
          <w:noProof w:val="0"/>
        </w:rPr>
        <w:t xml:space="preserve">‘Track buckle or other track misalignment’ </w:t>
      </w:r>
      <w:r w:rsidRPr="00036A98">
        <w:t>(</w:t>
      </w:r>
      <w:r w:rsidRPr="00036A98">
        <w:rPr>
          <w:i/>
          <w:noProof w:val="0"/>
        </w:rPr>
        <w:t>I02</w:t>
      </w:r>
      <w:r w:rsidRPr="00036A98">
        <w:t>) was almost the same. In 2017, 68 cases of ‘broken rails’ were registered, while, in the previous five years, they were, respectively: 83 (2016), 104 (2015), 102 (2014), 83 (2013) and 82 (2012). In 2017, there were no registered and investigated cases of ‘</w:t>
      </w:r>
      <w:r w:rsidRPr="00036A98">
        <w:rPr>
          <w:i/>
          <w:noProof w:val="0"/>
        </w:rPr>
        <w:t>Track buckle or other track misalignment</w:t>
      </w:r>
      <w:r w:rsidRPr="00036A98">
        <w:t>’ (I02), while, in 2016, there were, respectively, 15 and, in 2015, there were 14.</w:t>
      </w:r>
    </w:p>
    <w:p w:rsidR="007D0CB7" w:rsidRPr="00036A98" w:rsidP="007B2924">
      <w:pPr>
        <w:ind w:firstLine="720"/>
        <w:jc w:val="both"/>
        <w:rPr>
          <w:rFonts w:eastAsia="Calibri"/>
          <w:noProof w:val="0"/>
        </w:rPr>
      </w:pPr>
      <w:r w:rsidRPr="00036A98">
        <w:t>For yet another year, there were no registered cases of ‘</w:t>
      </w:r>
      <w:r w:rsidRPr="00036A98">
        <w:rPr>
          <w:i/>
          <w:noProof w:val="0"/>
        </w:rPr>
        <w:t>Wrong-side signalling failure</w:t>
      </w:r>
      <w:r w:rsidRPr="00036A98">
        <w:t xml:space="preserve">’ (indicator code I03). The last 2 such cases were registered in 2015. </w:t>
      </w:r>
    </w:p>
    <w:p w:rsidR="003D75FD" w:rsidRPr="00036A98" w:rsidP="007B2924">
      <w:pPr>
        <w:ind w:firstLine="720"/>
        <w:jc w:val="both"/>
        <w:rPr>
          <w:rFonts w:eastAsia="Calibri"/>
          <w:noProof w:val="0"/>
        </w:rPr>
      </w:pPr>
      <w:r w:rsidRPr="00036A98">
        <w:t xml:space="preserve">In 2017, the total number of registered </w:t>
      </w:r>
      <w:r w:rsidRPr="00036A98">
        <w:rPr>
          <w:i/>
          <w:noProof w:val="0"/>
        </w:rPr>
        <w:t xml:space="preserve">‘Signals Passed at Danger’ (when and without passing a danger point) </w:t>
      </w:r>
      <w:r w:rsidRPr="00036A98">
        <w:t xml:space="preserve">(I041 and I042 indicators) was 22, 20 in 2016, 13 in 2015 and 16 each year in both 2014 and 2013. </w:t>
      </w:r>
    </w:p>
    <w:p w:rsidR="00745066" w:rsidRPr="00036A98" w:rsidP="00EF1E96">
      <w:pPr>
        <w:numPr>
          <w:ilvl w:val="0"/>
          <w:numId w:val="3"/>
        </w:numPr>
        <w:spacing w:before="120"/>
        <w:ind w:left="0" w:firstLine="357"/>
        <w:jc w:val="both"/>
        <w:rPr>
          <w:rFonts w:eastAsia="Calibri"/>
          <w:b/>
          <w:noProof w:val="0"/>
          <w:u w:val="single"/>
        </w:rPr>
      </w:pPr>
      <w:r w:rsidRPr="00036A98">
        <w:rPr>
          <w:b/>
          <w:noProof w:val="0"/>
          <w:u w:val="single"/>
        </w:rPr>
        <w:t>Indicators for calculation of the economic impact of accidents:</w:t>
      </w:r>
    </w:p>
    <w:p w:rsidR="007B144B" w:rsidRPr="00036A98" w:rsidP="007B2924">
      <w:pPr>
        <w:ind w:firstLine="709"/>
        <w:jc w:val="both"/>
        <w:rPr>
          <w:rFonts w:eastAsia="Calibri"/>
          <w:noProof w:val="0"/>
          <w:highlight w:val="yellow"/>
        </w:rPr>
      </w:pPr>
      <w:r w:rsidRPr="00036A98">
        <w:t xml:space="preserve">In 2017, the value of the C10 indicator </w:t>
      </w:r>
      <w:r w:rsidRPr="00036A98">
        <w:rPr>
          <w:i/>
          <w:noProof w:val="0"/>
        </w:rPr>
        <w:t>(Economic impact of significant accidents ONLY)</w:t>
      </w:r>
      <w:r w:rsidRPr="00036A98">
        <w:t xml:space="preserve"> was BGN 27,67 million (EUR 14,146 million), while, in 2016, it was BGN 38,6 million (EUR 14,736 million). The decrease in 2017 was attributable mainly to the lack of serious railway accidents.</w:t>
      </w:r>
    </w:p>
    <w:p w:rsidR="00745066" w:rsidRPr="00036A98" w:rsidP="007B2924">
      <w:pPr>
        <w:ind w:firstLine="709"/>
        <w:jc w:val="both"/>
        <w:rPr>
          <w:rFonts w:eastAsia="Calibri"/>
          <w:noProof w:val="0"/>
        </w:rPr>
      </w:pPr>
      <w:r w:rsidRPr="00036A98">
        <w:rPr>
          <w:lang w:val="fr-FR" w:eastAsia="fr-FR" w:bidi="ar-SA"/>
        </w:rPr>
        <w:drawing>
          <wp:anchor distT="0" distB="0" distL="114300" distR="114300" simplePos="0" relativeHeight="251689984" behindDoc="0" locked="0" layoutInCell="1" allowOverlap="1">
            <wp:simplePos x="0" y="0"/>
            <wp:positionH relativeFrom="column">
              <wp:posOffset>2381250</wp:posOffset>
            </wp:positionH>
            <wp:positionV relativeFrom="paragraph">
              <wp:posOffset>480060</wp:posOffset>
            </wp:positionV>
            <wp:extent cx="3726180" cy="2372995"/>
            <wp:effectExtent l="0" t="0" r="7620" b="8255"/>
            <wp:wrapSquare wrapText="bothSides"/>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94766" name="zakasneli-vlakove.png"/>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3726180" cy="2372995"/>
                    </a:xfrm>
                    <a:prstGeom prst="rect">
                      <a:avLst/>
                    </a:prstGeom>
                  </pic:spPr>
                </pic:pic>
              </a:graphicData>
            </a:graphic>
            <wp14:sizeRelH relativeFrom="page">
              <wp14:pctWidth>0</wp14:pctWidth>
            </wp14:sizeRelH>
            <wp14:sizeRelV relativeFrom="page">
              <wp14:pctHeight>0</wp14:pctHeight>
            </wp14:sizeRelV>
          </wp:anchor>
        </w:drawing>
      </w:r>
      <w:r w:rsidRPr="00036A98">
        <w:t>In 2017, the economic impact of the 16 railway accident fatalities (C01 indicator) was BGN 21,770 million (EUR 11,13 million) and that of the 28 serious injuries (C02 indicator) was BGN 5,149 million (EUR 2,632 million). The ‘</w:t>
      </w:r>
      <w:r w:rsidRPr="00036A98">
        <w:rPr>
          <w:i/>
          <w:noProof w:val="0"/>
        </w:rPr>
        <w:t>Cost of material damages to rolling stock or infrastructure for significant accidents</w:t>
      </w:r>
      <w:r w:rsidRPr="00036A98">
        <w:t xml:space="preserve">’ (C13 indicator), in 2017, was BGN 750 947 (EUR 383 920 ), while, in 2016, it was BGN 2,783 million (EUR 1,423 million). </w:t>
      </w:r>
    </w:p>
    <w:p w:rsidR="009C62E4" w:rsidRPr="00036A98" w:rsidP="007B2924">
      <w:pPr>
        <w:tabs>
          <w:tab w:val="left" w:pos="567"/>
        </w:tabs>
        <w:spacing w:after="60"/>
        <w:jc w:val="both"/>
        <w:rPr>
          <w:rFonts w:eastAsia="Calibri"/>
          <w:noProof w:val="0"/>
        </w:rPr>
      </w:pPr>
      <w:r w:rsidRPr="00036A98">
        <w:rPr>
          <w:lang w:val="fr-FR" w:eastAsia="fr-FR" w:bidi="ar-SA"/>
        </w:rPr>
        <mc:AlternateContent>
          <mc:Choice Requires="wps">
            <w:drawing>
              <wp:anchor distT="0" distB="0" distL="114300" distR="114300" simplePos="0" relativeHeight="251701248" behindDoc="0" locked="0" layoutInCell="1" allowOverlap="1">
                <wp:simplePos x="0" y="0"/>
                <wp:positionH relativeFrom="column">
                  <wp:posOffset>2510155</wp:posOffset>
                </wp:positionH>
                <wp:positionV relativeFrom="paragraph">
                  <wp:posOffset>936625</wp:posOffset>
                </wp:positionV>
                <wp:extent cx="3726180" cy="182880"/>
                <wp:effectExtent l="0" t="0" r="7620" b="7620"/>
                <wp:wrapSquare wrapText="bothSides"/>
                <wp:docPr id="271" name="Text Box 271"/>
                <wp:cNvGraphicFramePr/>
                <a:graphic xmlns:a="http://schemas.openxmlformats.org/drawingml/2006/main">
                  <a:graphicData uri="http://schemas.microsoft.com/office/word/2010/wordprocessingShape">
                    <wps:wsp xmlns:wps="http://schemas.microsoft.com/office/word/2010/wordprocessingShape">
                      <wps:cNvSpPr txBox="1"/>
                      <wps:spPr>
                        <a:xfrm>
                          <a:off x="0" y="0"/>
                          <a:ext cx="3726180" cy="182880"/>
                        </a:xfrm>
                        <a:prstGeom prst="rect">
                          <a:avLst/>
                        </a:prstGeom>
                        <a:solidFill>
                          <a:prstClr val="white"/>
                        </a:solidFill>
                        <a:ln>
                          <a:noFill/>
                        </a:ln>
                        <a:effectLst/>
                      </wps:spPr>
                      <wps:txbx>
                        <w:txbxContent>
                          <w:p w:rsidR="002F5A3F" w:rsidRPr="00036A98" w:rsidP="00F16DFB">
                            <w:pPr>
                              <w:pStyle w:val="Caption"/>
                              <w:jc w:val="center"/>
                              <w:rPr>
                                <w:b w:val="0"/>
                                <w:color w:val="000000" w:themeColor="text1"/>
                                <w:sz w:val="24"/>
                                <w:szCs w:val="24"/>
                              </w:rPr>
                            </w:pPr>
                            <w:r w:rsidRPr="00036A98">
                              <w:rPr>
                                <w:color w:val="000000" w:themeColor="text1"/>
                              </w:rPr>
                              <w:t xml:space="preserve">Figure 1: </w:t>
                            </w:r>
                            <w:r w:rsidRPr="00036A98">
                              <w:rPr>
                                <w:b w:val="0"/>
                                <w:color w:val="000000" w:themeColor="text1"/>
                              </w:rPr>
                              <w:t>Train delays caused by damages to facilities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1" o:spid="_x0000_s1032" type="#_x0000_t202" style="width:293.4pt;height:14.4pt;margin-top:73.75pt;margin-left:197.65pt;mso-height-percent:0;mso-height-relative:margin;mso-wrap-distance-bottom:0;mso-wrap-distance-left:9pt;mso-wrap-distance-right:9pt;mso-wrap-distance-top:0;mso-wrap-style:square;position:absolute;visibility:visible;v-text-anchor:top;z-index:251702272" stroked="f">
                <v:textbox inset="0,0,0,0">
                  <w:txbxContent>
                    <w:p w:rsidR="002F5A3F" w:rsidRPr="00036A98" w:rsidP="00F16DFB">
                      <w:pPr>
                        <w:pStyle w:val="Caption"/>
                        <w:jc w:val="center"/>
                        <w:rPr>
                          <w:b w:val="0"/>
                          <w:color w:val="000000" w:themeColor="text1"/>
                          <w:sz w:val="24"/>
                          <w:szCs w:val="24"/>
                        </w:rPr>
                      </w:pPr>
                      <w:r w:rsidRPr="00036A98">
                        <w:rPr>
                          <w:color w:val="000000" w:themeColor="text1"/>
                        </w:rPr>
                        <w:t xml:space="preserve">Figure 1: </w:t>
                      </w:r>
                      <w:r w:rsidRPr="00036A98">
                        <w:rPr>
                          <w:b w:val="0"/>
                          <w:color w:val="000000" w:themeColor="text1"/>
                        </w:rPr>
                        <w:t>Train delays caused by damages to facilities</w:t>
                      </w:r>
                    </w:p>
                  </w:txbxContent>
                </v:textbox>
                <w10:wrap type="square"/>
              </v:shape>
            </w:pict>
          </mc:Fallback>
        </mc:AlternateContent>
      </w:r>
      <w:r w:rsidRPr="00036A98">
        <w:tab/>
        <w:t xml:space="preserve">The ‘Minutes of delays of passenger trains of significant accidents’ (indicator C15), in 2017, were, respectively, 5219. The values of the C15 indicator, for the previous years, were as follows: 6166 minutes (2016); 12 833 (2015); 10 882 (2014) and 5157 (2013). </w:t>
      </w:r>
    </w:p>
    <w:p w:rsidR="00CB26FA" w:rsidRPr="00036A98" w:rsidP="00CB26FA">
      <w:pPr>
        <w:jc w:val="both"/>
        <w:rPr>
          <w:noProof w:val="0"/>
        </w:rPr>
      </w:pPr>
      <w:r w:rsidRPr="00036A98">
        <w:tab/>
        <w:t>Figure 1 shows a chart of the damages to railway facilities in Bulgaria with the longest train delays in minutes, taken from the 2017 ASR of the NRIC SE. It becomes evident from the chart that the type of damage causing the longest train delays, in 2017, in Bulgaria, was pantograph breakage, which, in Bulgaria, is classified as accident of type ‘</w:t>
      </w:r>
      <w:r w:rsidRPr="00036A98">
        <w:rPr>
          <w:i/>
          <w:noProof w:val="0"/>
        </w:rPr>
        <w:t>Train collision with an obstacle within the clearance gauge’</w:t>
      </w:r>
      <w:r>
        <w:rPr>
          <w:rStyle w:val="FootnoteReference"/>
          <w:noProof w:val="0"/>
        </w:rPr>
        <w:footnoteReference w:id="19"/>
      </w:r>
      <w:r w:rsidRPr="00036A98">
        <w:rPr>
          <w:i/>
          <w:noProof w:val="0"/>
        </w:rPr>
        <w:t xml:space="preserve">. </w:t>
      </w:r>
      <w:r w:rsidRPr="00036A98">
        <w:t>The causes of the pantograph breakage(s) are highly disputed and, quite often, are the bone of contention between the RUs and the IM</w:t>
      </w:r>
      <w:r w:rsidRPr="00036A98">
        <w:rPr>
          <w:i/>
          <w:noProof w:val="0"/>
        </w:rPr>
        <w:t xml:space="preserve">, </w:t>
      </w:r>
      <w:r w:rsidRPr="00036A98">
        <w:t xml:space="preserve">since the damages to the contact system (25 kV, 50 Hz) and the RS are significant in most cases. The next longest train delays were caused by damages to: 1) SP (section posts) and TPS (traction substations); 2) messenger wires and contact wires/cable droppers/; 3) disconnectors; 4) metal elements; 5) messenger wire, etc. </w:t>
      </w:r>
    </w:p>
    <w:p w:rsidR="00C03C67" w:rsidRPr="00036A98" w:rsidP="00CB26FA">
      <w:pPr>
        <w:jc w:val="both"/>
        <w:rPr>
          <w:noProof w:val="0"/>
        </w:rPr>
      </w:pPr>
      <w:r w:rsidRPr="00036A98">
        <w:tab/>
        <w:t>In 2017, the total duration of train delays caused by pantograph breakages, in Bulgaria, was 16 846 minutes, while, in 2016, it was 17 302 minutes, making it difficult to keep the train schedule and causing delays for passengers and freight.</w:t>
      </w:r>
    </w:p>
    <w:p w:rsidR="00745066" w:rsidRPr="00036A98" w:rsidP="00EF1E96">
      <w:pPr>
        <w:numPr>
          <w:ilvl w:val="0"/>
          <w:numId w:val="3"/>
        </w:numPr>
        <w:spacing w:before="120"/>
        <w:ind w:left="0" w:firstLine="357"/>
        <w:jc w:val="both"/>
        <w:rPr>
          <w:rFonts w:eastAsia="Calibri"/>
          <w:b/>
          <w:noProof w:val="0"/>
          <w:u w:val="single"/>
        </w:rPr>
      </w:pPr>
      <w:r w:rsidRPr="00036A98">
        <w:rPr>
          <w:b/>
          <w:noProof w:val="0"/>
          <w:u w:val="single"/>
        </w:rPr>
        <w:t>Safety indicators relating to the technical safety of the railway infrastructure and its use.</w:t>
      </w:r>
    </w:p>
    <w:p w:rsidR="00643D65" w:rsidRPr="00036A98" w:rsidP="007B2924">
      <w:pPr>
        <w:ind w:firstLine="709"/>
        <w:jc w:val="both"/>
        <w:rPr>
          <w:rFonts w:eastAsia="Calibri"/>
          <w:noProof w:val="0"/>
        </w:rPr>
      </w:pPr>
      <w:r w:rsidRPr="00036A98">
        <w:t>In 2017, the T03 indicator (</w:t>
      </w:r>
      <w:r w:rsidRPr="00036A98">
        <w:rPr>
          <w:i/>
          <w:noProof w:val="0"/>
        </w:rPr>
        <w:t>Total number of active and passive level crossings</w:t>
      </w:r>
      <w:r w:rsidRPr="00036A98">
        <w:t xml:space="preserve">), in Bulgaria, saw a 0,5% decrease, compared to 2016. The values of T03 for the last five years were as follows: </w:t>
      </w:r>
      <w:r w:rsidRPr="00036A98">
        <w:t>757 (2017), 761 (2016), 766 (2015), 774 (2014), 785 (2013). The values ​​of the T06 indicator (</w:t>
      </w:r>
      <w:r w:rsidRPr="00036A98">
        <w:rPr>
          <w:i/>
          <w:noProof w:val="0"/>
        </w:rPr>
        <w:t>Total number of ‘active’ level crossings</w:t>
      </w:r>
      <w:r w:rsidRPr="00036A98">
        <w:t>), for the last five years, were as follows: 609 (2017), 622 (2016), 626 (2015), 632 (2014), 648 (2013). The values ​​of the T14 indicator (</w:t>
      </w:r>
      <w:r w:rsidRPr="00036A98">
        <w:rPr>
          <w:i/>
          <w:noProof w:val="0"/>
        </w:rPr>
        <w:t>Total number of ‘passive’ level crossings</w:t>
      </w:r>
      <w:r w:rsidRPr="00036A98">
        <w:t xml:space="preserve">), for the last five years, were as follows: 139 (2016), 140 (2015), 142 (2014), 137 (2013) and 137 (2012). </w:t>
      </w:r>
    </w:p>
    <w:p w:rsidR="00745066" w:rsidRPr="00036A98" w:rsidP="00EF1E96">
      <w:pPr>
        <w:numPr>
          <w:ilvl w:val="0"/>
          <w:numId w:val="3"/>
        </w:numPr>
        <w:spacing w:before="120"/>
        <w:ind w:left="714" w:hanging="357"/>
        <w:jc w:val="both"/>
        <w:rPr>
          <w:rFonts w:eastAsia="Calibri"/>
          <w:b/>
          <w:noProof w:val="0"/>
          <w:u w:val="single"/>
        </w:rPr>
      </w:pPr>
      <w:r w:rsidRPr="00036A98">
        <w:rPr>
          <w:b/>
          <w:noProof w:val="0"/>
          <w:u w:val="single"/>
        </w:rPr>
        <w:t xml:space="preserve">Indicators relating to safety management. </w:t>
      </w:r>
    </w:p>
    <w:p w:rsidR="00C85CB8" w:rsidRPr="00036A98" w:rsidP="007B2924">
      <w:pPr>
        <w:ind w:firstLine="720"/>
        <w:jc w:val="both"/>
        <w:rPr>
          <w:rFonts w:eastAsia="Calibri"/>
          <w:noProof w:val="0"/>
        </w:rPr>
      </w:pPr>
      <w:r w:rsidRPr="00036A98">
        <w:t>In 2017, there was an increase in the number of conducted internal audits of the Safety Management Systems (SMSs) of the IM (NRIC SE) and RUs implementing the requirements of Regulation (EC) No 1078/2012</w:t>
      </w:r>
      <w:r>
        <w:rPr>
          <w:rStyle w:val="FootnoteReference"/>
          <w:noProof w:val="0"/>
        </w:rPr>
        <w:footnoteReference w:id="20"/>
      </w:r>
      <w:r w:rsidRPr="00036A98">
        <w:t>. The audits and monitoring of the IM and the RUs conducted by the NSA of Bulgaria found that the former are planning and conducting audits of their SMSs once a year. The internal audit process is being documented.</w:t>
      </w:r>
    </w:p>
    <w:p w:rsidR="00084411" w:rsidRPr="00036A98" w:rsidP="00EF1E96">
      <w:pPr>
        <w:pStyle w:val="Heading1"/>
        <w:numPr>
          <w:ilvl w:val="0"/>
          <w:numId w:val="26"/>
        </w:numPr>
        <w:spacing w:before="240"/>
        <w:ind w:left="357" w:hanging="357"/>
        <w:rPr>
          <w:rFonts w:eastAsia="Calibri"/>
        </w:rPr>
      </w:pPr>
      <w:bookmarkStart w:id="50" w:name="_Toc462235799"/>
      <w:bookmarkStart w:id="51" w:name="_Toc462754781"/>
      <w:bookmarkStart w:id="52" w:name="_Toc490231008"/>
      <w:bookmarkStart w:id="53" w:name="_Toc490231900"/>
      <w:bookmarkStart w:id="54" w:name="_Toc490232028"/>
      <w:bookmarkStart w:id="55" w:name="_Toc491352156"/>
      <w:bookmarkStart w:id="56" w:name="_Toc491788088"/>
      <w:bookmarkStart w:id="57" w:name="_Toc491789278"/>
      <w:bookmarkStart w:id="58" w:name="_Toc491791275"/>
      <w:bookmarkStart w:id="59" w:name="_Toc525214755"/>
      <w:r w:rsidRPr="00036A98">
        <w:t>National Safety Strategy, Programmes and Initiatives</w:t>
      </w:r>
      <w:bookmarkEnd w:id="50"/>
      <w:bookmarkEnd w:id="51"/>
      <w:r w:rsidRPr="00036A98">
        <w:t>.</w:t>
      </w:r>
      <w:bookmarkEnd w:id="52"/>
      <w:bookmarkEnd w:id="53"/>
      <w:bookmarkEnd w:id="54"/>
      <w:bookmarkEnd w:id="55"/>
      <w:bookmarkEnd w:id="56"/>
      <w:bookmarkEnd w:id="57"/>
      <w:bookmarkEnd w:id="58"/>
      <w:bookmarkEnd w:id="59"/>
    </w:p>
    <w:p w:rsidR="005E4C0B" w:rsidRPr="00036A98" w:rsidP="007B2924">
      <w:pPr>
        <w:ind w:firstLine="709"/>
        <w:jc w:val="both"/>
        <w:rPr>
          <w:noProof w:val="0"/>
        </w:rPr>
      </w:pPr>
      <w:r w:rsidRPr="00036A98">
        <w:t>The National Safety Strategy of the Republic of Bulgaria is included in the Strategy for Development of the transport system of the Republic of Bulgaria until 2020, issued by the MTITC in 2010. It describes the obligations of the state regarding the development, coordination and implementation of a policy to increase safety and security in all modes of transport and of the transport system as a whole. The strategy emphasises the important role of the determination and the control of the application of technical standards for planning, design, construction, maintenance and operation of the transport infrastructure in order to ensure safety of consumers, uniformity and technical compatibility of the networks.</w:t>
      </w:r>
    </w:p>
    <w:p w:rsidR="001752AE" w:rsidRPr="00036A98" w:rsidP="007B2924">
      <w:pPr>
        <w:spacing w:before="120"/>
        <w:ind w:firstLine="709"/>
        <w:jc w:val="both"/>
        <w:rPr>
          <w:rFonts w:eastAsia="Calibri"/>
          <w:b/>
          <w:noProof w:val="0"/>
        </w:rPr>
      </w:pPr>
      <w:r w:rsidRPr="00036A98">
        <w:rPr>
          <w:b/>
          <w:noProof w:val="0"/>
        </w:rPr>
        <w:t xml:space="preserve">Operational Programme ‘Transport’ (OPT) 2007–2013 and Operational Programme ‘Transport and Transport Infrastructure’ (OPTTI) 2014–2020. </w:t>
      </w:r>
    </w:p>
    <w:p w:rsidR="00F93934" w:rsidRPr="00036A98" w:rsidP="007B2924">
      <w:pPr>
        <w:ind w:firstLine="709"/>
        <w:jc w:val="both"/>
        <w:rPr>
          <w:rFonts w:eastAsia="Calibri"/>
          <w:noProof w:val="0"/>
        </w:rPr>
      </w:pPr>
      <w:r w:rsidRPr="00036A98">
        <w:t xml:space="preserve">One of the main programmes for development of the Trans-European Transport Network to achieve sustainability of the Bulgarian transport system, part of which is the railway system, is </w:t>
      </w:r>
      <w:r w:rsidRPr="00036A98">
        <w:rPr>
          <w:b/>
          <w:noProof w:val="0"/>
        </w:rPr>
        <w:t>OPT 2007–2013, continued with OPTTI 2014–2020</w:t>
      </w:r>
      <w:r w:rsidRPr="00036A98">
        <w:t>. It is one of the seven operational programmes of the Republic of Bulgaria, financed from the EU Structural Funds and the Cohesion Fund. OPT is the Operational Programme with the largest budget in Bulgaria—over EUR 2 billion.</w:t>
      </w:r>
    </w:p>
    <w:p w:rsidR="005D34AF" w:rsidRPr="00036A98" w:rsidP="007B2924">
      <w:pPr>
        <w:tabs>
          <w:tab w:val="left" w:pos="709"/>
        </w:tabs>
        <w:jc w:val="both"/>
        <w:rPr>
          <w:rFonts w:eastAsia="Calibri"/>
          <w:noProof w:val="0"/>
        </w:rPr>
      </w:pPr>
      <w:r w:rsidRPr="00036A98">
        <w:tab/>
      </w:r>
      <w:r w:rsidRPr="00036A98">
        <w:rPr>
          <w:b/>
          <w:noProof w:val="0"/>
        </w:rPr>
        <w:t>OPTTI 2014–2020</w:t>
      </w:r>
      <w:r w:rsidRPr="00036A98">
        <w:t xml:space="preserve"> ensures continuity and logical continuation of investments from the 2007–2013 programming period, thus ensuring the completion of the routes in which investments have already been made. The following priority axes are formulated in the programme: 1) ‘Development of the railway infrastructure along the ‘core’ Trans-European Transport Network’; 2) ‘Development of the road infrastructure along the ‘core’ and the ‘comprehensive’ Trans-European Transport Network’; 3) ‘Improvement of intermodal transport services for passengers and freights and development of sustainable urban transport’; 4) ‘Innovations in management and services—establishment of modern infrastructure for traffic management and transport safety improvement’ and 5) ‘Technical assistance’.</w:t>
      </w:r>
    </w:p>
    <w:p w:rsidR="008279FA" w:rsidRPr="00036A98" w:rsidP="008279FA">
      <w:pPr>
        <w:pStyle w:val="Heading1"/>
        <w:shd w:val="clear" w:color="auto" w:fill="FFFFFF"/>
        <w:spacing w:before="0" w:after="0" w:line="469" w:lineRule="atLeast"/>
        <w:ind w:firstLine="708"/>
        <w:rPr>
          <w:szCs w:val="24"/>
        </w:rPr>
      </w:pPr>
      <w:r w:rsidRPr="00036A98">
        <w:t>Connecting Europe Facility (CEF)</w:t>
      </w:r>
    </w:p>
    <w:p w:rsidR="008279FA" w:rsidRPr="00036A98" w:rsidP="008279FA">
      <w:pPr>
        <w:pStyle w:val="NormalWeb"/>
        <w:shd w:val="clear" w:color="auto" w:fill="FFFFFF"/>
        <w:spacing w:before="0" w:beforeAutospacing="0" w:after="0" w:afterAutospacing="0" w:line="337" w:lineRule="atLeast"/>
        <w:ind w:firstLine="708"/>
        <w:jc w:val="both"/>
      </w:pPr>
      <w:r w:rsidRPr="00036A98">
        <w:t>CEF was created by Regulation (EU) No 1316/2013 of the European Parliament and of the Council of 11 December 2013 and covers the transport, telecommunications and energy sectors</w:t>
      </w:r>
      <w:r w:rsidRPr="00036A98">
        <w:t>.</w:t>
      </w:r>
    </w:p>
    <w:p w:rsidR="008279FA" w:rsidRPr="00036A98" w:rsidP="008279FA">
      <w:pPr>
        <w:pStyle w:val="Heading1"/>
        <w:shd w:val="clear" w:color="auto" w:fill="FFFFFF"/>
        <w:spacing w:before="0" w:after="0"/>
        <w:ind w:firstLine="708"/>
        <w:rPr>
          <w:b w:val="0"/>
          <w:bCs w:val="0"/>
          <w:u w:val="single"/>
        </w:rPr>
      </w:pPr>
      <w:r w:rsidRPr="00036A98">
        <w:rPr>
          <w:b w:val="0"/>
          <w:u w:val="single"/>
        </w:rPr>
        <w:t xml:space="preserve">The beneficiaries of CEF, in Bulgaria, in the area of railway transport, are: </w:t>
      </w:r>
    </w:p>
    <w:p w:rsidR="008279FA" w:rsidRPr="00036A98" w:rsidP="00EF1E96">
      <w:pPr>
        <w:numPr>
          <w:ilvl w:val="0"/>
          <w:numId w:val="27"/>
        </w:numPr>
        <w:shd w:val="clear" w:color="auto" w:fill="FFFFFF"/>
        <w:jc w:val="both"/>
        <w:rPr>
          <w:noProof w:val="0"/>
        </w:rPr>
      </w:pPr>
      <w:r w:rsidRPr="00036A98">
        <w:rPr>
          <w:b/>
          <w:noProof w:val="0"/>
        </w:rPr>
        <w:t>the National Railway Infrastructure Company</w:t>
      </w:r>
    </w:p>
    <w:p w:rsidR="008279FA" w:rsidRPr="00036A98" w:rsidP="008279FA">
      <w:pPr>
        <w:shd w:val="clear" w:color="auto" w:fill="FFFFFF"/>
        <w:ind w:firstLine="708"/>
        <w:jc w:val="both"/>
        <w:rPr>
          <w:noProof w:val="0"/>
        </w:rPr>
      </w:pPr>
      <w:r w:rsidRPr="00036A98">
        <w:t>Railway projects valued at more than EUR 350 million were agreed upon.</w:t>
      </w:r>
    </w:p>
    <w:p w:rsidR="008279FA" w:rsidRPr="00036A98" w:rsidP="008279FA">
      <w:pPr>
        <w:shd w:val="clear" w:color="auto" w:fill="FFFFFF"/>
        <w:ind w:firstLine="708"/>
        <w:jc w:val="both"/>
        <w:rPr>
          <w:noProof w:val="0"/>
        </w:rPr>
      </w:pPr>
      <w:r w:rsidRPr="00036A98">
        <w:t>- The first design and construction contract for the Sofia–Elin Pelin section was signed. The route will be completed in 4 years;</w:t>
      </w:r>
    </w:p>
    <w:p w:rsidR="008279FA" w:rsidRPr="00036A98" w:rsidP="008279FA">
      <w:pPr>
        <w:shd w:val="clear" w:color="auto" w:fill="FFFFFF"/>
        <w:ind w:firstLine="708"/>
        <w:jc w:val="both"/>
        <w:rPr>
          <w:noProof w:val="0"/>
        </w:rPr>
      </w:pPr>
      <w:r w:rsidRPr="00036A98">
        <w:t>- ‘Development of the Sofia Junction: Sofia–Voluyak Section’—total project value: more than EUR 104 million; EU grant: more than EUR 76 million (73%);</w:t>
      </w:r>
    </w:p>
    <w:p w:rsidR="00627A16" w:rsidP="008279FA">
      <w:pPr>
        <w:shd w:val="clear" w:color="auto" w:fill="FFFFFF"/>
        <w:ind w:firstLine="708"/>
        <w:jc w:val="both"/>
      </w:pPr>
      <w:r w:rsidRPr="00036A98">
        <w:t>- ‘Development of the Plovdiv Junction’—total project value: EUR 72 million, CEF funds: 85%, in the amount of EUR 61 million;</w:t>
      </w:r>
    </w:p>
    <w:p w:rsidR="008279FA" w:rsidRPr="00036A98" w:rsidP="008279FA">
      <w:pPr>
        <w:shd w:val="clear" w:color="auto" w:fill="FFFFFF"/>
        <w:ind w:firstLine="708"/>
        <w:jc w:val="both"/>
        <w:rPr>
          <w:noProof w:val="0"/>
        </w:rPr>
      </w:pPr>
      <w:bookmarkStart w:id="60" w:name="_GoBack"/>
      <w:bookmarkEnd w:id="60"/>
      <w:r w:rsidRPr="00036A98">
        <w:t>- ‘Upgrade of the Sofia–Elin Pelin Railway Sub-Section’—total project value: approximately EUR 68 million; EU grant: approximately EUR 58 million (85%);</w:t>
      </w:r>
    </w:p>
    <w:p w:rsidR="008279FA" w:rsidRPr="00036A98" w:rsidP="008279FA">
      <w:pPr>
        <w:shd w:val="clear" w:color="auto" w:fill="FFFFFF"/>
        <w:ind w:firstLine="708"/>
        <w:jc w:val="both"/>
        <w:rPr>
          <w:noProof w:val="0"/>
        </w:rPr>
      </w:pPr>
      <w:r w:rsidRPr="00036A98">
        <w:t>- ‘Upgrade of the Kostenets–Septemvri Railway Section’—total project value: more than EUR 178 million; EU grant: more than EUR 151 million (85%).</w:t>
      </w:r>
    </w:p>
    <w:p w:rsidR="008279FA" w:rsidRPr="00036A98" w:rsidP="008C5F7C">
      <w:pPr>
        <w:pStyle w:val="ListParagraph"/>
        <w:numPr>
          <w:ilvl w:val="0"/>
          <w:numId w:val="27"/>
        </w:numPr>
        <w:shd w:val="clear" w:color="auto" w:fill="FFFFFF"/>
        <w:jc w:val="both"/>
        <w:rPr>
          <w:noProof w:val="0"/>
        </w:rPr>
      </w:pPr>
      <w:r w:rsidRPr="00036A98">
        <w:rPr>
          <w:b/>
          <w:noProof w:val="0"/>
        </w:rPr>
        <w:t>Railway Administration Executive Agency</w:t>
      </w:r>
    </w:p>
    <w:p w:rsidR="008279FA" w:rsidRPr="00036A98" w:rsidP="008279FA">
      <w:pPr>
        <w:shd w:val="clear" w:color="auto" w:fill="FFFFFF"/>
        <w:jc w:val="both"/>
        <w:rPr>
          <w:noProof w:val="0"/>
        </w:rPr>
      </w:pPr>
      <w:r w:rsidRPr="00036A98">
        <w:t>ERTMS HIPPOPS project approved for funding under the ‘general envelope’ of the 2014 CEF Transport Multi-Annual Work Programme; the project value, in its RAEA part, is EUR 100 000 with 50% co-financing. The main purpose of ERTMS HIPPOPS is to simplify and harmonise authorisation processes and procedures for the placing of the European Railway Traffic Management System into operation/service. The project is implemented with the joint involvement of the National Safety Authorities and Conformity Assessment Bodies of Italy, Bulgaria, France and Belgium.</w:t>
      </w:r>
    </w:p>
    <w:p w:rsidR="00DF4B89" w:rsidRPr="00036A98" w:rsidP="00D47210">
      <w:pPr>
        <w:tabs>
          <w:tab w:val="left" w:pos="709"/>
        </w:tabs>
        <w:spacing w:before="240"/>
        <w:jc w:val="both"/>
        <w:rPr>
          <w:rFonts w:eastAsia="Calibri"/>
          <w:b/>
          <w:noProof w:val="0"/>
        </w:rPr>
      </w:pPr>
      <w:r w:rsidRPr="00036A98">
        <w:rPr>
          <w:rFonts w:eastAsia="Calibri"/>
          <w:lang w:val="fr-FR" w:eastAsia="fr-FR" w:bidi="ar-SA"/>
        </w:rPr>
        <w:drawing>
          <wp:anchor distT="0" distB="0" distL="114300" distR="114300" simplePos="0" relativeHeight="251659264" behindDoc="0" locked="0" layoutInCell="1" allowOverlap="1">
            <wp:simplePos x="0" y="0"/>
            <wp:positionH relativeFrom="column">
              <wp:posOffset>3404870</wp:posOffset>
            </wp:positionH>
            <wp:positionV relativeFrom="paragraph">
              <wp:posOffset>371475</wp:posOffset>
            </wp:positionV>
            <wp:extent cx="2688590" cy="1896745"/>
            <wp:effectExtent l="19050" t="19050" r="130810" b="141605"/>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50150" name="Picture 2"/>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8590" cy="1896745"/>
                    </a:xfrm>
                    <a:prstGeom prst="rect">
                      <a:avLst/>
                    </a:prstGeom>
                    <a:noFill/>
                    <a:ln w="25400" cmpd="tri">
                      <a:solidFill>
                        <a:schemeClr val="accent2">
                          <a:lumMod val="75000"/>
                        </a:schemeClr>
                      </a:solidFill>
                    </a:ln>
                    <a:effectLst>
                      <a:outerShdw blurRad="50800" dist="88900" dir="2700000" sx="100000" sy="100000" kx="0" ky="0" algn="tl" rotWithShape="0">
                        <a:prstClr val="black">
                          <a:alpha val="40000"/>
                        </a:prstClr>
                      </a:outerShdw>
                    </a:effectLst>
                  </pic:spPr>
                </pic:pic>
              </a:graphicData>
            </a:graphic>
          </wp:anchor>
        </w:drawing>
      </w:r>
      <w:r w:rsidRPr="00036A98">
        <w:tab/>
      </w:r>
      <w:r w:rsidRPr="00036A98">
        <w:rPr>
          <w:b/>
          <w:noProof w:val="0"/>
        </w:rPr>
        <w:t>ILCAD (International Level Crossing Awareness Day—3 June) Initiative</w:t>
      </w:r>
    </w:p>
    <w:p w:rsidR="00AA3FB8" w:rsidRPr="00036A98" w:rsidP="007B2924">
      <w:pPr>
        <w:ind w:firstLine="708"/>
        <w:jc w:val="both"/>
        <w:rPr>
          <w:rFonts w:eastAsia="Calibri"/>
          <w:noProof w:val="0"/>
        </w:rPr>
      </w:pPr>
      <w:r w:rsidRPr="00036A98">
        <w:t xml:space="preserve">In 2017, for the ninth consecutive year, the infrastructure manager NRIC SE participated in the large-scale initiative of the </w:t>
      </w:r>
      <w:r w:rsidRPr="00036A98">
        <w:rPr>
          <w:i/>
          <w:noProof w:val="0"/>
        </w:rPr>
        <w:t>International Level Crossing Awareness Day (ILCAD)</w:t>
      </w:r>
      <w:r w:rsidRPr="00036A98">
        <w:t xml:space="preserve">, which is held on the initiative of the International Union of Railways (UIC), jointly with the railway and automotive sectors, in more than 50 countries around the world. The first International Level Crossing Awareness Day (ILCAD) was held on 25 June 2009 in 27 countries. </w:t>
      </w:r>
    </w:p>
    <w:p w:rsidR="00AA3FB8" w:rsidRPr="00036A98" w:rsidP="007B2924">
      <w:pPr>
        <w:ind w:firstLine="708"/>
        <w:jc w:val="both"/>
        <w:rPr>
          <w:rFonts w:eastAsia="Calibri"/>
          <w:noProof w:val="0"/>
        </w:rPr>
      </w:pPr>
      <w:r w:rsidRPr="00036A98">
        <w:rPr>
          <w:lang w:val="fr-FR" w:eastAsia="fr-FR" w:bidi="ar-SA"/>
        </w:rPr>
        <mc:AlternateContent>
          <mc:Choice Requires="wps">
            <w:drawing>
              <wp:anchor distT="0" distB="0" distL="114300" distR="114300" simplePos="0" relativeHeight="251697152" behindDoc="0" locked="0" layoutInCell="1" allowOverlap="1">
                <wp:simplePos x="0" y="0"/>
                <wp:positionH relativeFrom="column">
                  <wp:posOffset>3846195</wp:posOffset>
                </wp:positionH>
                <wp:positionV relativeFrom="paragraph">
                  <wp:posOffset>459740</wp:posOffset>
                </wp:positionV>
                <wp:extent cx="2146300" cy="285750"/>
                <wp:effectExtent l="0" t="0" r="6350" b="0"/>
                <wp:wrapSquare wrapText="bothSides"/>
                <wp:docPr id="263" name="Text Box 263"/>
                <wp:cNvGraphicFramePr/>
                <a:graphic xmlns:a="http://schemas.openxmlformats.org/drawingml/2006/main">
                  <a:graphicData uri="http://schemas.microsoft.com/office/word/2010/wordprocessingShape">
                    <wps:wsp xmlns:wps="http://schemas.microsoft.com/office/word/2010/wordprocessingShape">
                      <wps:cNvSpPr txBox="1"/>
                      <wps:spPr>
                        <a:xfrm>
                          <a:off x="0" y="0"/>
                          <a:ext cx="2146300" cy="285750"/>
                        </a:xfrm>
                        <a:prstGeom prst="rect">
                          <a:avLst/>
                        </a:prstGeom>
                        <a:solidFill>
                          <a:prstClr val="white"/>
                        </a:solidFill>
                        <a:ln>
                          <a:noFill/>
                        </a:ln>
                        <a:effectLst/>
                      </wps:spPr>
                      <wps:txbx>
                        <w:txbxContent>
                          <w:p w:rsidR="002F5A3F" w:rsidRPr="00036A98" w:rsidP="006345D1">
                            <w:pPr>
                              <w:pStyle w:val="Caption"/>
                              <w:jc w:val="center"/>
                              <w:rPr>
                                <w:color w:val="000000" w:themeColor="text1"/>
                              </w:rPr>
                            </w:pPr>
                            <w:r w:rsidRPr="00036A98">
                              <w:rPr>
                                <w:color w:val="000000" w:themeColor="text1"/>
                              </w:rPr>
                              <w:t>Figure 2</w:t>
                            </w:r>
                            <w:r w:rsidRPr="00036A98">
                              <w:t xml:space="preserve">: </w:t>
                            </w:r>
                            <w:r w:rsidRPr="00036A98">
                              <w:rPr>
                                <w:b w:val="0"/>
                                <w:color w:val="000000" w:themeColor="text1"/>
                              </w:rPr>
                              <w:t>International Level Crossing Awareness Day</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263" o:spid="_x0000_s1033" type="#_x0000_t202" style="width:169pt;height:22.5pt;margin-top:36.2pt;margin-left:302.85pt;mso-height-percent:0;mso-height-relative:margin;mso-width-percent:0;mso-width-relative:margin;mso-wrap-distance-bottom:0;mso-wrap-distance-left:9pt;mso-wrap-distance-right:9pt;mso-wrap-distance-top:0;mso-wrap-style:square;position:absolute;visibility:visible;v-text-anchor:top;z-index:251698176" stroked="f">
                <v:textbox inset="0,0,0,0">
                  <w:txbxContent>
                    <w:p w:rsidR="002F5A3F" w:rsidRPr="00036A98" w:rsidP="006345D1">
                      <w:pPr>
                        <w:pStyle w:val="Caption"/>
                        <w:jc w:val="center"/>
                        <w:rPr>
                          <w:color w:val="000000" w:themeColor="text1"/>
                        </w:rPr>
                      </w:pPr>
                      <w:r w:rsidRPr="00036A98">
                        <w:rPr>
                          <w:color w:val="000000" w:themeColor="text1"/>
                        </w:rPr>
                        <w:t>Figure 2</w:t>
                      </w:r>
                      <w:r w:rsidRPr="00036A98">
                        <w:t xml:space="preserve">: </w:t>
                      </w:r>
                      <w:r w:rsidRPr="00036A98">
                        <w:rPr>
                          <w:b w:val="0"/>
                          <w:color w:val="000000" w:themeColor="text1"/>
                        </w:rPr>
                        <w:t>International Level Crossing Awareness Day</w:t>
                      </w:r>
                    </w:p>
                  </w:txbxContent>
                </v:textbox>
                <w10:wrap type="square"/>
              </v:shape>
            </w:pict>
          </mc:Fallback>
        </mc:AlternateContent>
      </w:r>
      <w:r w:rsidRPr="00036A98">
        <w:t>The main purpose of the initiative is to show that accidents can be avoided by complying with the traffic rules and by reducing the dangerous behaviour of the traffic participants when traversing railway level crossings and the surrounding areas.</w:t>
      </w:r>
    </w:p>
    <w:p w:rsidR="00C94B60" w:rsidRPr="00036A98" w:rsidP="001B0B7D">
      <w:pPr>
        <w:pStyle w:val="NormalWeb"/>
        <w:shd w:val="clear" w:color="auto" w:fill="FFFFFF"/>
        <w:spacing w:before="120" w:beforeAutospacing="0" w:after="0" w:afterAutospacing="0"/>
        <w:ind w:firstLine="709"/>
        <w:jc w:val="both"/>
        <w:rPr>
          <w:color w:val="000000"/>
        </w:rPr>
      </w:pPr>
      <w:r w:rsidRPr="00036A98">
        <w:t xml:space="preserve"> At the end of 2017, the total length of the railway network in Bulgaria was 6458 </w:t>
      </w:r>
      <w:r w:rsidRPr="00036A98">
        <w:rPr>
          <w:i/>
        </w:rPr>
        <w:t>‘track kilometres’</w:t>
      </w:r>
      <w:r>
        <w:rPr>
          <w:rStyle w:val="FootnoteReference"/>
        </w:rPr>
        <w:footnoteReference w:id="21"/>
      </w:r>
      <w:r w:rsidRPr="00036A98">
        <w:t xml:space="preserve"> and 4030 </w:t>
      </w:r>
      <w:r w:rsidRPr="00036A98">
        <w:rPr>
          <w:i/>
        </w:rPr>
        <w:t>‘line kilometres’</w:t>
      </w:r>
      <w:r>
        <w:rPr>
          <w:rStyle w:val="FootnoteReference"/>
        </w:rPr>
        <w:footnoteReference w:id="22"/>
      </w:r>
      <w:r w:rsidRPr="00036A98">
        <w:t xml:space="preserve">. At the end of 2017, in Bulgaria, there were 757 level crossings, operated by the NRIC </w:t>
      </w:r>
      <w:r w:rsidRPr="00036A98">
        <w:t>SE,</w:t>
      </w:r>
      <w:r w:rsidRPr="00036A98">
        <w:t xml:space="preserve"> of which 148 were ‘</w:t>
      </w:r>
      <w:r w:rsidRPr="00036A98">
        <w:rPr>
          <w:i/>
        </w:rPr>
        <w:t>passive’</w:t>
      </w:r>
      <w:r>
        <w:rPr>
          <w:rStyle w:val="FootnoteReference"/>
        </w:rPr>
        <w:footnoteReference w:id="23"/>
      </w:r>
      <w:r w:rsidRPr="00036A98">
        <w:rPr>
          <w:i/>
        </w:rPr>
        <w:t xml:space="preserve"> </w:t>
      </w:r>
      <w:r w:rsidRPr="00036A98">
        <w:t>and 609 were ‘</w:t>
      </w:r>
      <w:r w:rsidRPr="00036A98">
        <w:rPr>
          <w:i/>
        </w:rPr>
        <w:t>active’</w:t>
      </w:r>
      <w:r>
        <w:rPr>
          <w:rStyle w:val="FootnoteReference"/>
        </w:rPr>
        <w:footnoteReference w:id="24"/>
      </w:r>
      <w:r w:rsidRPr="00036A98">
        <w:rPr>
          <w:i/>
        </w:rPr>
        <w:t>.</w:t>
      </w:r>
      <w:r w:rsidRPr="00036A98">
        <w:t xml:space="preserve"> </w:t>
      </w:r>
      <w:r w:rsidRPr="00036A98">
        <w:rPr>
          <w:color w:val="000000"/>
        </w:rPr>
        <w:t xml:space="preserve">Out of all 757 level crossings, 519 were equipped with automatic devices ensuring safe train crossing. </w:t>
      </w:r>
      <w:r w:rsidRPr="00036A98">
        <w:rPr>
          <w:color w:val="000000"/>
        </w:rPr>
        <w:t>306</w:t>
      </w:r>
      <w:r w:rsidRPr="00036A98">
        <w:rPr>
          <w:color w:val="000000"/>
        </w:rPr>
        <w:t xml:space="preserve"> devices were equipped with road traffic lights with a third slowly flashing white light.</w:t>
      </w:r>
    </w:p>
    <w:p w:rsidR="00AA3FB8" w:rsidRPr="00036A98" w:rsidP="007B2924">
      <w:pPr>
        <w:spacing w:before="240"/>
        <w:ind w:firstLine="709"/>
        <w:jc w:val="both"/>
        <w:rPr>
          <w:rFonts w:eastAsia="Calibri"/>
          <w:b/>
          <w:bCs/>
          <w:noProof w:val="0"/>
        </w:rPr>
      </w:pPr>
      <w:r w:rsidRPr="00036A98">
        <w:rPr>
          <w:b/>
          <w:noProof w:val="0"/>
        </w:rPr>
        <w:t>One of the main priorities, as part of the overall activity of NRIC SE in Bulgaria, is ensuring security and safety when traversing railway level crossings.</w:t>
      </w:r>
    </w:p>
    <w:p w:rsidR="00AA3FB8" w:rsidRPr="00036A98" w:rsidP="007B2924">
      <w:pPr>
        <w:ind w:firstLine="709"/>
        <w:jc w:val="both"/>
        <w:rPr>
          <w:rFonts w:eastAsia="Calibri"/>
          <w:noProof w:val="0"/>
        </w:rPr>
      </w:pPr>
      <w:r w:rsidRPr="00036A98">
        <w:t xml:space="preserve">In 2017, the number of level-crossing accidents was 23 in total, of which 11 were ‘significant’. In 2016, they were 18, of which 5 were ‘significant.’ In 2015, they were 20, of which 6 were ‘significant.’ In 2014, they were 21, of which 11 were ‘significant’. The main reason for the accidents was the violation of the safety rules by drivers of motor vehicles and disregard of the signals prohibiting passage through the level crossing due to an approaching train. </w:t>
      </w:r>
    </w:p>
    <w:p w:rsidR="00AA3FB8" w:rsidRPr="00036A98" w:rsidP="007B2924">
      <w:pPr>
        <w:ind w:firstLine="709"/>
        <w:jc w:val="both"/>
        <w:rPr>
          <w:rFonts w:eastAsia="Calibri"/>
          <w:bCs/>
          <w:noProof w:val="0"/>
        </w:rPr>
      </w:pPr>
      <w:r w:rsidRPr="00036A98">
        <w:t>The data on the level-crossing accidents, registered in Bulgaria during the five-year period between 2013 and 2017, are presented in tabular format below:</w:t>
      </w:r>
    </w:p>
    <w:p w:rsidR="00512B27" w:rsidRPr="00036A98" w:rsidP="002F5A3F">
      <w:pPr>
        <w:pStyle w:val="Caption"/>
        <w:keepNext/>
        <w:spacing w:before="120" w:after="120"/>
        <w:jc w:val="center"/>
        <w:rPr>
          <w:b w:val="0"/>
          <w:color w:val="000000" w:themeColor="text1"/>
          <w:sz w:val="16"/>
        </w:rPr>
      </w:pPr>
      <w:r w:rsidRPr="00036A98">
        <w:rPr>
          <w:color w:val="000000" w:themeColor="text1"/>
          <w:sz w:val="16"/>
        </w:rPr>
        <w:t xml:space="preserve">Table </w:t>
      </w:r>
      <w:r w:rsidRPr="00036A98">
        <w:rPr>
          <w:color w:val="000000" w:themeColor="text1"/>
          <w:sz w:val="16"/>
        </w:rPr>
        <w:fldChar w:fldCharType="begin"/>
      </w:r>
      <w:r w:rsidRPr="00036A98">
        <w:rPr>
          <w:color w:val="000000" w:themeColor="text1"/>
          <w:sz w:val="16"/>
        </w:rPr>
        <w:instrText xml:space="preserve"> SEQ таблица \* ARABIC </w:instrText>
      </w:r>
      <w:r w:rsidRPr="00036A98">
        <w:rPr>
          <w:color w:val="000000" w:themeColor="text1"/>
          <w:sz w:val="16"/>
        </w:rPr>
        <w:fldChar w:fldCharType="separate"/>
      </w:r>
      <w:r w:rsidRPr="00036A98" w:rsidR="00FE2542">
        <w:rPr>
          <w:color w:val="000000" w:themeColor="text1"/>
          <w:sz w:val="16"/>
        </w:rPr>
        <w:t>1</w:t>
      </w:r>
      <w:r w:rsidRPr="00036A98">
        <w:rPr>
          <w:color w:val="000000" w:themeColor="text1"/>
          <w:sz w:val="16"/>
        </w:rPr>
        <w:fldChar w:fldCharType="end"/>
      </w:r>
      <w:r w:rsidRPr="00036A98">
        <w:rPr>
          <w:b w:val="0"/>
          <w:color w:val="000000" w:themeColor="text1"/>
          <w:sz w:val="16"/>
        </w:rPr>
        <w:t>: Data on the level-crossing accidents registered in Bulgaria in the 2013–2017 period</w:t>
      </w:r>
    </w:p>
    <w:tbl>
      <w:tblPr>
        <w:tblStyle w:val="TableGrid"/>
        <w:tblW w:w="5000" w:type="pct"/>
        <w:tblLook w:val="04A0"/>
      </w:tblPr>
      <w:tblGrid>
        <w:gridCol w:w="929"/>
        <w:gridCol w:w="1462"/>
        <w:gridCol w:w="2450"/>
        <w:gridCol w:w="2136"/>
        <w:gridCol w:w="972"/>
        <w:gridCol w:w="1680"/>
      </w:tblGrid>
      <w:tr w:rsidTr="004E289D">
        <w:tblPrEx>
          <w:tblW w:w="5000" w:type="pct"/>
          <w:tblLook w:val="04A0"/>
        </w:tblPrEx>
        <w:trPr>
          <w:trHeight w:val="805"/>
        </w:trPr>
        <w:tc>
          <w:tcPr>
            <w:tcW w:w="486" w:type="pct"/>
          </w:tcPr>
          <w:p w:rsidR="00EF4DB8" w:rsidRPr="00036A98" w:rsidP="002F5A3F">
            <w:pPr>
              <w:keepNext/>
              <w:jc w:val="center"/>
              <w:rPr>
                <w:noProof w:val="0"/>
                <w:sz w:val="20"/>
                <w:szCs w:val="20"/>
              </w:rPr>
            </w:pPr>
            <w:r w:rsidRPr="00036A98">
              <w:rPr>
                <w:noProof w:val="0"/>
                <w:sz w:val="20"/>
              </w:rPr>
              <w:t>Year</w:t>
            </w:r>
          </w:p>
        </w:tc>
        <w:tc>
          <w:tcPr>
            <w:tcW w:w="763" w:type="pct"/>
          </w:tcPr>
          <w:p w:rsidR="00EF4DB8" w:rsidRPr="00036A98" w:rsidP="002F5A3F">
            <w:pPr>
              <w:keepNext/>
              <w:jc w:val="center"/>
              <w:rPr>
                <w:noProof w:val="0"/>
                <w:sz w:val="20"/>
                <w:szCs w:val="20"/>
              </w:rPr>
            </w:pPr>
            <w:r w:rsidRPr="00036A98">
              <w:rPr>
                <w:noProof w:val="0"/>
                <w:sz w:val="20"/>
              </w:rPr>
              <w:t>Total number of level-crossing accidents</w:t>
            </w:r>
          </w:p>
        </w:tc>
        <w:tc>
          <w:tcPr>
            <w:tcW w:w="1276" w:type="pct"/>
          </w:tcPr>
          <w:p w:rsidR="00EF4DB8" w:rsidRPr="00036A98" w:rsidP="002F5A3F">
            <w:pPr>
              <w:keepNext/>
              <w:jc w:val="center"/>
              <w:rPr>
                <w:noProof w:val="0"/>
                <w:sz w:val="20"/>
                <w:szCs w:val="20"/>
              </w:rPr>
            </w:pPr>
            <w:r w:rsidRPr="00036A98">
              <w:rPr>
                <w:noProof w:val="0"/>
                <w:sz w:val="20"/>
              </w:rPr>
              <w:t>Total number of significant level-crossing accidents</w:t>
            </w:r>
          </w:p>
        </w:tc>
        <w:tc>
          <w:tcPr>
            <w:tcW w:w="1113" w:type="pct"/>
            <w:noWrap/>
          </w:tcPr>
          <w:p w:rsidR="00EF4DB8" w:rsidRPr="00036A98" w:rsidP="002F5A3F">
            <w:pPr>
              <w:keepNext/>
              <w:jc w:val="center"/>
              <w:rPr>
                <w:noProof w:val="0"/>
                <w:sz w:val="20"/>
                <w:szCs w:val="20"/>
              </w:rPr>
            </w:pPr>
            <w:r w:rsidRPr="00036A98">
              <w:rPr>
                <w:noProof w:val="0"/>
                <w:sz w:val="20"/>
              </w:rPr>
              <w:t>Died (killed) persons</w:t>
            </w:r>
          </w:p>
        </w:tc>
        <w:tc>
          <w:tcPr>
            <w:tcW w:w="486" w:type="pct"/>
          </w:tcPr>
          <w:p w:rsidR="00EF4DB8" w:rsidRPr="00036A98" w:rsidP="002F5A3F">
            <w:pPr>
              <w:keepNext/>
              <w:jc w:val="center"/>
              <w:rPr>
                <w:noProof w:val="0"/>
                <w:sz w:val="20"/>
                <w:szCs w:val="20"/>
              </w:rPr>
            </w:pPr>
            <w:r w:rsidRPr="00036A98">
              <w:rPr>
                <w:noProof w:val="0"/>
                <w:sz w:val="20"/>
              </w:rPr>
              <w:t>Seriously injured persons</w:t>
            </w:r>
          </w:p>
        </w:tc>
        <w:tc>
          <w:tcPr>
            <w:tcW w:w="876" w:type="pct"/>
          </w:tcPr>
          <w:p w:rsidR="00EF4DB8" w:rsidRPr="00036A98" w:rsidP="002F5A3F">
            <w:pPr>
              <w:keepNext/>
              <w:jc w:val="center"/>
              <w:rPr>
                <w:noProof w:val="0"/>
                <w:sz w:val="20"/>
                <w:szCs w:val="20"/>
              </w:rPr>
            </w:pPr>
            <w:r w:rsidRPr="00036A98">
              <w:rPr>
                <w:noProof w:val="0"/>
                <w:sz w:val="20"/>
              </w:rPr>
              <w:t>Total</w:t>
            </w:r>
          </w:p>
          <w:p w:rsidR="00267FBF" w:rsidRPr="00036A98" w:rsidP="002F5A3F">
            <w:pPr>
              <w:keepNext/>
              <w:jc w:val="center"/>
              <w:rPr>
                <w:noProof w:val="0"/>
                <w:sz w:val="20"/>
                <w:szCs w:val="20"/>
              </w:rPr>
            </w:pPr>
            <w:r w:rsidRPr="00036A98">
              <w:rPr>
                <w:noProof w:val="0"/>
                <w:sz w:val="20"/>
              </w:rPr>
              <w:t>Killed and seriously injured persons</w:t>
            </w:r>
          </w:p>
        </w:tc>
      </w:tr>
      <w:tr w:rsidTr="004E289D">
        <w:tblPrEx>
          <w:tblW w:w="5000" w:type="pct"/>
          <w:tblLook w:val="04A0"/>
        </w:tblPrEx>
        <w:trPr>
          <w:trHeight w:val="330"/>
        </w:trPr>
        <w:tc>
          <w:tcPr>
            <w:tcW w:w="486" w:type="pct"/>
            <w:noWrap/>
          </w:tcPr>
          <w:p w:rsidR="00EF4DB8" w:rsidRPr="00036A98" w:rsidP="007B2924">
            <w:pPr>
              <w:jc w:val="center"/>
              <w:rPr>
                <w:noProof w:val="0"/>
                <w:sz w:val="20"/>
                <w:szCs w:val="20"/>
              </w:rPr>
            </w:pPr>
            <w:r w:rsidRPr="00036A98">
              <w:rPr>
                <w:noProof w:val="0"/>
                <w:sz w:val="20"/>
              </w:rPr>
              <w:t>2013</w:t>
            </w:r>
          </w:p>
        </w:tc>
        <w:tc>
          <w:tcPr>
            <w:tcW w:w="763" w:type="pct"/>
          </w:tcPr>
          <w:p w:rsidR="00EF4DB8" w:rsidRPr="00036A98" w:rsidP="007B2924">
            <w:pPr>
              <w:jc w:val="center"/>
              <w:rPr>
                <w:noProof w:val="0"/>
                <w:sz w:val="20"/>
                <w:szCs w:val="20"/>
              </w:rPr>
            </w:pPr>
            <w:r w:rsidRPr="00036A98">
              <w:rPr>
                <w:noProof w:val="0"/>
                <w:sz w:val="20"/>
              </w:rPr>
              <w:t>32</w:t>
            </w:r>
          </w:p>
        </w:tc>
        <w:tc>
          <w:tcPr>
            <w:tcW w:w="1276" w:type="pct"/>
            <w:noWrap/>
          </w:tcPr>
          <w:p w:rsidR="00EF4DB8" w:rsidRPr="00036A98" w:rsidP="007B2924">
            <w:pPr>
              <w:jc w:val="center"/>
              <w:rPr>
                <w:noProof w:val="0"/>
                <w:sz w:val="20"/>
                <w:szCs w:val="20"/>
              </w:rPr>
            </w:pPr>
            <w:r w:rsidRPr="00036A98">
              <w:rPr>
                <w:noProof w:val="0"/>
                <w:sz w:val="20"/>
              </w:rPr>
              <w:t>11</w:t>
            </w:r>
          </w:p>
        </w:tc>
        <w:tc>
          <w:tcPr>
            <w:tcW w:w="1113" w:type="pct"/>
            <w:noWrap/>
          </w:tcPr>
          <w:p w:rsidR="00EF4DB8" w:rsidRPr="00036A98" w:rsidP="007B2924">
            <w:pPr>
              <w:jc w:val="center"/>
              <w:rPr>
                <w:noProof w:val="0"/>
                <w:sz w:val="20"/>
                <w:szCs w:val="20"/>
              </w:rPr>
            </w:pPr>
            <w:r w:rsidRPr="00036A98">
              <w:rPr>
                <w:noProof w:val="0"/>
                <w:sz w:val="20"/>
              </w:rPr>
              <w:t>3</w:t>
            </w:r>
          </w:p>
        </w:tc>
        <w:tc>
          <w:tcPr>
            <w:tcW w:w="486" w:type="pct"/>
            <w:noWrap/>
          </w:tcPr>
          <w:p w:rsidR="00EF4DB8" w:rsidRPr="00036A98" w:rsidP="007B2924">
            <w:pPr>
              <w:jc w:val="center"/>
              <w:rPr>
                <w:noProof w:val="0"/>
                <w:sz w:val="20"/>
                <w:szCs w:val="20"/>
              </w:rPr>
            </w:pPr>
            <w:r w:rsidRPr="00036A98">
              <w:rPr>
                <w:noProof w:val="0"/>
                <w:sz w:val="20"/>
              </w:rPr>
              <w:t>12</w:t>
            </w:r>
          </w:p>
        </w:tc>
        <w:tc>
          <w:tcPr>
            <w:tcW w:w="876" w:type="pct"/>
            <w:noWrap/>
          </w:tcPr>
          <w:p w:rsidR="00EF4DB8" w:rsidRPr="00036A98" w:rsidP="007B2924">
            <w:pPr>
              <w:jc w:val="center"/>
              <w:rPr>
                <w:noProof w:val="0"/>
                <w:sz w:val="20"/>
                <w:szCs w:val="20"/>
              </w:rPr>
            </w:pPr>
            <w:r w:rsidRPr="00036A98">
              <w:rPr>
                <w:noProof w:val="0"/>
                <w:sz w:val="20"/>
              </w:rPr>
              <w:t>15</w:t>
            </w:r>
          </w:p>
        </w:tc>
      </w:tr>
      <w:tr w:rsidTr="004E289D">
        <w:tblPrEx>
          <w:tblW w:w="5000" w:type="pct"/>
          <w:tblLook w:val="04A0"/>
        </w:tblPrEx>
        <w:trPr>
          <w:trHeight w:val="330"/>
        </w:trPr>
        <w:tc>
          <w:tcPr>
            <w:tcW w:w="486" w:type="pct"/>
            <w:noWrap/>
          </w:tcPr>
          <w:p w:rsidR="00EF4DB8" w:rsidRPr="00036A98" w:rsidP="007B2924">
            <w:pPr>
              <w:jc w:val="center"/>
              <w:rPr>
                <w:noProof w:val="0"/>
                <w:sz w:val="20"/>
                <w:szCs w:val="20"/>
              </w:rPr>
            </w:pPr>
            <w:r w:rsidRPr="00036A98">
              <w:rPr>
                <w:noProof w:val="0"/>
                <w:sz w:val="20"/>
              </w:rPr>
              <w:t>2014</w:t>
            </w:r>
          </w:p>
        </w:tc>
        <w:tc>
          <w:tcPr>
            <w:tcW w:w="763" w:type="pct"/>
          </w:tcPr>
          <w:p w:rsidR="00EF4DB8" w:rsidRPr="00036A98" w:rsidP="007B2924">
            <w:pPr>
              <w:jc w:val="center"/>
              <w:rPr>
                <w:noProof w:val="0"/>
                <w:sz w:val="20"/>
                <w:szCs w:val="20"/>
              </w:rPr>
            </w:pPr>
            <w:r w:rsidRPr="00036A98">
              <w:rPr>
                <w:noProof w:val="0"/>
                <w:sz w:val="20"/>
              </w:rPr>
              <w:t>21</w:t>
            </w:r>
          </w:p>
        </w:tc>
        <w:tc>
          <w:tcPr>
            <w:tcW w:w="1276" w:type="pct"/>
            <w:noWrap/>
          </w:tcPr>
          <w:p w:rsidR="00EF4DB8" w:rsidRPr="00036A98" w:rsidP="007B2924">
            <w:pPr>
              <w:jc w:val="center"/>
              <w:rPr>
                <w:noProof w:val="0"/>
                <w:sz w:val="20"/>
                <w:szCs w:val="20"/>
              </w:rPr>
            </w:pPr>
            <w:r w:rsidRPr="00036A98">
              <w:rPr>
                <w:noProof w:val="0"/>
                <w:sz w:val="20"/>
              </w:rPr>
              <w:t>11</w:t>
            </w:r>
          </w:p>
        </w:tc>
        <w:tc>
          <w:tcPr>
            <w:tcW w:w="1113" w:type="pct"/>
            <w:noWrap/>
          </w:tcPr>
          <w:p w:rsidR="00EF4DB8" w:rsidRPr="00036A98" w:rsidP="007B2924">
            <w:pPr>
              <w:jc w:val="center"/>
              <w:rPr>
                <w:noProof w:val="0"/>
                <w:sz w:val="20"/>
                <w:szCs w:val="20"/>
              </w:rPr>
            </w:pPr>
            <w:r w:rsidRPr="00036A98">
              <w:rPr>
                <w:noProof w:val="0"/>
                <w:sz w:val="20"/>
              </w:rPr>
              <w:t>6</w:t>
            </w:r>
          </w:p>
        </w:tc>
        <w:tc>
          <w:tcPr>
            <w:tcW w:w="486" w:type="pct"/>
            <w:noWrap/>
          </w:tcPr>
          <w:p w:rsidR="00EF4DB8" w:rsidRPr="00036A98" w:rsidP="007B2924">
            <w:pPr>
              <w:jc w:val="center"/>
              <w:rPr>
                <w:noProof w:val="0"/>
                <w:sz w:val="20"/>
                <w:szCs w:val="20"/>
              </w:rPr>
            </w:pPr>
            <w:r w:rsidRPr="00036A98">
              <w:rPr>
                <w:noProof w:val="0"/>
                <w:sz w:val="20"/>
              </w:rPr>
              <w:t>16</w:t>
            </w:r>
          </w:p>
        </w:tc>
        <w:tc>
          <w:tcPr>
            <w:tcW w:w="876" w:type="pct"/>
            <w:noWrap/>
          </w:tcPr>
          <w:p w:rsidR="00EF4DB8" w:rsidRPr="00036A98" w:rsidP="007B2924">
            <w:pPr>
              <w:jc w:val="center"/>
              <w:rPr>
                <w:noProof w:val="0"/>
                <w:sz w:val="20"/>
                <w:szCs w:val="20"/>
              </w:rPr>
            </w:pPr>
            <w:r w:rsidRPr="00036A98">
              <w:rPr>
                <w:noProof w:val="0"/>
                <w:sz w:val="20"/>
              </w:rPr>
              <w:t>22</w:t>
            </w:r>
          </w:p>
        </w:tc>
      </w:tr>
      <w:tr w:rsidTr="004E289D">
        <w:tblPrEx>
          <w:tblW w:w="5000" w:type="pct"/>
          <w:tblLook w:val="04A0"/>
        </w:tblPrEx>
        <w:trPr>
          <w:trHeight w:val="330"/>
        </w:trPr>
        <w:tc>
          <w:tcPr>
            <w:tcW w:w="486" w:type="pct"/>
            <w:noWrap/>
          </w:tcPr>
          <w:p w:rsidR="00EF4DB8" w:rsidRPr="00036A98" w:rsidP="007B2924">
            <w:pPr>
              <w:jc w:val="center"/>
              <w:rPr>
                <w:noProof w:val="0"/>
                <w:sz w:val="20"/>
                <w:szCs w:val="20"/>
              </w:rPr>
            </w:pPr>
            <w:r w:rsidRPr="00036A98">
              <w:rPr>
                <w:noProof w:val="0"/>
                <w:sz w:val="20"/>
              </w:rPr>
              <w:t>2015</w:t>
            </w:r>
          </w:p>
        </w:tc>
        <w:tc>
          <w:tcPr>
            <w:tcW w:w="763" w:type="pct"/>
          </w:tcPr>
          <w:p w:rsidR="00EF4DB8" w:rsidRPr="00036A98" w:rsidP="007B2924">
            <w:pPr>
              <w:jc w:val="center"/>
              <w:rPr>
                <w:noProof w:val="0"/>
                <w:sz w:val="20"/>
                <w:szCs w:val="20"/>
              </w:rPr>
            </w:pPr>
            <w:r w:rsidRPr="00036A98">
              <w:rPr>
                <w:noProof w:val="0"/>
                <w:sz w:val="20"/>
              </w:rPr>
              <w:t>20</w:t>
            </w:r>
          </w:p>
        </w:tc>
        <w:tc>
          <w:tcPr>
            <w:tcW w:w="1276" w:type="pct"/>
            <w:noWrap/>
          </w:tcPr>
          <w:p w:rsidR="00EF4DB8" w:rsidRPr="00036A98" w:rsidP="007B2924">
            <w:pPr>
              <w:jc w:val="center"/>
              <w:rPr>
                <w:noProof w:val="0"/>
                <w:sz w:val="20"/>
                <w:szCs w:val="20"/>
              </w:rPr>
            </w:pPr>
            <w:r w:rsidRPr="00036A98">
              <w:rPr>
                <w:noProof w:val="0"/>
                <w:sz w:val="20"/>
              </w:rPr>
              <w:t>6</w:t>
            </w:r>
          </w:p>
        </w:tc>
        <w:tc>
          <w:tcPr>
            <w:tcW w:w="1113" w:type="pct"/>
            <w:noWrap/>
          </w:tcPr>
          <w:p w:rsidR="00EF4DB8" w:rsidRPr="00036A98" w:rsidP="007B2924">
            <w:pPr>
              <w:jc w:val="center"/>
              <w:rPr>
                <w:noProof w:val="0"/>
                <w:sz w:val="20"/>
                <w:szCs w:val="20"/>
              </w:rPr>
            </w:pPr>
            <w:r w:rsidRPr="00036A98">
              <w:rPr>
                <w:noProof w:val="0"/>
                <w:sz w:val="20"/>
              </w:rPr>
              <w:t>2</w:t>
            </w:r>
          </w:p>
        </w:tc>
        <w:tc>
          <w:tcPr>
            <w:tcW w:w="486" w:type="pct"/>
            <w:noWrap/>
          </w:tcPr>
          <w:p w:rsidR="00EF4DB8" w:rsidRPr="00036A98" w:rsidP="007B2924">
            <w:pPr>
              <w:jc w:val="center"/>
              <w:rPr>
                <w:noProof w:val="0"/>
                <w:sz w:val="20"/>
                <w:szCs w:val="20"/>
              </w:rPr>
            </w:pPr>
            <w:r w:rsidRPr="00036A98">
              <w:rPr>
                <w:noProof w:val="0"/>
                <w:sz w:val="20"/>
              </w:rPr>
              <w:t>7</w:t>
            </w:r>
          </w:p>
        </w:tc>
        <w:tc>
          <w:tcPr>
            <w:tcW w:w="876" w:type="pct"/>
            <w:noWrap/>
          </w:tcPr>
          <w:p w:rsidR="00EF4DB8" w:rsidRPr="00036A98" w:rsidP="007B2924">
            <w:pPr>
              <w:jc w:val="center"/>
              <w:rPr>
                <w:noProof w:val="0"/>
                <w:sz w:val="20"/>
                <w:szCs w:val="20"/>
              </w:rPr>
            </w:pPr>
            <w:r w:rsidRPr="00036A98">
              <w:rPr>
                <w:noProof w:val="0"/>
                <w:sz w:val="20"/>
              </w:rPr>
              <w:t>9</w:t>
            </w:r>
          </w:p>
        </w:tc>
      </w:tr>
      <w:tr w:rsidTr="004E289D">
        <w:tblPrEx>
          <w:tblW w:w="5000" w:type="pct"/>
          <w:tblLook w:val="04A0"/>
        </w:tblPrEx>
        <w:trPr>
          <w:trHeight w:val="330"/>
        </w:trPr>
        <w:tc>
          <w:tcPr>
            <w:tcW w:w="486" w:type="pct"/>
            <w:noWrap/>
          </w:tcPr>
          <w:p w:rsidR="00EF4DB8" w:rsidRPr="00036A98" w:rsidP="007B2924">
            <w:pPr>
              <w:jc w:val="center"/>
              <w:rPr>
                <w:noProof w:val="0"/>
                <w:sz w:val="20"/>
                <w:szCs w:val="20"/>
              </w:rPr>
            </w:pPr>
            <w:r w:rsidRPr="00036A98">
              <w:rPr>
                <w:noProof w:val="0"/>
                <w:sz w:val="20"/>
              </w:rPr>
              <w:t>2016</w:t>
            </w:r>
          </w:p>
        </w:tc>
        <w:tc>
          <w:tcPr>
            <w:tcW w:w="763" w:type="pct"/>
          </w:tcPr>
          <w:p w:rsidR="00EF4DB8" w:rsidRPr="00036A98" w:rsidP="007B2924">
            <w:pPr>
              <w:jc w:val="center"/>
              <w:rPr>
                <w:noProof w:val="0"/>
                <w:sz w:val="20"/>
                <w:szCs w:val="20"/>
              </w:rPr>
            </w:pPr>
            <w:r w:rsidRPr="00036A98">
              <w:rPr>
                <w:noProof w:val="0"/>
                <w:sz w:val="20"/>
              </w:rPr>
              <w:t>18</w:t>
            </w:r>
          </w:p>
        </w:tc>
        <w:tc>
          <w:tcPr>
            <w:tcW w:w="1276" w:type="pct"/>
            <w:noWrap/>
          </w:tcPr>
          <w:p w:rsidR="00EF4DB8" w:rsidRPr="00036A98" w:rsidP="007B2924">
            <w:pPr>
              <w:jc w:val="center"/>
              <w:rPr>
                <w:noProof w:val="0"/>
                <w:sz w:val="20"/>
                <w:szCs w:val="20"/>
              </w:rPr>
            </w:pPr>
            <w:r w:rsidRPr="00036A98">
              <w:rPr>
                <w:noProof w:val="0"/>
                <w:sz w:val="20"/>
              </w:rPr>
              <w:t>5</w:t>
            </w:r>
          </w:p>
        </w:tc>
        <w:tc>
          <w:tcPr>
            <w:tcW w:w="1113" w:type="pct"/>
            <w:noWrap/>
          </w:tcPr>
          <w:p w:rsidR="00EF4DB8" w:rsidRPr="00036A98" w:rsidP="007B2924">
            <w:pPr>
              <w:jc w:val="center"/>
              <w:rPr>
                <w:noProof w:val="0"/>
                <w:sz w:val="20"/>
                <w:szCs w:val="20"/>
              </w:rPr>
            </w:pPr>
            <w:r w:rsidRPr="00036A98">
              <w:rPr>
                <w:noProof w:val="0"/>
                <w:sz w:val="20"/>
              </w:rPr>
              <w:t>5</w:t>
            </w:r>
          </w:p>
        </w:tc>
        <w:tc>
          <w:tcPr>
            <w:tcW w:w="486" w:type="pct"/>
            <w:noWrap/>
          </w:tcPr>
          <w:p w:rsidR="00EF4DB8" w:rsidRPr="00036A98" w:rsidP="007B2924">
            <w:pPr>
              <w:jc w:val="center"/>
              <w:rPr>
                <w:noProof w:val="0"/>
                <w:sz w:val="20"/>
                <w:szCs w:val="20"/>
              </w:rPr>
            </w:pPr>
            <w:r w:rsidRPr="00036A98">
              <w:rPr>
                <w:noProof w:val="0"/>
                <w:sz w:val="20"/>
              </w:rPr>
              <w:t>5</w:t>
            </w:r>
          </w:p>
        </w:tc>
        <w:tc>
          <w:tcPr>
            <w:tcW w:w="876" w:type="pct"/>
            <w:noWrap/>
          </w:tcPr>
          <w:p w:rsidR="00EF4DB8" w:rsidRPr="00036A98" w:rsidP="007B2924">
            <w:pPr>
              <w:jc w:val="center"/>
              <w:rPr>
                <w:noProof w:val="0"/>
                <w:sz w:val="20"/>
                <w:szCs w:val="20"/>
              </w:rPr>
            </w:pPr>
            <w:r w:rsidRPr="00036A98">
              <w:rPr>
                <w:noProof w:val="0"/>
                <w:sz w:val="20"/>
              </w:rPr>
              <w:t>10</w:t>
            </w:r>
          </w:p>
        </w:tc>
      </w:tr>
      <w:tr w:rsidTr="004E289D">
        <w:tblPrEx>
          <w:tblW w:w="5000" w:type="pct"/>
          <w:tblLook w:val="04A0"/>
        </w:tblPrEx>
        <w:trPr>
          <w:trHeight w:val="330"/>
        </w:trPr>
        <w:tc>
          <w:tcPr>
            <w:tcW w:w="486" w:type="pct"/>
            <w:noWrap/>
          </w:tcPr>
          <w:p w:rsidR="00C852CE" w:rsidRPr="00036A98" w:rsidP="007B2924">
            <w:pPr>
              <w:jc w:val="center"/>
              <w:rPr>
                <w:noProof w:val="0"/>
                <w:sz w:val="20"/>
                <w:szCs w:val="20"/>
              </w:rPr>
            </w:pPr>
            <w:r w:rsidRPr="00036A98">
              <w:rPr>
                <w:noProof w:val="0"/>
                <w:sz w:val="20"/>
              </w:rPr>
              <w:t>2017</w:t>
            </w:r>
          </w:p>
        </w:tc>
        <w:tc>
          <w:tcPr>
            <w:tcW w:w="763" w:type="pct"/>
          </w:tcPr>
          <w:p w:rsidR="00C852CE" w:rsidRPr="00036A98" w:rsidP="007B2924">
            <w:pPr>
              <w:jc w:val="center"/>
              <w:rPr>
                <w:noProof w:val="0"/>
                <w:sz w:val="20"/>
                <w:szCs w:val="20"/>
              </w:rPr>
            </w:pPr>
            <w:r w:rsidRPr="00036A98">
              <w:rPr>
                <w:noProof w:val="0"/>
                <w:sz w:val="20"/>
              </w:rPr>
              <w:t>23</w:t>
            </w:r>
          </w:p>
        </w:tc>
        <w:tc>
          <w:tcPr>
            <w:tcW w:w="1276" w:type="pct"/>
            <w:noWrap/>
          </w:tcPr>
          <w:p w:rsidR="00C852CE" w:rsidRPr="00036A98" w:rsidP="007B2924">
            <w:pPr>
              <w:jc w:val="center"/>
              <w:rPr>
                <w:noProof w:val="0"/>
                <w:sz w:val="20"/>
                <w:szCs w:val="20"/>
              </w:rPr>
            </w:pPr>
            <w:r w:rsidRPr="00036A98">
              <w:rPr>
                <w:noProof w:val="0"/>
                <w:sz w:val="20"/>
              </w:rPr>
              <w:t>11</w:t>
            </w:r>
          </w:p>
        </w:tc>
        <w:tc>
          <w:tcPr>
            <w:tcW w:w="1113" w:type="pct"/>
            <w:noWrap/>
          </w:tcPr>
          <w:p w:rsidR="00C852CE" w:rsidRPr="00036A98" w:rsidP="007B2924">
            <w:pPr>
              <w:jc w:val="center"/>
              <w:rPr>
                <w:noProof w:val="0"/>
                <w:sz w:val="20"/>
                <w:szCs w:val="20"/>
              </w:rPr>
            </w:pPr>
            <w:r w:rsidRPr="00036A98">
              <w:rPr>
                <w:noProof w:val="0"/>
                <w:sz w:val="20"/>
              </w:rPr>
              <w:t>5</w:t>
            </w:r>
          </w:p>
        </w:tc>
        <w:tc>
          <w:tcPr>
            <w:tcW w:w="486" w:type="pct"/>
            <w:noWrap/>
          </w:tcPr>
          <w:p w:rsidR="00C852CE" w:rsidRPr="00036A98" w:rsidP="007B2924">
            <w:pPr>
              <w:jc w:val="center"/>
              <w:rPr>
                <w:noProof w:val="0"/>
                <w:sz w:val="20"/>
                <w:szCs w:val="20"/>
              </w:rPr>
            </w:pPr>
            <w:r w:rsidRPr="00036A98">
              <w:rPr>
                <w:noProof w:val="0"/>
                <w:sz w:val="20"/>
              </w:rPr>
              <w:t>9</w:t>
            </w:r>
          </w:p>
        </w:tc>
        <w:tc>
          <w:tcPr>
            <w:tcW w:w="876" w:type="pct"/>
            <w:noWrap/>
          </w:tcPr>
          <w:p w:rsidR="00C852CE" w:rsidRPr="00036A98" w:rsidP="007B2924">
            <w:pPr>
              <w:jc w:val="center"/>
              <w:rPr>
                <w:noProof w:val="0"/>
                <w:sz w:val="20"/>
                <w:szCs w:val="20"/>
              </w:rPr>
            </w:pPr>
            <w:r w:rsidRPr="00036A98">
              <w:rPr>
                <w:noProof w:val="0"/>
                <w:sz w:val="20"/>
              </w:rPr>
              <w:t>14</w:t>
            </w:r>
          </w:p>
        </w:tc>
      </w:tr>
    </w:tbl>
    <w:p w:rsidR="00F40AC8" w:rsidRPr="00036A98" w:rsidP="00F40AC8">
      <w:pPr>
        <w:spacing w:after="60"/>
        <w:ind w:firstLine="709"/>
        <w:jc w:val="both"/>
        <w:rPr>
          <w:noProof w:val="0"/>
        </w:rPr>
      </w:pPr>
      <w:r w:rsidRPr="00036A98">
        <w:t>Analyses show that the main reason for the accidents is the violation of the safety rules by drivers of motor vehicles and disregard of the signals prohibiting passage through the level crossing due to an approaching train.</w:t>
      </w:r>
    </w:p>
    <w:p w:rsidR="00AA3FB8" w:rsidRPr="00036A98" w:rsidP="007B2924">
      <w:pPr>
        <w:spacing w:before="120"/>
        <w:ind w:firstLine="709"/>
        <w:jc w:val="both"/>
        <w:rPr>
          <w:rFonts w:eastAsia="Calibri"/>
          <w:noProof w:val="0"/>
        </w:rPr>
      </w:pPr>
      <w:r w:rsidRPr="00036A98">
        <w:t>The main objective of the implementation of NRIC SE’s investment programme to equip the level crossings with all necessary state-of-the-art hardware is to reduce the fatalities and serious injuries at the railway level crossings. The financial strategy, implemented by the company in this respect, is based on the funds supplied both by the national budget of the Republic of Bulgaria and by the European funds—OPT 2007</w:t>
      </w:r>
      <w:r w:rsidRPr="00036A98">
        <w:noBreakHyphen/>
        <w:t>2013 and OPTTI 2014–2020.</w:t>
      </w:r>
    </w:p>
    <w:p w:rsidR="003D58FA" w:rsidRPr="00036A98" w:rsidP="007B2924">
      <w:pPr>
        <w:ind w:firstLine="709"/>
        <w:jc w:val="both"/>
        <w:rPr>
          <w:rFonts w:eastAsia="Calibri"/>
          <w:noProof w:val="0"/>
        </w:rPr>
      </w:pPr>
      <w:r w:rsidRPr="00036A98">
        <w:t xml:space="preserve">The NRIC SE makes efforts to reduce the incidents at the railway level crossings in the country by intensively replacing the level-crossing devices and building elastic level-crossing pavements ensuring smooth and comfortable passage of motor vehicles in the area of the level crossings. </w:t>
      </w:r>
    </w:p>
    <w:p w:rsidR="00AA3FB8" w:rsidRPr="00036A98" w:rsidP="007B2924">
      <w:pPr>
        <w:ind w:firstLine="709"/>
        <w:jc w:val="both"/>
        <w:rPr>
          <w:rFonts w:eastAsia="Calibri"/>
          <w:noProof w:val="0"/>
        </w:rPr>
      </w:pPr>
      <w:r w:rsidRPr="00036A98">
        <w:t>In 2017, invested for rehabilitation and ongoing maintenance of railway crossings and facilities were: BGN 3 373 306 or EUR 1 724 946.</w:t>
      </w:r>
    </w:p>
    <w:p w:rsidR="00F40AC8" w:rsidRPr="00036A98" w:rsidP="00F40AC8">
      <w:pPr>
        <w:spacing w:after="60"/>
        <w:ind w:firstLine="709"/>
        <w:jc w:val="both"/>
        <w:rPr>
          <w:noProof w:val="0"/>
        </w:rPr>
      </w:pPr>
      <w:r w:rsidRPr="00036A98">
        <w:t xml:space="preserve">Over the last 4 years, the NRIC SE made investments in state-of-the-art automatic level-crossing devices in the amount of BGN 16 million (EUR 8,181 million). </w:t>
      </w:r>
    </w:p>
    <w:p w:rsidR="00F40AC8" w:rsidRPr="00036A98" w:rsidP="00F40AC8">
      <w:pPr>
        <w:pStyle w:val="NormalWeb"/>
        <w:shd w:val="clear" w:color="auto" w:fill="FFFFFF"/>
        <w:spacing w:before="0" w:beforeAutospacing="0" w:after="0" w:afterAutospacing="0"/>
        <w:ind w:firstLine="709"/>
        <w:jc w:val="both"/>
        <w:rPr>
          <w:color w:val="000000"/>
        </w:rPr>
      </w:pPr>
      <w:r w:rsidRPr="00036A98">
        <w:rPr>
          <w:color w:val="000000"/>
        </w:rPr>
        <w:t xml:space="preserve">The new level-crossing devices are automated and, unlike the manual barriers (raised and lowered by a crossing guard), they are triggered automatically by the passing train.  All new level-crossing devices are equipped with an additional third slowly flashing white light indicating that the device is not faulty and it is safe to traverse. Cameras </w:t>
      </w:r>
      <w:r w:rsidRPr="00036A98">
        <w:rPr>
          <w:color w:val="000000"/>
        </w:rPr>
        <w:t>are additionally installed</w:t>
      </w:r>
      <w:r w:rsidRPr="00036A98">
        <w:rPr>
          <w:color w:val="000000"/>
        </w:rPr>
        <w:t xml:space="preserve"> for control and prevention purposes.</w:t>
      </w:r>
    </w:p>
    <w:p w:rsidR="00F40AC8" w:rsidRPr="00036A98" w:rsidP="00F40AC8">
      <w:pPr>
        <w:pStyle w:val="NormalWeb"/>
        <w:shd w:val="clear" w:color="auto" w:fill="FFFFFF"/>
        <w:spacing w:before="0" w:beforeAutospacing="0" w:after="0" w:afterAutospacing="0"/>
        <w:ind w:firstLine="709"/>
        <w:jc w:val="both"/>
        <w:rPr>
          <w:color w:val="000000"/>
        </w:rPr>
      </w:pPr>
      <w:r w:rsidRPr="00036A98">
        <w:rPr>
          <w:color w:val="000000"/>
        </w:rPr>
        <w:t>For the 2018–2020 period, another BGN 8 000 000 are allocated to equip 22 level crossings with new automatic level-crossing devices.</w:t>
      </w:r>
    </w:p>
    <w:p w:rsidR="00F40AC8" w:rsidRPr="00036A98" w:rsidP="00F40AC8">
      <w:pPr>
        <w:pStyle w:val="NormalWeb"/>
        <w:shd w:val="clear" w:color="auto" w:fill="FFFFFF"/>
        <w:spacing w:before="0" w:beforeAutospacing="0" w:after="0" w:afterAutospacing="0"/>
        <w:ind w:firstLine="709"/>
        <w:jc w:val="both"/>
        <w:rPr>
          <w:color w:val="000000"/>
        </w:rPr>
      </w:pPr>
      <w:r w:rsidRPr="00036A98">
        <w:rPr>
          <w:color w:val="000000"/>
        </w:rPr>
        <w:t xml:space="preserve">For the 10th edition of the ILCAD, at the level crossing near the </w:t>
      </w:r>
      <w:r w:rsidRPr="00036A98">
        <w:rPr>
          <w:color w:val="000000"/>
        </w:rPr>
        <w:t>Beli</w:t>
      </w:r>
      <w:r w:rsidRPr="00036A98">
        <w:rPr>
          <w:color w:val="000000"/>
        </w:rPr>
        <w:t xml:space="preserve"> </w:t>
      </w:r>
      <w:r w:rsidRPr="00036A98">
        <w:rPr>
          <w:color w:val="000000"/>
        </w:rPr>
        <w:t>izvor</w:t>
      </w:r>
      <w:r w:rsidRPr="00036A98">
        <w:rPr>
          <w:color w:val="000000"/>
        </w:rPr>
        <w:t xml:space="preserve"> village, Vratsa, a car wrecked in a level-crossing violation accident </w:t>
      </w:r>
      <w:r w:rsidRPr="00036A98">
        <w:rPr>
          <w:color w:val="000000"/>
        </w:rPr>
        <w:t>was put</w:t>
      </w:r>
      <w:r w:rsidRPr="00036A98">
        <w:rPr>
          <w:color w:val="000000"/>
        </w:rPr>
        <w:t xml:space="preserve"> on display. The intention was to make the drivers of motor vehicles see what could happen when the rules </w:t>
      </w:r>
      <w:r w:rsidRPr="00036A98">
        <w:rPr>
          <w:color w:val="000000"/>
        </w:rPr>
        <w:t>are violated</w:t>
      </w:r>
      <w:r w:rsidRPr="00036A98">
        <w:rPr>
          <w:color w:val="000000"/>
        </w:rPr>
        <w:t xml:space="preserve">. The level crossing is located at the Vratsa ring road, towards Vidin, where the truck traffic is extremely heavy. </w:t>
      </w:r>
    </w:p>
    <w:p w:rsidR="00F40AC8" w:rsidRPr="00036A98" w:rsidP="00F40AC8">
      <w:pPr>
        <w:pStyle w:val="NormalWeb"/>
        <w:shd w:val="clear" w:color="auto" w:fill="FFFFFF"/>
        <w:spacing w:before="0" w:beforeAutospacing="0" w:after="0" w:afterAutospacing="0"/>
        <w:ind w:firstLine="709"/>
        <w:jc w:val="both"/>
        <w:rPr>
          <w:color w:val="000000"/>
        </w:rPr>
      </w:pPr>
      <w:r w:rsidRPr="00036A98">
        <w:rPr>
          <w:color w:val="000000"/>
        </w:rPr>
        <w:t xml:space="preserve">In 2017, the NRIC SE registered 273 cases of broken barriers caused by vehicle collisions or vandalism, of which 73 occurred at this particular level crossing. Since the beginning of 2018, there were 23 cases of intentional barrier beam damage near the </w:t>
      </w:r>
      <w:r w:rsidRPr="00036A98">
        <w:rPr>
          <w:color w:val="000000"/>
        </w:rPr>
        <w:t>Beli</w:t>
      </w:r>
      <w:r w:rsidRPr="00036A98">
        <w:rPr>
          <w:color w:val="000000"/>
        </w:rPr>
        <w:t xml:space="preserve"> </w:t>
      </w:r>
      <w:r w:rsidRPr="00036A98">
        <w:rPr>
          <w:color w:val="000000"/>
        </w:rPr>
        <w:t>izvor</w:t>
      </w:r>
      <w:r w:rsidRPr="00036A98">
        <w:rPr>
          <w:color w:val="000000"/>
        </w:rPr>
        <w:t xml:space="preserve"> village.</w:t>
      </w:r>
    </w:p>
    <w:p w:rsidR="00F40AC8" w:rsidRPr="00036A98" w:rsidP="00F40AC8">
      <w:pPr>
        <w:pStyle w:val="NormalWeb"/>
        <w:shd w:val="clear" w:color="auto" w:fill="FFFFFF"/>
        <w:spacing w:before="0" w:beforeAutospacing="0" w:after="0" w:afterAutospacing="0"/>
        <w:ind w:firstLine="709"/>
        <w:jc w:val="both"/>
        <w:rPr>
          <w:color w:val="000000"/>
        </w:rPr>
      </w:pPr>
      <w:r w:rsidRPr="00036A98">
        <w:rPr>
          <w:color w:val="000000"/>
        </w:rPr>
        <w:t xml:space="preserve">Despite the fact that our railway infrastructure has one of the highest percentages of </w:t>
      </w:r>
      <w:r w:rsidRPr="00036A98">
        <w:rPr>
          <w:color w:val="000000"/>
        </w:rPr>
        <w:t>level-crossing</w:t>
      </w:r>
      <w:r w:rsidRPr="00036A98">
        <w:rPr>
          <w:color w:val="000000"/>
        </w:rPr>
        <w:t xml:space="preserve"> signalling automation and hardware, the NRIC SE’s statistics show that, only in the past 3 years (2015, 2016, 2017), 25 people were injured and 11 people were killed in level-crossing incidents. By 1 June 2018, there were 13 level-crossing incidents, with </w:t>
      </w:r>
      <w:r w:rsidRPr="00036A98">
        <w:rPr>
          <w:color w:val="000000"/>
        </w:rPr>
        <w:t>6</w:t>
      </w:r>
      <w:r w:rsidRPr="00036A98">
        <w:rPr>
          <w:color w:val="000000"/>
        </w:rPr>
        <w:t xml:space="preserve"> people injured and 2 people killed.</w:t>
      </w:r>
    </w:p>
    <w:p w:rsidR="008F239D" w:rsidRPr="00036A98" w:rsidP="002F5A3F">
      <w:pPr>
        <w:keepNext/>
        <w:spacing w:before="120"/>
        <w:ind w:firstLine="709"/>
        <w:jc w:val="both"/>
        <w:rPr>
          <w:rFonts w:eastAsia="Calibri"/>
          <w:noProof w:val="0"/>
        </w:rPr>
      </w:pPr>
      <w:r w:rsidRPr="00036A98">
        <w:rPr>
          <w:rFonts w:eastAsia="Calibri"/>
          <w:lang w:val="fr-FR" w:eastAsia="fr-FR" w:bidi="ar-SA"/>
        </w:rPr>
        <w:drawing>
          <wp:anchor distT="0" distB="0" distL="114300" distR="114300" simplePos="0" relativeHeight="251662336" behindDoc="1" locked="0" layoutInCell="1" allowOverlap="1">
            <wp:simplePos x="0" y="0"/>
            <wp:positionH relativeFrom="column">
              <wp:posOffset>4889500</wp:posOffset>
            </wp:positionH>
            <wp:positionV relativeFrom="paragraph">
              <wp:posOffset>121285</wp:posOffset>
            </wp:positionV>
            <wp:extent cx="1325245" cy="735330"/>
            <wp:effectExtent l="0" t="0" r="122555" b="121920"/>
            <wp:wrapTight wrapText="bothSides">
              <wp:wrapPolygon>
                <wp:start x="0" y="0"/>
                <wp:lineTo x="0" y="22383"/>
                <wp:lineTo x="621" y="24622"/>
                <wp:lineTo x="22977" y="24622"/>
                <wp:lineTo x="23287" y="24622"/>
                <wp:lineTo x="23287" y="1119"/>
                <wp:lineTo x="22045" y="0"/>
                <wp:lineTo x="0"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337006" name="Picture 3"/>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5245" cy="735330"/>
                    </a:xfrm>
                    <a:prstGeom prst="rect">
                      <a:avLst/>
                    </a:prstGeom>
                    <a:noFill/>
                    <a:effectLst>
                      <a:outerShdw blurRad="50800" dist="88900" dir="2700000" sx="100000" sy="100000" kx="0" ky="0" algn="tl" rotWithShape="0">
                        <a:prstClr val="black">
                          <a:alpha val="40000"/>
                        </a:prstClr>
                      </a:outerShdw>
                    </a:effectLst>
                  </pic:spPr>
                </pic:pic>
              </a:graphicData>
            </a:graphic>
          </wp:anchor>
        </w:drawing>
      </w:r>
      <w:r w:rsidRPr="00036A98">
        <w:rPr>
          <w:b/>
          <w:noProof w:val="0"/>
        </w:rPr>
        <w:t>Educational safety campaign among children</w:t>
      </w:r>
    </w:p>
    <w:p w:rsidR="008311AE" w:rsidRPr="00036A98" w:rsidP="007B2924">
      <w:pPr>
        <w:ind w:firstLine="709"/>
        <w:jc w:val="both"/>
        <w:rPr>
          <w:rFonts w:eastAsia="Calibri"/>
          <w:noProof w:val="0"/>
        </w:rPr>
      </w:pPr>
      <w:r w:rsidRPr="00036A98">
        <w:rPr>
          <w:rFonts w:eastAsia="Calibri"/>
          <w:lang w:val="fr-FR" w:eastAsia="fr-FR" w:bidi="ar-SA"/>
        </w:rPr>
        <w:drawing>
          <wp:anchor distT="0" distB="0" distL="114300" distR="114300" simplePos="0" relativeHeight="251660288" behindDoc="0" locked="0" layoutInCell="1" allowOverlap="1">
            <wp:simplePos x="0" y="0"/>
            <wp:positionH relativeFrom="column">
              <wp:posOffset>3859530</wp:posOffset>
            </wp:positionH>
            <wp:positionV relativeFrom="paragraph">
              <wp:posOffset>1614170</wp:posOffset>
            </wp:positionV>
            <wp:extent cx="2360930" cy="1685290"/>
            <wp:effectExtent l="19050" t="19050" r="134620" b="12446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56256" name="Picture 5" descr="D:\My Documents (D)\ИА ЖА\БЕЗОПАСНОСТ\ГДБ\ГДБ 2015\Photos for NSA-ASR-2015\11485373336_d0e7b29075_c.jpg"/>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60930" cy="1685290"/>
                    </a:xfrm>
                    <a:prstGeom prst="rect">
                      <a:avLst/>
                    </a:prstGeom>
                    <a:noFill/>
                    <a:ln w="25400" cmpd="tri">
                      <a:solidFill>
                        <a:schemeClr val="accent2">
                          <a:lumMod val="75000"/>
                        </a:schemeClr>
                      </a:solidFill>
                    </a:ln>
                    <a:effectLst>
                      <a:outerShdw blurRad="50800" dist="88900" dir="2700000" sx="100000" sy="100000" kx="0" ky="0" algn="tl" rotWithShape="0">
                        <a:prstClr val="black">
                          <a:alpha val="40000"/>
                        </a:prstClr>
                      </a:outerShdw>
                    </a:effectLst>
                  </pic:spPr>
                </pic:pic>
              </a:graphicData>
            </a:graphic>
          </wp:anchor>
        </w:drawing>
      </w:r>
      <w:r w:rsidRPr="00036A98">
        <w:rPr>
          <w:rFonts w:eastAsia="Calibri"/>
          <w:lang w:val="fr-FR" w:eastAsia="fr-FR" w:bidi="ar-SA"/>
        </w:rPr>
        <w:drawing>
          <wp:anchor distT="0" distB="0" distL="114300" distR="114300" simplePos="0" relativeHeight="251661312" behindDoc="1" locked="0" layoutInCell="1" allowOverlap="1">
            <wp:simplePos x="0" y="0"/>
            <wp:positionH relativeFrom="column">
              <wp:posOffset>4886960</wp:posOffset>
            </wp:positionH>
            <wp:positionV relativeFrom="paragraph">
              <wp:posOffset>707390</wp:posOffset>
            </wp:positionV>
            <wp:extent cx="1321435" cy="715010"/>
            <wp:effectExtent l="0" t="0" r="107315" b="123190"/>
            <wp:wrapTight wrapText="bothSides">
              <wp:wrapPolygon>
                <wp:start x="0" y="0"/>
                <wp:lineTo x="0" y="22444"/>
                <wp:lineTo x="623" y="24746"/>
                <wp:lineTo x="22731" y="24746"/>
                <wp:lineTo x="23043" y="24746"/>
                <wp:lineTo x="23043" y="1151"/>
                <wp:lineTo x="21797"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97784" name="Picture 3"/>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21435" cy="715010"/>
                    </a:xfrm>
                    <a:prstGeom prst="rect">
                      <a:avLst/>
                    </a:prstGeom>
                    <a:noFill/>
                    <a:effectLst>
                      <a:outerShdw blurRad="50800" dist="88900" dir="2700000" sx="100000" sy="100000" kx="0" ky="0" algn="tl" rotWithShape="0">
                        <a:prstClr val="black">
                          <a:alpha val="40000"/>
                        </a:prstClr>
                      </a:outerShdw>
                    </a:effectLst>
                  </pic:spPr>
                </pic:pic>
              </a:graphicData>
            </a:graphic>
          </wp:anchor>
        </w:drawing>
      </w:r>
      <w:r w:rsidRPr="00036A98">
        <w:t xml:space="preserve">In 2017, continuing its last year’s campaign, the NRIC SE, jointly with the State Agency for Child Protection, BDZ Holding EAD and the RAEA, took part in a large-scale educational campaign to explain the dangers of the recent trend among the teenagers to take ‘selfies’ and hang out in the ​​station and station-adjacent section areas. The campaign was launched in early 2016, after the school holidays. The initiative was launched to prevent accidents involving children. It was targeted at the teenage students focusing on the leading role of the parents in their upbringing. </w:t>
      </w:r>
    </w:p>
    <w:p w:rsidR="0072419E" w:rsidRPr="00036A98" w:rsidP="006345D1">
      <w:pPr>
        <w:spacing w:before="120"/>
        <w:ind w:firstLine="709"/>
        <w:jc w:val="both"/>
        <w:rPr>
          <w:rFonts w:eastAsia="Calibri"/>
          <w:b/>
          <w:noProof w:val="0"/>
        </w:rPr>
      </w:pPr>
      <w:r w:rsidRPr="00036A98">
        <w:rPr>
          <w:b/>
          <w:noProof w:val="0"/>
        </w:rPr>
        <w:t>‘</w:t>
      </w:r>
      <w:r w:rsidRPr="00036A98">
        <w:rPr>
          <w:b/>
          <w:i/>
          <w:noProof w:val="0"/>
        </w:rPr>
        <w:t>The railroad track is no place to play and take pictures</w:t>
      </w:r>
      <w:r w:rsidRPr="00036A98">
        <w:rPr>
          <w:b/>
          <w:noProof w:val="0"/>
        </w:rPr>
        <w:t>’ and ‘</w:t>
      </w:r>
      <w:r w:rsidRPr="00036A98">
        <w:rPr>
          <w:b/>
          <w:i/>
          <w:noProof w:val="0"/>
        </w:rPr>
        <w:t>Is a shot worth risking your life?</w:t>
      </w:r>
      <w:r w:rsidRPr="00036A98">
        <w:rPr>
          <w:b/>
          <w:noProof w:val="0"/>
        </w:rPr>
        <w:t>’ campaigns</w:t>
      </w:r>
    </w:p>
    <w:p w:rsidR="0072419E" w:rsidRPr="00036A98" w:rsidP="007B2924">
      <w:pPr>
        <w:ind w:firstLine="709"/>
        <w:jc w:val="both"/>
        <w:rPr>
          <w:rFonts w:eastAsia="Calibri"/>
          <w:noProof w:val="0"/>
        </w:rPr>
      </w:pPr>
      <w:r w:rsidRPr="00036A98">
        <w:rPr>
          <w:lang w:val="fr-FR" w:eastAsia="fr-FR" w:bidi="ar-SA"/>
        </w:rPr>
        <mc:AlternateContent>
          <mc:Choice Requires="wps">
            <w:drawing>
              <wp:anchor distT="0" distB="0" distL="114300" distR="114300" simplePos="0" relativeHeight="251693056" behindDoc="0" locked="0" layoutInCell="1" allowOverlap="1">
                <wp:simplePos x="0" y="0"/>
                <wp:positionH relativeFrom="column">
                  <wp:posOffset>3931920</wp:posOffset>
                </wp:positionH>
                <wp:positionV relativeFrom="paragraph">
                  <wp:posOffset>994410</wp:posOffset>
                </wp:positionV>
                <wp:extent cx="2360930" cy="269875"/>
                <wp:effectExtent l="0" t="0" r="1270" b="0"/>
                <wp:wrapSquare wrapText="bothSides"/>
                <wp:docPr id="261" name="Text Box 261"/>
                <wp:cNvGraphicFramePr/>
                <a:graphic xmlns:a="http://schemas.openxmlformats.org/drawingml/2006/main">
                  <a:graphicData uri="http://schemas.microsoft.com/office/word/2010/wordprocessingShape">
                    <wps:wsp xmlns:wps="http://schemas.microsoft.com/office/word/2010/wordprocessingShape">
                      <wps:cNvSpPr txBox="1"/>
                      <wps:spPr>
                        <a:xfrm>
                          <a:off x="0" y="0"/>
                          <a:ext cx="2360930" cy="269875"/>
                        </a:xfrm>
                        <a:prstGeom prst="rect">
                          <a:avLst/>
                        </a:prstGeom>
                        <a:solidFill>
                          <a:prstClr val="white"/>
                        </a:solidFill>
                        <a:ln>
                          <a:noFill/>
                        </a:ln>
                        <a:effectLst/>
                      </wps:spPr>
                      <wps:txbx>
                        <w:txbxContent>
                          <w:p w:rsidR="002F5A3F" w:rsidRPr="00036A98" w:rsidP="00DD2978">
                            <w:pPr>
                              <w:pStyle w:val="Caption"/>
                              <w:jc w:val="center"/>
                              <w:rPr>
                                <w:rFonts w:eastAsia="Calibri"/>
                                <w:color w:val="000000" w:themeColor="text1"/>
                                <w:sz w:val="24"/>
                                <w:szCs w:val="24"/>
                              </w:rPr>
                            </w:pPr>
                            <w:r w:rsidRPr="00036A98">
                              <w:rPr>
                                <w:color w:val="000000" w:themeColor="text1"/>
                              </w:rPr>
                              <w:t xml:space="preserve">Figure 3: </w:t>
                            </w:r>
                            <w:r w:rsidRPr="00036A98">
                              <w:rPr>
                                <w:b w:val="0"/>
                                <w:color w:val="000000" w:themeColor="text1"/>
                                <w:sz w:val="16"/>
                              </w:rPr>
                              <w:t>Promotional brochure for ‘The railroad track is no place to play’ campaign (front)</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261" o:spid="_x0000_s1034" type="#_x0000_t202" style="width:185.9pt;height:21.25pt;margin-top:78.3pt;margin-left:309.6pt;mso-height-percent:0;mso-height-relative:margin;mso-wrap-distance-bottom:0;mso-wrap-distance-left:9pt;mso-wrap-distance-right:9pt;mso-wrap-distance-top:0;mso-wrap-style:square;position:absolute;visibility:visible;v-text-anchor:top;z-index:251694080" stroked="f">
                <v:textbox inset="0,0,0,0">
                  <w:txbxContent>
                    <w:p w:rsidR="002F5A3F" w:rsidRPr="00036A98" w:rsidP="00DD2978">
                      <w:pPr>
                        <w:pStyle w:val="Caption"/>
                        <w:jc w:val="center"/>
                        <w:rPr>
                          <w:rFonts w:eastAsia="Calibri"/>
                          <w:color w:val="000000" w:themeColor="text1"/>
                          <w:sz w:val="24"/>
                          <w:szCs w:val="24"/>
                        </w:rPr>
                      </w:pPr>
                      <w:r w:rsidRPr="00036A98">
                        <w:rPr>
                          <w:color w:val="000000" w:themeColor="text1"/>
                        </w:rPr>
                        <w:t xml:space="preserve">Figure 3: </w:t>
                      </w:r>
                      <w:r w:rsidRPr="00036A98">
                        <w:rPr>
                          <w:b w:val="0"/>
                          <w:color w:val="000000" w:themeColor="text1"/>
                          <w:sz w:val="16"/>
                        </w:rPr>
                        <w:t>Promotional brochure for ‘The railroad track is no place to play’ campaign (front)</w:t>
                      </w:r>
                    </w:p>
                  </w:txbxContent>
                </v:textbox>
                <w10:wrap type="square"/>
              </v:shape>
            </w:pict>
          </mc:Fallback>
        </mc:AlternateContent>
      </w:r>
      <w:r w:rsidRPr="00036A98">
        <w:t xml:space="preserve">With regard to the summer holidays and Children’s Day—1 June, the NRIC SE and BDZ Holding EAD distributed hundreds of thousands of information brochures at the big stations in the country, as part of the </w:t>
      </w:r>
      <w:r w:rsidRPr="00036A98">
        <w:rPr>
          <w:b/>
          <w:i/>
          <w:noProof w:val="0"/>
        </w:rPr>
        <w:t>‘The railroad track is no place to play and take pictures’</w:t>
      </w:r>
      <w:r w:rsidRPr="00036A98">
        <w:t xml:space="preserve"> campaign. The initiative was carried out under the auspices of the State Agency for Child Protection, together with the Ombudsman of the Republic of Bulgaria, the Ministry of Interior (MoI) and other institutions dealing with cases of children injured by electric arc, as a consequence of unauthorised presence at the railway sections.</w:t>
      </w:r>
    </w:p>
    <w:p w:rsidR="0072419E" w:rsidRPr="00036A98" w:rsidP="007B2924">
      <w:pPr>
        <w:ind w:firstLine="709"/>
        <w:jc w:val="both"/>
        <w:rPr>
          <w:rFonts w:eastAsia="Calibri"/>
          <w:noProof w:val="0"/>
          <w:highlight w:val="yellow"/>
        </w:rPr>
      </w:pPr>
      <w:r w:rsidRPr="00036A98">
        <w:t>The information brochures of the NRIC and BDZ were designed to increase the safety of children in the areas of the railway infrastructure, as well as to act as deterrent for the latest teenage trend of ‘taking selfies in dangerous places’.</w:t>
      </w:r>
    </w:p>
    <w:p w:rsidR="00D53D43" w:rsidRPr="00036A98" w:rsidP="007B2924">
      <w:pPr>
        <w:ind w:firstLine="709"/>
        <w:jc w:val="both"/>
        <w:rPr>
          <w:rFonts w:eastAsia="Calibri"/>
          <w:noProof w:val="0"/>
        </w:rPr>
      </w:pPr>
      <w:r w:rsidRPr="00036A98">
        <w:rPr>
          <w:lang w:val="fr-FR" w:eastAsia="fr-FR" w:bidi="ar-SA"/>
        </w:rPr>
        <mc:AlternateContent>
          <mc:Choice Requires="wps">
            <w:drawing>
              <wp:anchor distT="0" distB="0" distL="114300" distR="114300" simplePos="0" relativeHeight="251695104" behindDoc="0" locked="0" layoutInCell="1" allowOverlap="1">
                <wp:simplePos x="0" y="0"/>
                <wp:positionH relativeFrom="column">
                  <wp:posOffset>3870325</wp:posOffset>
                </wp:positionH>
                <wp:positionV relativeFrom="paragraph">
                  <wp:posOffset>1788160</wp:posOffset>
                </wp:positionV>
                <wp:extent cx="2360930" cy="262255"/>
                <wp:effectExtent l="0" t="0" r="1270" b="4445"/>
                <wp:wrapSquare wrapText="bothSides"/>
                <wp:docPr id="262" name="Text Box 26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60930" cy="262255"/>
                        </a:xfrm>
                        <a:prstGeom prst="rect">
                          <a:avLst/>
                        </a:prstGeom>
                        <a:solidFill>
                          <a:prstClr val="white"/>
                        </a:solidFill>
                        <a:ln>
                          <a:noFill/>
                        </a:ln>
                        <a:effectLst/>
                      </wps:spPr>
                      <wps:txbx>
                        <w:txbxContent>
                          <w:p w:rsidR="002F5A3F" w:rsidRPr="00036A98" w:rsidP="00F63E52">
                            <w:pPr>
                              <w:pStyle w:val="Caption"/>
                              <w:jc w:val="center"/>
                              <w:rPr>
                                <w:rFonts w:eastAsia="Calibri"/>
                                <w:sz w:val="24"/>
                                <w:szCs w:val="24"/>
                              </w:rPr>
                            </w:pPr>
                            <w:r w:rsidRPr="00036A98">
                              <w:rPr>
                                <w:color w:val="000000" w:themeColor="text1"/>
                              </w:rPr>
                              <w:t xml:space="preserve">Figure 4: </w:t>
                            </w:r>
                            <w:r w:rsidRPr="00036A98">
                              <w:rPr>
                                <w:b w:val="0"/>
                                <w:color w:val="000000" w:themeColor="text1"/>
                              </w:rPr>
                              <w:t>Promotional brochure for ‘The railroad track is no place to play’ campaign (back).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262" o:spid="_x0000_s1035" type="#_x0000_t202" style="width:185.9pt;height:20.65pt;margin-top:140.8pt;margin-left:304.75pt;mso-height-percent:0;mso-height-relative:margin;mso-wrap-distance-bottom:0;mso-wrap-distance-left:9pt;mso-wrap-distance-right:9pt;mso-wrap-distance-top:0;mso-wrap-style:square;position:absolute;visibility:visible;v-text-anchor:top;z-index:251696128" stroked="f">
                <v:textbox inset="0,0,0,0">
                  <w:txbxContent>
                    <w:p w:rsidR="002F5A3F" w:rsidRPr="00036A98" w:rsidP="00F63E52">
                      <w:pPr>
                        <w:pStyle w:val="Caption"/>
                        <w:jc w:val="center"/>
                        <w:rPr>
                          <w:rFonts w:eastAsia="Calibri"/>
                          <w:sz w:val="24"/>
                          <w:szCs w:val="24"/>
                        </w:rPr>
                      </w:pPr>
                      <w:r w:rsidRPr="00036A98">
                        <w:rPr>
                          <w:color w:val="000000" w:themeColor="text1"/>
                        </w:rPr>
                        <w:t xml:space="preserve">Figure 4: </w:t>
                      </w:r>
                      <w:r w:rsidRPr="00036A98">
                        <w:rPr>
                          <w:b w:val="0"/>
                          <w:color w:val="000000" w:themeColor="text1"/>
                        </w:rPr>
                        <w:t>Promotional brochure for ‘The railroad track is no place to play’ campaign (back).</w:t>
                      </w:r>
                    </w:p>
                  </w:txbxContent>
                </v:textbox>
                <w10:wrap type="square"/>
              </v:shape>
            </w:pict>
          </mc:Fallback>
        </mc:AlternateContent>
      </w:r>
      <w:r w:rsidRPr="00036A98">
        <w:rPr>
          <w:rFonts w:eastAsia="Calibri"/>
          <w:lang w:val="fr-FR" w:eastAsia="fr-FR" w:bidi="ar-SA"/>
        </w:rPr>
        <w:drawing>
          <wp:anchor distT="0" distB="0" distL="114300" distR="114300" simplePos="0" relativeHeight="251663360" behindDoc="0" locked="0" layoutInCell="1" allowOverlap="1">
            <wp:simplePos x="0" y="0"/>
            <wp:positionH relativeFrom="column">
              <wp:posOffset>3870325</wp:posOffset>
            </wp:positionH>
            <wp:positionV relativeFrom="paragraph">
              <wp:posOffset>59690</wp:posOffset>
            </wp:positionV>
            <wp:extent cx="2360930" cy="1669415"/>
            <wp:effectExtent l="19050" t="19050" r="134620" b="1403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152935" name="Picture 5" descr="D:\My Documents (D)\ИА ЖА\БЕЗОПАСНОСТ\ГДБ\ГДБ 2015\Photos for NSA-ASR-2015\11485373336_d0e7b29075_c.jpg"/>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60930" cy="1669415"/>
                    </a:xfrm>
                    <a:prstGeom prst="rect">
                      <a:avLst/>
                    </a:prstGeom>
                    <a:noFill/>
                    <a:ln w="22225" cmpd="tri">
                      <a:solidFill>
                        <a:schemeClr val="accent2">
                          <a:lumMod val="75000"/>
                        </a:schemeClr>
                      </a:solidFill>
                    </a:ln>
                    <a:effectLst>
                      <a:outerShdw blurRad="50800" dist="88900" dir="2700000" sx="100000" sy="100000" kx="0" ky="0" algn="tl" rotWithShape="0">
                        <a:prstClr val="black">
                          <a:alpha val="40000"/>
                        </a:prstClr>
                      </a:outerShdw>
                    </a:effectLst>
                  </pic:spPr>
                </pic:pic>
              </a:graphicData>
            </a:graphic>
          </wp:anchor>
        </w:drawing>
      </w:r>
      <w:r w:rsidRPr="00036A98">
        <w:t>Despite all the initiatives implemented over the years, their results related to the safety of the railway infrastructure were generally unsatisfactory. Besides the problems with the unauthorised traversing at the level crossings, the extreme selfies and dangerous behaviour in the RI areas, there is also the serious problem with the violations of the crossing rules at the newly built sections—the new facilities (underpasses, overpasses, lifts) are not used, holes are made in soundproofing walls as ‘doors’ to take ‘shortcuts’ across the tracks. Given the high speeds in these sections, this behaviour poses an extreme danger to human life and health.</w:t>
      </w:r>
    </w:p>
    <w:p w:rsidR="00084411" w:rsidRPr="00036A98" w:rsidP="00EF1E96">
      <w:pPr>
        <w:pStyle w:val="Heading1"/>
        <w:numPr>
          <w:ilvl w:val="0"/>
          <w:numId w:val="26"/>
        </w:numPr>
        <w:rPr>
          <w:rFonts w:eastAsia="Calibri"/>
        </w:rPr>
      </w:pPr>
      <w:bookmarkStart w:id="61" w:name="_Toc462235800"/>
      <w:bookmarkStart w:id="62" w:name="_Toc462754782"/>
      <w:bookmarkStart w:id="63" w:name="_Toc490231009"/>
      <w:bookmarkStart w:id="64" w:name="_Toc490231901"/>
      <w:bookmarkStart w:id="65" w:name="_Toc490232029"/>
      <w:bookmarkStart w:id="66" w:name="_Toc491352157"/>
      <w:bookmarkStart w:id="67" w:name="_Toc491788089"/>
      <w:bookmarkStart w:id="68" w:name="_Toc491789279"/>
      <w:bookmarkStart w:id="69" w:name="_Toc491791276"/>
      <w:bookmarkStart w:id="70" w:name="_Toc525214756"/>
      <w:r w:rsidRPr="00036A98">
        <w:rPr>
          <w:rFonts w:eastAsia="Calibri"/>
          <w:lang w:val="fr-FR" w:eastAsia="fr-FR" w:bidi="ar-SA"/>
        </w:rPr>
        <w:drawing>
          <wp:anchor distT="0" distB="0" distL="114300" distR="114300" simplePos="0" relativeHeight="251700224" behindDoc="0" locked="0" layoutInCell="1" allowOverlap="1">
            <wp:simplePos x="0" y="0"/>
            <wp:positionH relativeFrom="column">
              <wp:posOffset>-26035</wp:posOffset>
            </wp:positionH>
            <wp:positionV relativeFrom="paragraph">
              <wp:posOffset>328295</wp:posOffset>
            </wp:positionV>
            <wp:extent cx="2305685" cy="1102995"/>
            <wp:effectExtent l="0" t="0" r="0" b="1905"/>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12608" name="2000px-Overview_icon.svg.png"/>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305685" cy="1102995"/>
                    </a:xfrm>
                    <a:prstGeom prst="rect">
                      <a:avLst/>
                    </a:prstGeom>
                  </pic:spPr>
                </pic:pic>
              </a:graphicData>
            </a:graphic>
            <wp14:sizeRelH relativeFrom="page">
              <wp14:pctWidth>0</wp14:pctWidth>
            </wp14:sizeRelH>
            <wp14:sizeRelV relativeFrom="page">
              <wp14:pctHeight>0</wp14:pctHeight>
            </wp14:sizeRelV>
          </wp:anchor>
        </w:drawing>
      </w:r>
      <w:r w:rsidRPr="00036A98">
        <w:t>Review of the Previous Year</w:t>
      </w:r>
      <w:bookmarkEnd w:id="61"/>
      <w:bookmarkEnd w:id="62"/>
      <w:bookmarkEnd w:id="63"/>
      <w:bookmarkEnd w:id="64"/>
      <w:bookmarkEnd w:id="65"/>
      <w:bookmarkEnd w:id="66"/>
      <w:bookmarkEnd w:id="67"/>
      <w:bookmarkEnd w:id="68"/>
      <w:bookmarkEnd w:id="69"/>
      <w:bookmarkEnd w:id="70"/>
    </w:p>
    <w:p w:rsidR="004A0260" w:rsidRPr="00036A98" w:rsidP="007B2924">
      <w:pPr>
        <w:ind w:firstLine="482"/>
        <w:jc w:val="both"/>
        <w:rPr>
          <w:rFonts w:eastAsia="Calibri"/>
          <w:noProof w:val="0"/>
        </w:rPr>
      </w:pPr>
      <w:r w:rsidRPr="00036A98">
        <w:t>In 2017, as a whole, no lowering of the level of safety of the RI</w:t>
      </w:r>
      <w:r>
        <w:rPr>
          <w:rStyle w:val="FootnoteReference"/>
          <w:noProof w:val="0"/>
        </w:rPr>
        <w:footnoteReference w:id="25"/>
      </w:r>
      <w:r w:rsidRPr="00036A98">
        <w:t xml:space="preserve"> and RS was reported, compared to 2016, based on the statutory criteria and safety indicators.</w:t>
      </w:r>
    </w:p>
    <w:p w:rsidR="005E4C0B" w:rsidRPr="00036A98" w:rsidP="007B2924">
      <w:pPr>
        <w:widowControl w:val="0"/>
        <w:autoSpaceDE w:val="0"/>
        <w:autoSpaceDN w:val="0"/>
        <w:adjustRightInd w:val="0"/>
        <w:ind w:firstLine="482"/>
        <w:jc w:val="both"/>
        <w:rPr>
          <w:noProof w:val="0"/>
        </w:rPr>
      </w:pPr>
      <w:r w:rsidRPr="00036A98">
        <w:t>The safety management structures at the IM and the RUs provide full assistance to the RAEA in the monitoring and control of the overall development and improvement of safety. By the 10th day of each month, they collect and process statistical information regarding the CSI for the previous month and make it available to the RAEA and to the Railway Accident and Incident Special Investigation Unit at the Ministry of Transport, Information Technology and Communications. The orders and instructions relating to the transport safety issued for this period are also attached to this information.</w:t>
      </w:r>
    </w:p>
    <w:p w:rsidR="005820CD" w:rsidRPr="00036A98" w:rsidP="00E52A79">
      <w:pPr>
        <w:widowControl w:val="0"/>
        <w:autoSpaceDE w:val="0"/>
        <w:autoSpaceDN w:val="0"/>
        <w:adjustRightInd w:val="0"/>
        <w:spacing w:after="120"/>
        <w:jc w:val="both"/>
        <w:rPr>
          <w:rFonts w:eastAsia="Calibri"/>
          <w:noProof w:val="0"/>
        </w:rPr>
      </w:pPr>
      <w:r w:rsidRPr="00036A98">
        <w:tab/>
        <w:t>In 2017, the NSA of Bulgaria, applying the CSM for assessing conformity with the requirements for obtaining railway safety certificates, introduced by Regulation (EU) No 1158/2010, issued a total of 9 SCs to the following RUs for freight transport:</w:t>
      </w:r>
    </w:p>
    <w:p w:rsidR="00DD2978" w:rsidRPr="00036A98" w:rsidP="00E52A79">
      <w:pPr>
        <w:pStyle w:val="ListParagraph"/>
        <w:widowControl w:val="0"/>
        <w:numPr>
          <w:ilvl w:val="0"/>
          <w:numId w:val="27"/>
        </w:numPr>
        <w:tabs>
          <w:tab w:val="clear" w:pos="720"/>
          <w:tab w:val="num" w:pos="851"/>
        </w:tabs>
        <w:autoSpaceDE w:val="0"/>
        <w:autoSpaceDN w:val="0"/>
        <w:adjustRightInd w:val="0"/>
        <w:ind w:left="993" w:hanging="153"/>
        <w:jc w:val="both"/>
        <w:rPr>
          <w:rFonts w:eastAsia="Calibri"/>
          <w:noProof w:val="0"/>
        </w:rPr>
      </w:pPr>
      <w:r w:rsidRPr="00036A98">
        <w:t>CARGO TRANS VAGON BULGARIA (SC Part A and B renewed on 11 April 2017 with a validity term of 5 years);</w:t>
      </w:r>
    </w:p>
    <w:p w:rsidR="00DD2978" w:rsidRPr="00036A98" w:rsidP="00E52A79">
      <w:pPr>
        <w:pStyle w:val="ListParagraph"/>
        <w:widowControl w:val="0"/>
        <w:numPr>
          <w:ilvl w:val="0"/>
          <w:numId w:val="27"/>
        </w:numPr>
        <w:tabs>
          <w:tab w:val="clear" w:pos="720"/>
          <w:tab w:val="num" w:pos="851"/>
        </w:tabs>
        <w:autoSpaceDE w:val="0"/>
        <w:autoSpaceDN w:val="0"/>
        <w:adjustRightInd w:val="0"/>
        <w:ind w:left="993" w:hanging="153"/>
        <w:jc w:val="both"/>
        <w:rPr>
          <w:rFonts w:eastAsia="Calibri"/>
          <w:noProof w:val="0"/>
        </w:rPr>
      </w:pPr>
      <w:r w:rsidRPr="00036A98">
        <w:t>Mini Maritsa Iztok EAD (new SC Part A and B issued on 19 April 2017 with a validity term of 2 years);</w:t>
      </w:r>
    </w:p>
    <w:p w:rsidR="00DD2978" w:rsidRPr="00036A98" w:rsidP="00E52A79">
      <w:pPr>
        <w:pStyle w:val="ListParagraph"/>
        <w:widowControl w:val="0"/>
        <w:numPr>
          <w:ilvl w:val="0"/>
          <w:numId w:val="27"/>
        </w:numPr>
        <w:tabs>
          <w:tab w:val="clear" w:pos="720"/>
          <w:tab w:val="num" w:pos="851"/>
        </w:tabs>
        <w:autoSpaceDE w:val="0"/>
        <w:autoSpaceDN w:val="0"/>
        <w:adjustRightInd w:val="0"/>
        <w:ind w:left="993" w:hanging="153"/>
        <w:jc w:val="both"/>
        <w:rPr>
          <w:rFonts w:eastAsia="Calibri"/>
          <w:noProof w:val="0"/>
        </w:rPr>
      </w:pPr>
      <w:r w:rsidRPr="00036A98">
        <w:t>TBD–TOVARNI PREVOZI JSC (SC Part A and B updated, issued on 20 April 2017);</w:t>
      </w:r>
    </w:p>
    <w:p w:rsidR="00DD2978" w:rsidRPr="00036A98" w:rsidP="00E52A79">
      <w:pPr>
        <w:pStyle w:val="ListParagraph"/>
        <w:widowControl w:val="0"/>
        <w:numPr>
          <w:ilvl w:val="0"/>
          <w:numId w:val="27"/>
        </w:numPr>
        <w:tabs>
          <w:tab w:val="clear" w:pos="720"/>
          <w:tab w:val="num" w:pos="851"/>
        </w:tabs>
        <w:autoSpaceDE w:val="0"/>
        <w:autoSpaceDN w:val="0"/>
        <w:adjustRightInd w:val="0"/>
        <w:ind w:left="993" w:hanging="153"/>
        <w:jc w:val="both"/>
        <w:rPr>
          <w:rFonts w:eastAsia="Calibri"/>
          <w:noProof w:val="0"/>
        </w:rPr>
      </w:pPr>
      <w:r w:rsidRPr="00036A98">
        <w:t>Port Rail Ltd. (renewed SC Part A and B issued on 26 May 2017 with a validity term of 5 years);</w:t>
      </w:r>
    </w:p>
    <w:p w:rsidR="004A0444" w:rsidRPr="00036A98" w:rsidP="00E52A79">
      <w:pPr>
        <w:pStyle w:val="ListParagraph"/>
        <w:widowControl w:val="0"/>
        <w:numPr>
          <w:ilvl w:val="0"/>
          <w:numId w:val="27"/>
        </w:numPr>
        <w:tabs>
          <w:tab w:val="clear" w:pos="720"/>
          <w:tab w:val="num" w:pos="851"/>
        </w:tabs>
        <w:autoSpaceDE w:val="0"/>
        <w:autoSpaceDN w:val="0"/>
        <w:adjustRightInd w:val="0"/>
        <w:ind w:left="993" w:hanging="153"/>
        <w:jc w:val="both"/>
        <w:rPr>
          <w:rFonts w:eastAsia="Calibri"/>
          <w:noProof w:val="0"/>
        </w:rPr>
      </w:pPr>
      <w:r w:rsidRPr="00036A98">
        <w:t>DMV CARGO RAIL LTD (new SC Part A and B issued on 3 July 2017 with a validity term of 3 years);</w:t>
      </w:r>
    </w:p>
    <w:p w:rsidR="004A0444" w:rsidRPr="00036A98" w:rsidP="00E52A79">
      <w:pPr>
        <w:pStyle w:val="ListParagraph"/>
        <w:widowControl w:val="0"/>
        <w:numPr>
          <w:ilvl w:val="0"/>
          <w:numId w:val="27"/>
        </w:numPr>
        <w:tabs>
          <w:tab w:val="clear" w:pos="720"/>
          <w:tab w:val="num" w:pos="851"/>
        </w:tabs>
        <w:autoSpaceDE w:val="0"/>
        <w:autoSpaceDN w:val="0"/>
        <w:adjustRightInd w:val="0"/>
        <w:ind w:left="993" w:hanging="153"/>
        <w:jc w:val="both"/>
        <w:rPr>
          <w:rFonts w:eastAsia="Calibri"/>
          <w:noProof w:val="0"/>
        </w:rPr>
      </w:pPr>
      <w:r w:rsidRPr="00036A98">
        <w:t>TBD–TOVARNI PREVOZI JSC (SC Part A and B updated, issued on 16 November 2017);</w:t>
      </w:r>
    </w:p>
    <w:p w:rsidR="005820CD" w:rsidRPr="00036A98" w:rsidP="00E52A79">
      <w:pPr>
        <w:pStyle w:val="ListParagraph"/>
        <w:widowControl w:val="0"/>
        <w:numPr>
          <w:ilvl w:val="0"/>
          <w:numId w:val="27"/>
        </w:numPr>
        <w:tabs>
          <w:tab w:val="clear" w:pos="720"/>
          <w:tab w:val="num" w:pos="851"/>
        </w:tabs>
        <w:autoSpaceDE w:val="0"/>
        <w:autoSpaceDN w:val="0"/>
        <w:adjustRightInd w:val="0"/>
        <w:ind w:left="993" w:hanging="153"/>
        <w:jc w:val="both"/>
        <w:rPr>
          <w:rFonts w:eastAsia="Calibri"/>
          <w:noProof w:val="0"/>
        </w:rPr>
      </w:pPr>
      <w:r w:rsidRPr="00036A98">
        <w:t>BDZ Freight Services (renewed SC Part A and B issued on 21 December 2017 with a validity term of 5 years).</w:t>
      </w:r>
    </w:p>
    <w:p w:rsidR="004A0444" w:rsidRPr="00036A98" w:rsidP="004A0444">
      <w:pPr>
        <w:pStyle w:val="ListParagraph"/>
        <w:widowControl w:val="0"/>
        <w:autoSpaceDE w:val="0"/>
        <w:autoSpaceDN w:val="0"/>
        <w:adjustRightInd w:val="0"/>
        <w:ind w:left="720"/>
        <w:jc w:val="both"/>
        <w:rPr>
          <w:rFonts w:eastAsia="Calibri"/>
          <w:noProof w:val="0"/>
        </w:rPr>
      </w:pPr>
    </w:p>
    <w:p w:rsidR="008016E1" w:rsidRPr="00036A98" w:rsidP="004A0444">
      <w:pPr>
        <w:widowControl w:val="0"/>
        <w:autoSpaceDE w:val="0"/>
        <w:autoSpaceDN w:val="0"/>
        <w:adjustRightInd w:val="0"/>
        <w:spacing w:before="120"/>
        <w:jc w:val="both"/>
        <w:rPr>
          <w:rFonts w:eastAsia="Calibri"/>
          <w:noProof w:val="0"/>
        </w:rPr>
      </w:pPr>
      <w:r w:rsidRPr="00036A98">
        <w:tab/>
      </w:r>
      <w:r w:rsidRPr="00036A98">
        <w:t>In 2017, the Safety Certificates Part A and B of TBD–TOVARNI PREVOZI JSC were updated twice, in relation to the PCM/ECM certificates</w:t>
      </w:r>
      <w:r>
        <w:rPr>
          <w:rStyle w:val="FootnoteReference"/>
          <w:noProof w:val="0"/>
        </w:rPr>
        <w:footnoteReference w:id="26"/>
      </w:r>
      <w:r w:rsidRPr="00036A98">
        <w:t xml:space="preserve"> issued to the same RU with the following numbers: BG/31/0016/0002 for freight wagons in accordance with Regulation (EU) No 445/2011</w:t>
      </w:r>
      <w:r>
        <w:rPr>
          <w:rStyle w:val="FootnoteReference"/>
          <w:noProof w:val="0"/>
        </w:rPr>
        <w:footnoteReference w:id="27"/>
      </w:r>
      <w:r w:rsidRPr="00036A98">
        <w:t xml:space="preserve"> and BGRA/2017/0003 for rail vehicles in accordance with Ordinance No 59</w:t>
      </w:r>
      <w:r>
        <w:rPr>
          <w:rStyle w:val="FootnoteReference"/>
          <w:noProof w:val="0"/>
        </w:rPr>
        <w:footnoteReference w:id="28"/>
      </w:r>
      <w:r w:rsidRPr="00036A98">
        <w:t>.</w:t>
      </w:r>
    </w:p>
    <w:p w:rsidR="00A54984" w:rsidRPr="00036A98" w:rsidP="007B2924">
      <w:pPr>
        <w:ind w:firstLine="709"/>
        <w:jc w:val="both"/>
        <w:rPr>
          <w:rFonts w:eastAsia="Calibri"/>
          <w:noProof w:val="0"/>
        </w:rPr>
      </w:pPr>
      <w:r w:rsidRPr="00036A98">
        <w:t>In 2017, for the first time, an application for the issuance of a Safety Certificate was received for a company not holding a licence. On 5 December 2017, a Safety Certificate was issued to Traktsia JSC for ‘shunting’ within the Samuil railway station with a validity term of 2 years.</w:t>
      </w:r>
    </w:p>
    <w:p w:rsidR="00521FC7" w:rsidRPr="00036A98" w:rsidP="007B2924">
      <w:pPr>
        <w:ind w:firstLine="709"/>
        <w:jc w:val="both"/>
      </w:pPr>
      <w:r w:rsidRPr="00036A98">
        <w:t xml:space="preserve">In 2017, for passenger railway transport (in Bulgaria, to date, only by BDZ Passenger Services Ltd.), SCs Part A and B were renewed on 21 December 2017 with a validity term of 5 years. See </w:t>
      </w:r>
      <w:r w:rsidRPr="00036A98">
        <w:rPr>
          <w:b/>
          <w:i/>
        </w:rPr>
        <w:t>section E</w:t>
      </w:r>
      <w:r w:rsidRPr="00036A98">
        <w:t xml:space="preserve"> of this report for further details on the Safety Certificates issued by the NSA of Bulgaria to RUs in 2017.</w:t>
      </w:r>
    </w:p>
    <w:p w:rsidR="00084411" w:rsidRPr="00036A98" w:rsidP="00EF1E96">
      <w:pPr>
        <w:pStyle w:val="Heading1"/>
        <w:numPr>
          <w:ilvl w:val="0"/>
          <w:numId w:val="26"/>
        </w:numPr>
        <w:spacing w:before="240"/>
        <w:ind w:left="357" w:hanging="357"/>
        <w:rPr>
          <w:rFonts w:eastAsia="Calibri"/>
        </w:rPr>
      </w:pPr>
      <w:bookmarkStart w:id="71" w:name="_Toc462235801"/>
      <w:bookmarkStart w:id="72" w:name="_Toc462754783"/>
      <w:bookmarkStart w:id="73" w:name="_Toc490231010"/>
      <w:bookmarkStart w:id="74" w:name="_Toc490231902"/>
      <w:bookmarkStart w:id="75" w:name="_Toc490232030"/>
      <w:bookmarkStart w:id="76" w:name="_Toc491352158"/>
      <w:bookmarkStart w:id="77" w:name="_Toc491788090"/>
      <w:bookmarkStart w:id="78" w:name="_Toc491789280"/>
      <w:bookmarkStart w:id="79" w:name="_Toc491791277"/>
      <w:bookmarkStart w:id="80" w:name="_Toc525214757"/>
      <w:r w:rsidRPr="00036A98">
        <w:t>Focus Areas for the Next Year</w:t>
      </w:r>
      <w:bookmarkEnd w:id="71"/>
      <w:bookmarkEnd w:id="72"/>
      <w:bookmarkEnd w:id="73"/>
      <w:bookmarkEnd w:id="74"/>
      <w:bookmarkEnd w:id="75"/>
      <w:bookmarkEnd w:id="76"/>
      <w:bookmarkEnd w:id="77"/>
      <w:bookmarkEnd w:id="78"/>
      <w:bookmarkEnd w:id="79"/>
      <w:bookmarkEnd w:id="80"/>
    </w:p>
    <w:p w:rsidR="00FC4603" w:rsidRPr="00036A98" w:rsidP="007B2924">
      <w:pPr>
        <w:ind w:firstLine="709"/>
        <w:jc w:val="both"/>
      </w:pPr>
      <w:r w:rsidRPr="00036A98">
        <w:t>The key action areas of the NSA of Bulgaria in the field of railway safety in the following year (2018) according to the requirements of Article 16(2) of the RSD are the following:</w:t>
      </w:r>
    </w:p>
    <w:p w:rsidR="00092565" w:rsidRPr="00036A98" w:rsidP="00EF1E96">
      <w:pPr>
        <w:pStyle w:val="ListParagraph"/>
        <w:numPr>
          <w:ilvl w:val="0"/>
          <w:numId w:val="18"/>
        </w:numPr>
        <w:jc w:val="both"/>
        <w:rPr>
          <w:rFonts w:eastAsia="Calibri"/>
        </w:rPr>
      </w:pPr>
      <w:r w:rsidRPr="00036A98">
        <w:t>Control over the RUs and the IM for the strict compliance with the statutory requirements for the transport of dangerous goods, RID Regulations and Ordinance No 46 after the serious accident with the release of dangerous goods, which occurred on 10 December 2016 at the Hitrino station in Bulgaria.</w:t>
      </w:r>
    </w:p>
    <w:p w:rsidR="00CD15AA" w:rsidRPr="00036A98" w:rsidP="00EF1E96">
      <w:pPr>
        <w:pStyle w:val="ListParagraph"/>
        <w:numPr>
          <w:ilvl w:val="0"/>
          <w:numId w:val="18"/>
        </w:numPr>
        <w:jc w:val="both"/>
        <w:rPr>
          <w:rFonts w:eastAsia="Calibri"/>
        </w:rPr>
      </w:pPr>
      <w:r w:rsidRPr="00036A98">
        <w:t xml:space="preserve">Placing RI and RS into service; </w:t>
      </w:r>
    </w:p>
    <w:p w:rsidR="00D20DCD" w:rsidRPr="00036A98" w:rsidP="00EF1E96">
      <w:pPr>
        <w:pStyle w:val="ListParagraph"/>
        <w:numPr>
          <w:ilvl w:val="0"/>
          <w:numId w:val="18"/>
        </w:numPr>
        <w:jc w:val="both"/>
        <w:rPr>
          <w:rFonts w:eastAsia="Calibri"/>
        </w:rPr>
      </w:pPr>
      <w:r w:rsidRPr="00036A98">
        <w:t>Preparatory activities related to the transposition into Bulgarian legislation of the RSD and the other legal acts of the Fourth Rail Package (4RP);</w:t>
      </w:r>
    </w:p>
    <w:p w:rsidR="004A0260" w:rsidRPr="00036A98" w:rsidP="00EF1E96">
      <w:pPr>
        <w:pStyle w:val="ListParagraph"/>
        <w:numPr>
          <w:ilvl w:val="0"/>
          <w:numId w:val="18"/>
        </w:numPr>
        <w:jc w:val="both"/>
        <w:rPr>
          <w:rFonts w:eastAsia="Calibri"/>
        </w:rPr>
      </w:pPr>
      <w:r w:rsidRPr="00036A98">
        <w:t>Issuance, renewal, amendment or revocation of safety certificates and safety authorisations of the RUs and the IM;</w:t>
      </w:r>
    </w:p>
    <w:p w:rsidR="004A0260" w:rsidRPr="00036A98" w:rsidP="00EF1E96">
      <w:pPr>
        <w:pStyle w:val="ListParagraph"/>
        <w:numPr>
          <w:ilvl w:val="0"/>
          <w:numId w:val="18"/>
        </w:numPr>
        <w:jc w:val="both"/>
        <w:rPr>
          <w:rFonts w:eastAsia="Calibri"/>
        </w:rPr>
      </w:pPr>
      <w:r w:rsidRPr="00036A98">
        <w:t>Exercise of supervision as required by Regulation (EU) No 1077/2012;</w:t>
      </w:r>
    </w:p>
    <w:p w:rsidR="004A0260" w:rsidRPr="00036A98" w:rsidP="00EF1E96">
      <w:pPr>
        <w:pStyle w:val="ListParagraph"/>
        <w:numPr>
          <w:ilvl w:val="0"/>
          <w:numId w:val="18"/>
        </w:numPr>
        <w:jc w:val="both"/>
        <w:rPr>
          <w:rFonts w:eastAsia="Calibri"/>
        </w:rPr>
      </w:pPr>
      <w:r w:rsidRPr="00036A98">
        <w:t>Issuance of an authorisation for placing into service of the structural subsystems of which the railway system is built and verification whether they are operated and maintained in accordance with the respective essential requirements;</w:t>
      </w:r>
    </w:p>
    <w:p w:rsidR="004A0260" w:rsidRPr="00036A98" w:rsidP="00EF1E96">
      <w:pPr>
        <w:pStyle w:val="ListParagraph"/>
        <w:numPr>
          <w:ilvl w:val="0"/>
          <w:numId w:val="18"/>
        </w:numPr>
        <w:jc w:val="both"/>
        <w:rPr>
          <w:rFonts w:eastAsia="Calibri"/>
        </w:rPr>
      </w:pPr>
      <w:r w:rsidRPr="00036A98">
        <w:t>Issuing authorisations for placing new and substantially modified rolling stock (RS) into service;</w:t>
      </w:r>
    </w:p>
    <w:p w:rsidR="004A0260" w:rsidRPr="00036A98" w:rsidP="00EF1E96">
      <w:pPr>
        <w:pStyle w:val="ListParagraph"/>
        <w:numPr>
          <w:ilvl w:val="0"/>
          <w:numId w:val="18"/>
        </w:numPr>
        <w:jc w:val="both"/>
        <w:rPr>
          <w:rFonts w:eastAsia="Calibri"/>
        </w:rPr>
      </w:pPr>
      <w:r w:rsidRPr="00036A98">
        <w:t>Control, support and development of the safety regulatory framework, including the system of national safety rules (NSR);</w:t>
      </w:r>
    </w:p>
    <w:p w:rsidR="000A74D4" w:rsidRPr="00036A98" w:rsidP="00EF1E96">
      <w:pPr>
        <w:pStyle w:val="ListParagraph"/>
        <w:numPr>
          <w:ilvl w:val="0"/>
          <w:numId w:val="18"/>
        </w:numPr>
        <w:jc w:val="both"/>
        <w:rPr>
          <w:rFonts w:eastAsia="Calibri"/>
        </w:rPr>
      </w:pPr>
      <w:r w:rsidRPr="00036A98">
        <w:t>Registration of the vehicles in the National Vehicle Register (NVR) and timely update of the information in the register;</w:t>
      </w:r>
    </w:p>
    <w:p w:rsidR="004A0260" w:rsidRPr="00036A98" w:rsidP="00EF1E96">
      <w:pPr>
        <w:pStyle w:val="ListParagraph"/>
        <w:numPr>
          <w:ilvl w:val="0"/>
          <w:numId w:val="18"/>
        </w:numPr>
        <w:jc w:val="both"/>
        <w:rPr>
          <w:rFonts w:eastAsia="Calibri"/>
        </w:rPr>
      </w:pPr>
      <w:r w:rsidRPr="00036A98">
        <w:t>Control over the repair, maintenance and operation of the railway infrastructure, traffic and transport safety and the operating condition of the RS;</w:t>
      </w:r>
    </w:p>
    <w:p w:rsidR="004A0260" w:rsidRPr="00036A98" w:rsidP="00EF1E96">
      <w:pPr>
        <w:pStyle w:val="ListParagraph"/>
        <w:numPr>
          <w:ilvl w:val="0"/>
          <w:numId w:val="18"/>
        </w:numPr>
        <w:jc w:val="both"/>
        <w:rPr>
          <w:rFonts w:eastAsia="Calibri"/>
        </w:rPr>
      </w:pPr>
      <w:r w:rsidRPr="00036A98">
        <w:t>Controls and checks of the activities of persons authorised to assess and verify the conformity of the components and subsystems to the TSIs (NoBo) and to the national safety regulations or technical rules (DeBo).</w:t>
      </w:r>
    </w:p>
    <w:p w:rsidR="00100994" w:rsidRPr="00036A98" w:rsidP="00100994">
      <w:pPr>
        <w:pStyle w:val="ListParagraph"/>
        <w:ind w:left="720"/>
        <w:jc w:val="both"/>
        <w:rPr>
          <w:rFonts w:eastAsia="Calibri"/>
        </w:rPr>
      </w:pPr>
    </w:p>
    <w:p w:rsidR="00084411" w:rsidRPr="00036A98" w:rsidP="00EF1E96">
      <w:pPr>
        <w:pStyle w:val="Heading2"/>
        <w:numPr>
          <w:ilvl w:val="0"/>
          <w:numId w:val="7"/>
        </w:numPr>
        <w:spacing w:before="240" w:after="0"/>
        <w:ind w:left="363" w:hanging="357"/>
        <w:rPr>
          <w:rFonts w:eastAsia="Calibri"/>
          <w:spacing w:val="0"/>
        </w:rPr>
      </w:pPr>
      <w:bookmarkStart w:id="81" w:name="_Toc462235802"/>
      <w:bookmarkStart w:id="82" w:name="_Toc462754784"/>
      <w:bookmarkStart w:id="83" w:name="_Toc490231011"/>
      <w:bookmarkStart w:id="84" w:name="_Toc490231903"/>
      <w:bookmarkStart w:id="85" w:name="_Toc490232031"/>
      <w:bookmarkStart w:id="86" w:name="_Toc491352159"/>
      <w:bookmarkStart w:id="87" w:name="_Toc491788091"/>
      <w:bookmarkStart w:id="88" w:name="_Toc491789281"/>
      <w:bookmarkStart w:id="89" w:name="_Toc491791278"/>
      <w:bookmarkStart w:id="90" w:name="_Toc525214758"/>
      <w:r w:rsidRPr="00036A98">
        <w:t>Development of safety</w:t>
      </w:r>
      <w:bookmarkEnd w:id="81"/>
      <w:bookmarkEnd w:id="82"/>
      <w:bookmarkEnd w:id="83"/>
      <w:bookmarkEnd w:id="84"/>
      <w:bookmarkEnd w:id="85"/>
      <w:bookmarkEnd w:id="86"/>
      <w:bookmarkEnd w:id="87"/>
      <w:bookmarkEnd w:id="88"/>
      <w:bookmarkEnd w:id="89"/>
      <w:bookmarkEnd w:id="90"/>
    </w:p>
    <w:p w:rsidR="00084411" w:rsidRPr="00036A98" w:rsidP="00EF1E96">
      <w:pPr>
        <w:pStyle w:val="Heading1"/>
        <w:numPr>
          <w:ilvl w:val="0"/>
          <w:numId w:val="9"/>
        </w:numPr>
        <w:spacing w:before="0"/>
        <w:ind w:hanging="357"/>
        <w:rPr>
          <w:rFonts w:eastAsia="Calibri"/>
        </w:rPr>
      </w:pPr>
      <w:bookmarkStart w:id="91" w:name="_Toc462235803"/>
      <w:bookmarkStart w:id="92" w:name="_Toc462754785"/>
      <w:bookmarkStart w:id="93" w:name="_Toc490231012"/>
      <w:bookmarkStart w:id="94" w:name="_Toc490231904"/>
      <w:bookmarkStart w:id="95" w:name="_Toc490232032"/>
      <w:bookmarkStart w:id="96" w:name="_Toc491352160"/>
      <w:bookmarkStart w:id="97" w:name="_Toc491788092"/>
      <w:bookmarkStart w:id="98" w:name="_Toc491789282"/>
      <w:bookmarkStart w:id="99" w:name="_Toc491791279"/>
      <w:bookmarkStart w:id="100" w:name="_Toc525214759"/>
      <w:r w:rsidRPr="00036A98">
        <w:t>Detailed Analysis of the Latest Recorded Trends</w:t>
      </w:r>
      <w:bookmarkEnd w:id="91"/>
      <w:bookmarkEnd w:id="92"/>
      <w:bookmarkEnd w:id="93"/>
      <w:bookmarkEnd w:id="94"/>
      <w:bookmarkEnd w:id="95"/>
      <w:bookmarkEnd w:id="96"/>
      <w:bookmarkEnd w:id="97"/>
      <w:bookmarkEnd w:id="98"/>
      <w:bookmarkEnd w:id="99"/>
      <w:bookmarkEnd w:id="100"/>
    </w:p>
    <w:p w:rsidR="00FA1082" w:rsidRPr="00036A98" w:rsidP="007B2924">
      <w:pPr>
        <w:ind w:firstLine="357"/>
        <w:jc w:val="both"/>
        <w:rPr>
          <w:rFonts w:eastAsia="Calibri"/>
          <w:b/>
          <w:noProof w:val="0"/>
        </w:rPr>
      </w:pPr>
      <w:r w:rsidRPr="00036A98">
        <w:rPr>
          <w:b/>
          <w:noProof w:val="0"/>
        </w:rPr>
        <w:t xml:space="preserve">Analysis of the data of the Common Safety Indicators </w:t>
      </w:r>
      <w:r w:rsidRPr="00036A98">
        <w:t>(</w:t>
      </w:r>
      <w:r w:rsidRPr="00036A98">
        <w:rPr>
          <w:i/>
          <w:noProof w:val="0"/>
        </w:rPr>
        <w:t xml:space="preserve">see </w:t>
      </w:r>
      <w:r w:rsidRPr="00036A98">
        <w:rPr>
          <w:i/>
          <w:noProof w:val="0"/>
        </w:rPr>
        <w:t>also</w:t>
      </w:r>
      <w:r w:rsidRPr="00036A98">
        <w:rPr>
          <w:b/>
          <w:i/>
          <w:noProof w:val="0"/>
          <w:sz w:val="22"/>
        </w:rPr>
        <w:t>Annex</w:t>
      </w:r>
      <w:r w:rsidRPr="00036A98">
        <w:rPr>
          <w:b/>
          <w:i/>
          <w:noProof w:val="0"/>
          <w:sz w:val="22"/>
        </w:rPr>
        <w:t> A</w:t>
      </w:r>
      <w:r w:rsidRPr="00036A98">
        <w:t>).</w:t>
      </w:r>
    </w:p>
    <w:p w:rsidR="00745066" w:rsidRPr="00036A98" w:rsidP="00EF1E96">
      <w:pPr>
        <w:pStyle w:val="ListParagraph"/>
        <w:numPr>
          <w:ilvl w:val="0"/>
          <w:numId w:val="4"/>
        </w:numPr>
        <w:ind w:left="714" w:hanging="357"/>
        <w:jc w:val="both"/>
        <w:rPr>
          <w:rFonts w:eastAsia="Calibri"/>
          <w:noProof w:val="0"/>
          <w:u w:val="single"/>
        </w:rPr>
      </w:pPr>
      <w:r w:rsidRPr="00036A98">
        <w:rPr>
          <w:noProof w:val="0"/>
          <w:u w:val="single"/>
        </w:rPr>
        <w:t>Safety indicators related to accidents, persons killed and seriously injured:</w:t>
      </w:r>
    </w:p>
    <w:p w:rsidR="008E0B3E" w:rsidRPr="00036A98" w:rsidP="007B2924">
      <w:pPr>
        <w:ind w:firstLine="357"/>
        <w:jc w:val="both"/>
        <w:rPr>
          <w:rFonts w:eastAsia="Calibri"/>
          <w:noProof w:val="0"/>
        </w:rPr>
      </w:pPr>
      <w:r>
        <w:tab/>
        <w:t xml:space="preserve">The values </w:t>
      </w:r>
      <w:r w:rsidRPr="00036A98">
        <w:t>of the safety indicators related to railway accidents, persons killed and seriously injured are provided in the table below, for the 2013–2017 period:</w:t>
      </w:r>
    </w:p>
    <w:p w:rsidR="005E0F91" w:rsidRPr="00036A98" w:rsidP="00083AA5">
      <w:pPr>
        <w:pStyle w:val="Caption"/>
        <w:keepNext/>
        <w:spacing w:before="120" w:after="120"/>
        <w:jc w:val="center"/>
        <w:rPr>
          <w:b w:val="0"/>
          <w:color w:val="000000" w:themeColor="text1"/>
          <w:sz w:val="16"/>
        </w:rPr>
      </w:pPr>
      <w:r w:rsidRPr="00036A98">
        <w:rPr>
          <w:color w:val="000000" w:themeColor="text1"/>
          <w:sz w:val="16"/>
        </w:rPr>
        <w:t xml:space="preserve">Table </w:t>
      </w:r>
      <w:r w:rsidRPr="00036A98">
        <w:rPr>
          <w:color w:val="000000" w:themeColor="text1"/>
          <w:sz w:val="16"/>
        </w:rPr>
        <w:fldChar w:fldCharType="begin"/>
      </w:r>
      <w:r w:rsidRPr="00036A98">
        <w:rPr>
          <w:color w:val="000000" w:themeColor="text1"/>
          <w:sz w:val="16"/>
        </w:rPr>
        <w:instrText xml:space="preserve"> SEQ таблица \* ARABIC </w:instrText>
      </w:r>
      <w:r w:rsidRPr="00036A98">
        <w:rPr>
          <w:color w:val="000000" w:themeColor="text1"/>
          <w:sz w:val="16"/>
        </w:rPr>
        <w:fldChar w:fldCharType="separate"/>
      </w:r>
      <w:r w:rsidRPr="00036A98" w:rsidR="00FE2542">
        <w:rPr>
          <w:color w:val="000000" w:themeColor="text1"/>
          <w:sz w:val="16"/>
        </w:rPr>
        <w:t>2</w:t>
      </w:r>
      <w:r w:rsidRPr="00036A98">
        <w:rPr>
          <w:color w:val="000000" w:themeColor="text1"/>
          <w:sz w:val="16"/>
        </w:rPr>
        <w:fldChar w:fldCharType="end"/>
      </w:r>
      <w:r w:rsidRPr="00036A98">
        <w:rPr>
          <w:b w:val="0"/>
          <w:color w:val="000000" w:themeColor="text1"/>
          <w:sz w:val="16"/>
        </w:rPr>
        <w:t>: Data on the common safety indicators for Bulgaria, in the 2013–2017 period</w:t>
      </w:r>
    </w:p>
    <w:tbl>
      <w:tblPr>
        <w:tblStyle w:val="TableGrid"/>
        <w:tblW w:w="5000" w:type="pct"/>
        <w:tblLook w:val="04A0"/>
      </w:tblPr>
      <w:tblGrid>
        <w:gridCol w:w="1154"/>
        <w:gridCol w:w="2140"/>
        <w:gridCol w:w="2140"/>
        <w:gridCol w:w="2140"/>
        <w:gridCol w:w="2055"/>
      </w:tblGrid>
      <w:tr w:rsidTr="004E289D">
        <w:tblPrEx>
          <w:tblW w:w="5000" w:type="pct"/>
          <w:tblLook w:val="04A0"/>
        </w:tblPrEx>
        <w:trPr>
          <w:trHeight w:val="641"/>
        </w:trPr>
        <w:tc>
          <w:tcPr>
            <w:tcW w:w="600" w:type="pct"/>
            <w:hideMark/>
          </w:tcPr>
          <w:p w:rsidR="002627FF" w:rsidRPr="00036A98" w:rsidP="007B2924">
            <w:pPr>
              <w:ind w:left="-71" w:hanging="5"/>
              <w:jc w:val="center"/>
              <w:rPr>
                <w:b/>
                <w:noProof w:val="0"/>
                <w:sz w:val="20"/>
                <w:szCs w:val="20"/>
              </w:rPr>
            </w:pPr>
            <w:r w:rsidRPr="00036A98">
              <w:rPr>
                <w:noProof w:val="0"/>
                <w:sz w:val="20"/>
              </w:rPr>
              <w:t>Year</w:t>
            </w:r>
          </w:p>
        </w:tc>
        <w:tc>
          <w:tcPr>
            <w:tcW w:w="1111" w:type="pct"/>
          </w:tcPr>
          <w:p w:rsidR="002627FF" w:rsidRPr="00036A98" w:rsidP="007B2924">
            <w:pPr>
              <w:jc w:val="center"/>
              <w:rPr>
                <w:b/>
                <w:noProof w:val="0"/>
                <w:sz w:val="20"/>
                <w:szCs w:val="20"/>
              </w:rPr>
            </w:pPr>
            <w:r w:rsidRPr="00036A98">
              <w:rPr>
                <w:noProof w:val="0"/>
                <w:sz w:val="20"/>
              </w:rPr>
              <w:t>Total number of accidents</w:t>
            </w:r>
          </w:p>
        </w:tc>
        <w:tc>
          <w:tcPr>
            <w:tcW w:w="1111" w:type="pct"/>
            <w:hideMark/>
          </w:tcPr>
          <w:p w:rsidR="002627FF" w:rsidRPr="00036A98" w:rsidP="007B2924">
            <w:pPr>
              <w:jc w:val="center"/>
              <w:rPr>
                <w:b/>
                <w:noProof w:val="0"/>
                <w:sz w:val="20"/>
                <w:szCs w:val="20"/>
              </w:rPr>
            </w:pPr>
            <w:r w:rsidRPr="00036A98">
              <w:rPr>
                <w:noProof w:val="0"/>
                <w:sz w:val="20"/>
              </w:rPr>
              <w:t>Total number of ‘significant’ accidents</w:t>
            </w:r>
          </w:p>
        </w:tc>
        <w:tc>
          <w:tcPr>
            <w:tcW w:w="1111" w:type="pct"/>
            <w:hideMark/>
          </w:tcPr>
          <w:p w:rsidR="00C50C74" w:rsidRPr="00036A98" w:rsidP="007B2924">
            <w:pPr>
              <w:jc w:val="center"/>
              <w:rPr>
                <w:b/>
                <w:noProof w:val="0"/>
                <w:sz w:val="20"/>
                <w:szCs w:val="20"/>
              </w:rPr>
            </w:pPr>
            <w:r w:rsidRPr="00036A98">
              <w:rPr>
                <w:noProof w:val="0"/>
                <w:sz w:val="20"/>
              </w:rPr>
              <w:t>Total number of</w:t>
            </w:r>
          </w:p>
          <w:p w:rsidR="002627FF" w:rsidRPr="00036A98" w:rsidP="007B2924">
            <w:pPr>
              <w:jc w:val="center"/>
              <w:rPr>
                <w:b/>
                <w:noProof w:val="0"/>
                <w:sz w:val="20"/>
                <w:szCs w:val="20"/>
              </w:rPr>
            </w:pPr>
            <w:r w:rsidRPr="00036A98">
              <w:rPr>
                <w:noProof w:val="0"/>
                <w:sz w:val="20"/>
              </w:rPr>
              <w:t>killed persons</w:t>
            </w:r>
          </w:p>
        </w:tc>
        <w:tc>
          <w:tcPr>
            <w:tcW w:w="1067" w:type="pct"/>
            <w:hideMark/>
          </w:tcPr>
          <w:p w:rsidR="002627FF" w:rsidRPr="00036A98" w:rsidP="007B2924">
            <w:pPr>
              <w:jc w:val="center"/>
              <w:rPr>
                <w:b/>
                <w:noProof w:val="0"/>
                <w:sz w:val="20"/>
                <w:szCs w:val="20"/>
              </w:rPr>
            </w:pPr>
            <w:r w:rsidRPr="00036A98">
              <w:rPr>
                <w:noProof w:val="0"/>
                <w:sz w:val="20"/>
              </w:rPr>
              <w:t>Total number of seriously injured persons</w:t>
            </w:r>
          </w:p>
        </w:tc>
      </w:tr>
      <w:tr w:rsidTr="004E289D">
        <w:tblPrEx>
          <w:tblW w:w="5000" w:type="pct"/>
          <w:tblLook w:val="04A0"/>
        </w:tblPrEx>
        <w:trPr>
          <w:trHeight w:val="330"/>
        </w:trPr>
        <w:tc>
          <w:tcPr>
            <w:tcW w:w="600" w:type="pct"/>
            <w:noWrap/>
            <w:hideMark/>
          </w:tcPr>
          <w:p w:rsidR="002627FF" w:rsidRPr="00036A98" w:rsidP="007B2924">
            <w:pPr>
              <w:jc w:val="center"/>
              <w:rPr>
                <w:noProof w:val="0"/>
                <w:sz w:val="20"/>
                <w:szCs w:val="20"/>
              </w:rPr>
            </w:pPr>
            <w:r w:rsidRPr="00036A98">
              <w:rPr>
                <w:noProof w:val="0"/>
                <w:sz w:val="20"/>
              </w:rPr>
              <w:t>2013</w:t>
            </w:r>
          </w:p>
        </w:tc>
        <w:tc>
          <w:tcPr>
            <w:tcW w:w="1111" w:type="pct"/>
          </w:tcPr>
          <w:p w:rsidR="002627FF" w:rsidRPr="00036A98" w:rsidP="007B2924">
            <w:pPr>
              <w:jc w:val="center"/>
              <w:rPr>
                <w:noProof w:val="0"/>
                <w:sz w:val="20"/>
                <w:szCs w:val="20"/>
              </w:rPr>
            </w:pPr>
            <w:r w:rsidRPr="00036A98">
              <w:rPr>
                <w:noProof w:val="0"/>
                <w:sz w:val="20"/>
              </w:rPr>
              <w:t>266</w:t>
            </w:r>
          </w:p>
        </w:tc>
        <w:tc>
          <w:tcPr>
            <w:tcW w:w="1111" w:type="pct"/>
            <w:noWrap/>
            <w:hideMark/>
          </w:tcPr>
          <w:p w:rsidR="002627FF" w:rsidRPr="00036A98" w:rsidP="007B2924">
            <w:pPr>
              <w:jc w:val="center"/>
              <w:rPr>
                <w:noProof w:val="0"/>
                <w:sz w:val="20"/>
                <w:szCs w:val="20"/>
              </w:rPr>
            </w:pPr>
            <w:r w:rsidRPr="00036A98">
              <w:rPr>
                <w:noProof w:val="0"/>
                <w:sz w:val="20"/>
              </w:rPr>
              <w:t>33</w:t>
            </w:r>
          </w:p>
        </w:tc>
        <w:tc>
          <w:tcPr>
            <w:tcW w:w="1111" w:type="pct"/>
            <w:noWrap/>
            <w:hideMark/>
          </w:tcPr>
          <w:p w:rsidR="002627FF" w:rsidRPr="00036A98" w:rsidP="007B2924">
            <w:pPr>
              <w:jc w:val="center"/>
              <w:rPr>
                <w:noProof w:val="0"/>
                <w:sz w:val="20"/>
                <w:szCs w:val="20"/>
              </w:rPr>
            </w:pPr>
            <w:r w:rsidRPr="00036A98">
              <w:rPr>
                <w:noProof w:val="0"/>
                <w:sz w:val="20"/>
              </w:rPr>
              <w:t>12</w:t>
            </w:r>
          </w:p>
        </w:tc>
        <w:tc>
          <w:tcPr>
            <w:tcW w:w="1067" w:type="pct"/>
            <w:noWrap/>
            <w:hideMark/>
          </w:tcPr>
          <w:p w:rsidR="002627FF" w:rsidRPr="00036A98" w:rsidP="007B2924">
            <w:pPr>
              <w:jc w:val="center"/>
              <w:rPr>
                <w:noProof w:val="0"/>
                <w:sz w:val="20"/>
                <w:szCs w:val="20"/>
              </w:rPr>
            </w:pPr>
            <w:r w:rsidRPr="00036A98">
              <w:rPr>
                <w:noProof w:val="0"/>
                <w:sz w:val="20"/>
              </w:rPr>
              <w:t>21</w:t>
            </w:r>
          </w:p>
        </w:tc>
      </w:tr>
      <w:tr w:rsidTr="004E289D">
        <w:tblPrEx>
          <w:tblW w:w="5000" w:type="pct"/>
          <w:tblLook w:val="04A0"/>
        </w:tblPrEx>
        <w:trPr>
          <w:trHeight w:val="330"/>
        </w:trPr>
        <w:tc>
          <w:tcPr>
            <w:tcW w:w="600" w:type="pct"/>
            <w:noWrap/>
            <w:hideMark/>
          </w:tcPr>
          <w:p w:rsidR="002627FF" w:rsidRPr="00036A98" w:rsidP="007B2924">
            <w:pPr>
              <w:jc w:val="center"/>
              <w:rPr>
                <w:noProof w:val="0"/>
                <w:sz w:val="20"/>
                <w:szCs w:val="20"/>
              </w:rPr>
            </w:pPr>
            <w:r w:rsidRPr="00036A98">
              <w:rPr>
                <w:noProof w:val="0"/>
                <w:sz w:val="20"/>
              </w:rPr>
              <w:t>2014</w:t>
            </w:r>
          </w:p>
        </w:tc>
        <w:tc>
          <w:tcPr>
            <w:tcW w:w="1111" w:type="pct"/>
          </w:tcPr>
          <w:p w:rsidR="002627FF" w:rsidRPr="00036A98" w:rsidP="007B2924">
            <w:pPr>
              <w:jc w:val="center"/>
              <w:rPr>
                <w:noProof w:val="0"/>
                <w:sz w:val="20"/>
                <w:szCs w:val="20"/>
              </w:rPr>
            </w:pPr>
            <w:r w:rsidRPr="00036A98">
              <w:rPr>
                <w:noProof w:val="0"/>
                <w:sz w:val="20"/>
              </w:rPr>
              <w:t>304</w:t>
            </w:r>
          </w:p>
        </w:tc>
        <w:tc>
          <w:tcPr>
            <w:tcW w:w="1111" w:type="pct"/>
            <w:noWrap/>
            <w:hideMark/>
          </w:tcPr>
          <w:p w:rsidR="002627FF" w:rsidRPr="00036A98" w:rsidP="007B2924">
            <w:pPr>
              <w:jc w:val="center"/>
              <w:rPr>
                <w:noProof w:val="0"/>
                <w:sz w:val="20"/>
                <w:szCs w:val="20"/>
              </w:rPr>
            </w:pPr>
            <w:r w:rsidRPr="00036A98">
              <w:rPr>
                <w:noProof w:val="0"/>
                <w:sz w:val="20"/>
              </w:rPr>
              <w:t>58</w:t>
            </w:r>
          </w:p>
        </w:tc>
        <w:tc>
          <w:tcPr>
            <w:tcW w:w="1111" w:type="pct"/>
            <w:noWrap/>
            <w:hideMark/>
          </w:tcPr>
          <w:p w:rsidR="002627FF" w:rsidRPr="00036A98" w:rsidP="007B2924">
            <w:pPr>
              <w:jc w:val="center"/>
              <w:rPr>
                <w:noProof w:val="0"/>
                <w:sz w:val="20"/>
                <w:szCs w:val="20"/>
              </w:rPr>
            </w:pPr>
            <w:r w:rsidRPr="00036A98">
              <w:rPr>
                <w:noProof w:val="0"/>
                <w:sz w:val="20"/>
              </w:rPr>
              <w:t>26</w:t>
            </w:r>
          </w:p>
        </w:tc>
        <w:tc>
          <w:tcPr>
            <w:tcW w:w="1067" w:type="pct"/>
            <w:noWrap/>
            <w:hideMark/>
          </w:tcPr>
          <w:p w:rsidR="002627FF" w:rsidRPr="00036A98" w:rsidP="007B2924">
            <w:pPr>
              <w:jc w:val="center"/>
              <w:rPr>
                <w:noProof w:val="0"/>
                <w:sz w:val="20"/>
                <w:szCs w:val="20"/>
              </w:rPr>
            </w:pPr>
            <w:r w:rsidRPr="00036A98">
              <w:rPr>
                <w:noProof w:val="0"/>
                <w:sz w:val="20"/>
              </w:rPr>
              <w:t>45</w:t>
            </w:r>
          </w:p>
        </w:tc>
      </w:tr>
      <w:tr w:rsidTr="004E289D">
        <w:tblPrEx>
          <w:tblW w:w="5000" w:type="pct"/>
          <w:tblLook w:val="04A0"/>
        </w:tblPrEx>
        <w:trPr>
          <w:trHeight w:val="330"/>
        </w:trPr>
        <w:tc>
          <w:tcPr>
            <w:tcW w:w="600" w:type="pct"/>
            <w:noWrap/>
            <w:hideMark/>
          </w:tcPr>
          <w:p w:rsidR="002627FF" w:rsidRPr="00036A98" w:rsidP="007B2924">
            <w:pPr>
              <w:jc w:val="center"/>
              <w:rPr>
                <w:noProof w:val="0"/>
                <w:sz w:val="20"/>
                <w:szCs w:val="20"/>
              </w:rPr>
            </w:pPr>
            <w:r w:rsidRPr="00036A98">
              <w:rPr>
                <w:noProof w:val="0"/>
                <w:sz w:val="20"/>
              </w:rPr>
              <w:t>2015</w:t>
            </w:r>
          </w:p>
        </w:tc>
        <w:tc>
          <w:tcPr>
            <w:tcW w:w="1111" w:type="pct"/>
          </w:tcPr>
          <w:p w:rsidR="002627FF" w:rsidRPr="00036A98" w:rsidP="007B2924">
            <w:pPr>
              <w:jc w:val="center"/>
              <w:rPr>
                <w:noProof w:val="0"/>
                <w:sz w:val="20"/>
                <w:szCs w:val="20"/>
              </w:rPr>
            </w:pPr>
            <w:r w:rsidRPr="00036A98">
              <w:rPr>
                <w:noProof w:val="0"/>
                <w:sz w:val="20"/>
              </w:rPr>
              <w:t>305</w:t>
            </w:r>
          </w:p>
        </w:tc>
        <w:tc>
          <w:tcPr>
            <w:tcW w:w="1111" w:type="pct"/>
            <w:noWrap/>
            <w:hideMark/>
          </w:tcPr>
          <w:p w:rsidR="002627FF" w:rsidRPr="00036A98" w:rsidP="007B2924">
            <w:pPr>
              <w:jc w:val="center"/>
              <w:rPr>
                <w:noProof w:val="0"/>
                <w:sz w:val="20"/>
                <w:szCs w:val="20"/>
              </w:rPr>
            </w:pPr>
            <w:r w:rsidRPr="00036A98">
              <w:rPr>
                <w:noProof w:val="0"/>
                <w:sz w:val="20"/>
              </w:rPr>
              <w:t>48</w:t>
            </w:r>
          </w:p>
        </w:tc>
        <w:tc>
          <w:tcPr>
            <w:tcW w:w="1111" w:type="pct"/>
            <w:noWrap/>
            <w:hideMark/>
          </w:tcPr>
          <w:p w:rsidR="002627FF" w:rsidRPr="00036A98" w:rsidP="007B2924">
            <w:pPr>
              <w:jc w:val="center"/>
              <w:rPr>
                <w:noProof w:val="0"/>
                <w:sz w:val="20"/>
                <w:szCs w:val="20"/>
              </w:rPr>
            </w:pPr>
            <w:r w:rsidRPr="00036A98">
              <w:rPr>
                <w:noProof w:val="0"/>
                <w:sz w:val="20"/>
              </w:rPr>
              <w:t>20</w:t>
            </w:r>
          </w:p>
        </w:tc>
        <w:tc>
          <w:tcPr>
            <w:tcW w:w="1067" w:type="pct"/>
            <w:noWrap/>
            <w:hideMark/>
          </w:tcPr>
          <w:p w:rsidR="002627FF" w:rsidRPr="00036A98" w:rsidP="007B2924">
            <w:pPr>
              <w:jc w:val="center"/>
              <w:rPr>
                <w:noProof w:val="0"/>
                <w:sz w:val="20"/>
                <w:szCs w:val="20"/>
              </w:rPr>
            </w:pPr>
            <w:r w:rsidRPr="00036A98">
              <w:rPr>
                <w:noProof w:val="0"/>
                <w:sz w:val="20"/>
              </w:rPr>
              <w:t>24</w:t>
            </w:r>
          </w:p>
        </w:tc>
      </w:tr>
      <w:tr w:rsidTr="004E289D">
        <w:tblPrEx>
          <w:tblW w:w="5000" w:type="pct"/>
          <w:tblLook w:val="04A0"/>
        </w:tblPrEx>
        <w:trPr>
          <w:trHeight w:val="330"/>
        </w:trPr>
        <w:tc>
          <w:tcPr>
            <w:tcW w:w="600" w:type="pct"/>
            <w:noWrap/>
          </w:tcPr>
          <w:p w:rsidR="00D0236C" w:rsidRPr="00036A98" w:rsidP="007B2924">
            <w:pPr>
              <w:jc w:val="center"/>
              <w:rPr>
                <w:noProof w:val="0"/>
                <w:sz w:val="20"/>
                <w:szCs w:val="20"/>
              </w:rPr>
            </w:pPr>
            <w:r w:rsidRPr="00036A98">
              <w:rPr>
                <w:noProof w:val="0"/>
                <w:sz w:val="20"/>
              </w:rPr>
              <w:t>2016</w:t>
            </w:r>
          </w:p>
        </w:tc>
        <w:tc>
          <w:tcPr>
            <w:tcW w:w="1111" w:type="pct"/>
          </w:tcPr>
          <w:p w:rsidR="00D0236C" w:rsidRPr="00036A98" w:rsidP="007B2924">
            <w:pPr>
              <w:jc w:val="center"/>
              <w:rPr>
                <w:noProof w:val="0"/>
                <w:sz w:val="20"/>
                <w:szCs w:val="20"/>
              </w:rPr>
            </w:pPr>
            <w:r w:rsidRPr="00036A98">
              <w:rPr>
                <w:noProof w:val="0"/>
                <w:sz w:val="20"/>
              </w:rPr>
              <w:t>327</w:t>
            </w:r>
          </w:p>
        </w:tc>
        <w:tc>
          <w:tcPr>
            <w:tcW w:w="1111" w:type="pct"/>
            <w:noWrap/>
          </w:tcPr>
          <w:p w:rsidR="00D0236C" w:rsidRPr="00036A98" w:rsidP="007B2924">
            <w:pPr>
              <w:jc w:val="center"/>
              <w:rPr>
                <w:noProof w:val="0"/>
                <w:sz w:val="20"/>
                <w:szCs w:val="20"/>
              </w:rPr>
            </w:pPr>
            <w:r w:rsidRPr="00036A98">
              <w:rPr>
                <w:noProof w:val="0"/>
                <w:sz w:val="20"/>
              </w:rPr>
              <w:t>40</w:t>
            </w:r>
          </w:p>
        </w:tc>
        <w:tc>
          <w:tcPr>
            <w:tcW w:w="1111" w:type="pct"/>
            <w:noWrap/>
          </w:tcPr>
          <w:p w:rsidR="00D0236C" w:rsidRPr="00036A98" w:rsidP="007B2924">
            <w:pPr>
              <w:jc w:val="center"/>
              <w:rPr>
                <w:noProof w:val="0"/>
                <w:sz w:val="20"/>
                <w:szCs w:val="20"/>
              </w:rPr>
            </w:pPr>
            <w:r w:rsidRPr="00036A98">
              <w:rPr>
                <w:noProof w:val="0"/>
                <w:sz w:val="20"/>
              </w:rPr>
              <w:t>22</w:t>
            </w:r>
          </w:p>
        </w:tc>
        <w:tc>
          <w:tcPr>
            <w:tcW w:w="1067" w:type="pct"/>
            <w:noWrap/>
          </w:tcPr>
          <w:p w:rsidR="00D0236C" w:rsidRPr="00036A98" w:rsidP="007B2924">
            <w:pPr>
              <w:jc w:val="center"/>
              <w:rPr>
                <w:noProof w:val="0"/>
                <w:sz w:val="20"/>
                <w:szCs w:val="20"/>
              </w:rPr>
            </w:pPr>
            <w:r w:rsidRPr="00036A98">
              <w:rPr>
                <w:noProof w:val="0"/>
                <w:sz w:val="20"/>
              </w:rPr>
              <w:t>32</w:t>
            </w:r>
          </w:p>
        </w:tc>
      </w:tr>
      <w:tr w:rsidTr="004E289D">
        <w:tblPrEx>
          <w:tblW w:w="5000" w:type="pct"/>
          <w:tblLook w:val="04A0"/>
        </w:tblPrEx>
        <w:trPr>
          <w:trHeight w:val="330"/>
        </w:trPr>
        <w:tc>
          <w:tcPr>
            <w:tcW w:w="600" w:type="pct"/>
            <w:noWrap/>
          </w:tcPr>
          <w:p w:rsidR="003D254D" w:rsidRPr="00036A98" w:rsidP="007B2924">
            <w:pPr>
              <w:jc w:val="center"/>
              <w:rPr>
                <w:noProof w:val="0"/>
                <w:sz w:val="20"/>
                <w:szCs w:val="20"/>
              </w:rPr>
            </w:pPr>
            <w:r w:rsidRPr="00036A98">
              <w:rPr>
                <w:noProof w:val="0"/>
                <w:sz w:val="20"/>
              </w:rPr>
              <w:t>2017</w:t>
            </w:r>
          </w:p>
        </w:tc>
        <w:tc>
          <w:tcPr>
            <w:tcW w:w="1111" w:type="pct"/>
          </w:tcPr>
          <w:p w:rsidR="003D254D" w:rsidRPr="00036A98" w:rsidP="007B2924">
            <w:pPr>
              <w:jc w:val="center"/>
              <w:rPr>
                <w:noProof w:val="0"/>
                <w:sz w:val="20"/>
                <w:szCs w:val="20"/>
              </w:rPr>
            </w:pPr>
            <w:r w:rsidRPr="00036A98">
              <w:rPr>
                <w:noProof w:val="0"/>
                <w:sz w:val="20"/>
              </w:rPr>
              <w:t>351</w:t>
            </w:r>
          </w:p>
        </w:tc>
        <w:tc>
          <w:tcPr>
            <w:tcW w:w="1111" w:type="pct"/>
            <w:noWrap/>
          </w:tcPr>
          <w:p w:rsidR="003D254D" w:rsidRPr="00036A98" w:rsidP="007B2924">
            <w:pPr>
              <w:jc w:val="center"/>
              <w:rPr>
                <w:noProof w:val="0"/>
                <w:sz w:val="20"/>
                <w:szCs w:val="20"/>
              </w:rPr>
            </w:pPr>
            <w:r w:rsidRPr="00036A98">
              <w:rPr>
                <w:noProof w:val="0"/>
                <w:sz w:val="20"/>
              </w:rPr>
              <w:t>47</w:t>
            </w:r>
          </w:p>
        </w:tc>
        <w:tc>
          <w:tcPr>
            <w:tcW w:w="1111" w:type="pct"/>
            <w:noWrap/>
          </w:tcPr>
          <w:p w:rsidR="003D254D" w:rsidRPr="00036A98" w:rsidP="007B2924">
            <w:pPr>
              <w:jc w:val="center"/>
              <w:rPr>
                <w:noProof w:val="0"/>
                <w:sz w:val="20"/>
                <w:szCs w:val="20"/>
              </w:rPr>
            </w:pPr>
            <w:r w:rsidRPr="00036A98">
              <w:rPr>
                <w:noProof w:val="0"/>
                <w:sz w:val="20"/>
              </w:rPr>
              <w:t>16</w:t>
            </w:r>
          </w:p>
        </w:tc>
        <w:tc>
          <w:tcPr>
            <w:tcW w:w="1067" w:type="pct"/>
            <w:noWrap/>
          </w:tcPr>
          <w:p w:rsidR="003D254D" w:rsidRPr="00036A98" w:rsidP="007B2924">
            <w:pPr>
              <w:jc w:val="center"/>
              <w:rPr>
                <w:noProof w:val="0"/>
                <w:sz w:val="20"/>
                <w:szCs w:val="20"/>
              </w:rPr>
            </w:pPr>
            <w:r w:rsidRPr="00036A98">
              <w:rPr>
                <w:noProof w:val="0"/>
                <w:sz w:val="20"/>
              </w:rPr>
              <w:t>28</w:t>
            </w:r>
          </w:p>
        </w:tc>
      </w:tr>
    </w:tbl>
    <w:p w:rsidR="003A16EF" w:rsidRPr="00036A98" w:rsidP="007B2924">
      <w:pPr>
        <w:ind w:right="142" w:firstLine="709"/>
        <w:jc w:val="both"/>
        <w:rPr>
          <w:noProof w:val="0"/>
          <w:szCs w:val="20"/>
        </w:rPr>
      </w:pPr>
      <w:r w:rsidRPr="00036A98">
        <w:t>Table 3 below shows the total number of railway, including ‘significant’, accidents registered in 2017, in Bulgaria:</w:t>
      </w:r>
    </w:p>
    <w:p w:rsidR="005E0F91" w:rsidRPr="00036A98" w:rsidP="00083AA5">
      <w:pPr>
        <w:pStyle w:val="Caption"/>
        <w:keepNext/>
        <w:spacing w:before="120" w:after="120"/>
        <w:jc w:val="center"/>
        <w:rPr>
          <w:color w:val="000000" w:themeColor="text1"/>
          <w:sz w:val="16"/>
        </w:rPr>
      </w:pPr>
      <w:r w:rsidRPr="00036A98">
        <w:rPr>
          <w:color w:val="000000" w:themeColor="text1"/>
          <w:sz w:val="16"/>
        </w:rPr>
        <w:t xml:space="preserve">Table </w:t>
      </w:r>
      <w:r w:rsidRPr="00036A98">
        <w:rPr>
          <w:color w:val="000000" w:themeColor="text1"/>
          <w:sz w:val="16"/>
        </w:rPr>
        <w:fldChar w:fldCharType="begin"/>
      </w:r>
      <w:r w:rsidRPr="00036A98">
        <w:rPr>
          <w:color w:val="000000" w:themeColor="text1"/>
          <w:sz w:val="16"/>
        </w:rPr>
        <w:instrText xml:space="preserve"> SEQ таблица \* ARABIC </w:instrText>
      </w:r>
      <w:r w:rsidRPr="00036A98">
        <w:rPr>
          <w:color w:val="000000" w:themeColor="text1"/>
          <w:sz w:val="16"/>
        </w:rPr>
        <w:fldChar w:fldCharType="separate"/>
      </w:r>
      <w:r w:rsidRPr="00036A98" w:rsidR="00FE2542">
        <w:rPr>
          <w:color w:val="000000" w:themeColor="text1"/>
          <w:sz w:val="16"/>
        </w:rPr>
        <w:t>3</w:t>
      </w:r>
      <w:r w:rsidRPr="00036A98">
        <w:rPr>
          <w:color w:val="000000" w:themeColor="text1"/>
          <w:sz w:val="16"/>
        </w:rPr>
        <w:fldChar w:fldCharType="end"/>
      </w:r>
      <w:r w:rsidRPr="00036A98">
        <w:rPr>
          <w:color w:val="000000" w:themeColor="text1"/>
          <w:sz w:val="16"/>
        </w:rPr>
        <w:t xml:space="preserve">: </w:t>
      </w:r>
      <w:r w:rsidRPr="00036A98">
        <w:rPr>
          <w:b w:val="0"/>
          <w:color w:val="000000" w:themeColor="text1"/>
          <w:sz w:val="16"/>
        </w:rPr>
        <w:t>Data on the railway accidents registered in Bulgaria, in 2017 (by region and total)</w:t>
      </w:r>
    </w:p>
    <w:tbl>
      <w:tblPr>
        <w:tblStyle w:val="TableGrid"/>
        <w:tblW w:w="5000" w:type="pct"/>
        <w:tblLook w:val="04A0"/>
      </w:tblPr>
      <w:tblGrid>
        <w:gridCol w:w="3310"/>
        <w:gridCol w:w="865"/>
        <w:gridCol w:w="1007"/>
        <w:gridCol w:w="1296"/>
        <w:gridCol w:w="1583"/>
        <w:gridCol w:w="1568"/>
      </w:tblGrid>
      <w:tr w:rsidTr="004E289D">
        <w:tblPrEx>
          <w:tblW w:w="5000" w:type="pct"/>
          <w:tblLook w:val="04A0"/>
        </w:tblPrEx>
        <w:trPr>
          <w:trHeight w:val="723"/>
        </w:trPr>
        <w:tc>
          <w:tcPr>
            <w:tcW w:w="1719" w:type="pct"/>
          </w:tcPr>
          <w:p w:rsidR="00AA6640" w:rsidRPr="00036A98" w:rsidP="007B2924">
            <w:pPr>
              <w:jc w:val="center"/>
              <w:rPr>
                <w:b/>
                <w:noProof w:val="0"/>
                <w:sz w:val="20"/>
                <w:szCs w:val="20"/>
              </w:rPr>
            </w:pPr>
            <w:r w:rsidRPr="00036A98">
              <w:rPr>
                <w:noProof w:val="0"/>
                <w:sz w:val="20"/>
              </w:rPr>
              <w:t>Type of accident</w:t>
            </w:r>
          </w:p>
        </w:tc>
        <w:tc>
          <w:tcPr>
            <w:tcW w:w="449" w:type="pct"/>
          </w:tcPr>
          <w:p w:rsidR="00D0236C" w:rsidRPr="00036A98" w:rsidP="007B2924">
            <w:pPr>
              <w:jc w:val="center"/>
              <w:rPr>
                <w:b/>
                <w:noProof w:val="0"/>
                <w:sz w:val="20"/>
                <w:szCs w:val="20"/>
              </w:rPr>
            </w:pPr>
            <w:r w:rsidRPr="00036A98">
              <w:rPr>
                <w:noProof w:val="0"/>
                <w:sz w:val="20"/>
              </w:rPr>
              <w:t>Region</w:t>
            </w:r>
          </w:p>
          <w:p w:rsidR="00AA6640" w:rsidRPr="00036A98" w:rsidP="007B2924">
            <w:pPr>
              <w:jc w:val="center"/>
              <w:rPr>
                <w:b/>
                <w:noProof w:val="0"/>
                <w:sz w:val="20"/>
                <w:szCs w:val="20"/>
              </w:rPr>
            </w:pPr>
            <w:r w:rsidRPr="00036A98">
              <w:rPr>
                <w:noProof w:val="0"/>
                <w:sz w:val="20"/>
              </w:rPr>
              <w:t>Sofia</w:t>
            </w:r>
          </w:p>
        </w:tc>
        <w:tc>
          <w:tcPr>
            <w:tcW w:w="523" w:type="pct"/>
          </w:tcPr>
          <w:p w:rsidR="00AA6640" w:rsidRPr="00036A98" w:rsidP="007B2924">
            <w:pPr>
              <w:jc w:val="center"/>
              <w:rPr>
                <w:b/>
                <w:noProof w:val="0"/>
                <w:sz w:val="20"/>
                <w:szCs w:val="20"/>
              </w:rPr>
            </w:pPr>
            <w:r w:rsidRPr="00036A98">
              <w:rPr>
                <w:noProof w:val="0"/>
                <w:sz w:val="20"/>
              </w:rPr>
              <w:t>Region Plovdiv</w:t>
            </w:r>
          </w:p>
        </w:tc>
        <w:tc>
          <w:tcPr>
            <w:tcW w:w="673" w:type="pct"/>
          </w:tcPr>
          <w:p w:rsidR="00AA6640" w:rsidRPr="00036A98" w:rsidP="007B2924">
            <w:pPr>
              <w:jc w:val="center"/>
              <w:rPr>
                <w:b/>
                <w:noProof w:val="0"/>
                <w:sz w:val="20"/>
                <w:szCs w:val="20"/>
              </w:rPr>
            </w:pPr>
            <w:r w:rsidRPr="00036A98">
              <w:rPr>
                <w:noProof w:val="0"/>
                <w:sz w:val="20"/>
              </w:rPr>
              <w:t xml:space="preserve">Region </w:t>
            </w:r>
            <w:r w:rsidRPr="00036A98">
              <w:rPr>
                <w:noProof w:val="0"/>
                <w:sz w:val="20"/>
              </w:rPr>
              <w:t>Gorna</w:t>
            </w:r>
            <w:r w:rsidRPr="00036A98">
              <w:rPr>
                <w:noProof w:val="0"/>
                <w:sz w:val="20"/>
              </w:rPr>
              <w:t xml:space="preserve"> </w:t>
            </w:r>
            <w:r w:rsidRPr="00036A98">
              <w:rPr>
                <w:noProof w:val="0"/>
                <w:sz w:val="20"/>
              </w:rPr>
              <w:t>Oryahovitsa</w:t>
            </w:r>
          </w:p>
        </w:tc>
        <w:tc>
          <w:tcPr>
            <w:tcW w:w="822" w:type="pct"/>
          </w:tcPr>
          <w:p w:rsidR="00AA6640" w:rsidRPr="00036A98" w:rsidP="007B2924">
            <w:pPr>
              <w:jc w:val="center"/>
              <w:rPr>
                <w:b/>
                <w:noProof w:val="0"/>
                <w:sz w:val="20"/>
                <w:szCs w:val="20"/>
              </w:rPr>
            </w:pPr>
            <w:r w:rsidRPr="00036A98">
              <w:rPr>
                <w:noProof w:val="0"/>
                <w:sz w:val="20"/>
              </w:rPr>
              <w:t>Total number of accidents</w:t>
            </w:r>
          </w:p>
          <w:p w:rsidR="0018377B" w:rsidRPr="00036A98" w:rsidP="007B2924">
            <w:pPr>
              <w:jc w:val="center"/>
              <w:rPr>
                <w:b/>
                <w:noProof w:val="0"/>
                <w:sz w:val="20"/>
                <w:szCs w:val="20"/>
              </w:rPr>
            </w:pPr>
            <w:r w:rsidRPr="00036A98">
              <w:rPr>
                <w:noProof w:val="0"/>
                <w:sz w:val="20"/>
              </w:rPr>
              <w:t>in 2017</w:t>
            </w:r>
          </w:p>
        </w:tc>
        <w:tc>
          <w:tcPr>
            <w:tcW w:w="814" w:type="pct"/>
          </w:tcPr>
          <w:p w:rsidR="00AA6640" w:rsidRPr="00036A98" w:rsidP="007B2924">
            <w:pPr>
              <w:jc w:val="center"/>
              <w:rPr>
                <w:b/>
                <w:noProof w:val="0"/>
                <w:sz w:val="20"/>
                <w:szCs w:val="20"/>
              </w:rPr>
            </w:pPr>
            <w:r w:rsidRPr="00036A98">
              <w:rPr>
                <w:noProof w:val="0"/>
                <w:sz w:val="20"/>
              </w:rPr>
              <w:t>Significant accidents</w:t>
            </w:r>
          </w:p>
          <w:p w:rsidR="0018377B" w:rsidRPr="00036A98" w:rsidP="007B2924">
            <w:pPr>
              <w:jc w:val="center"/>
              <w:rPr>
                <w:b/>
                <w:noProof w:val="0"/>
                <w:sz w:val="20"/>
                <w:szCs w:val="20"/>
              </w:rPr>
            </w:pPr>
            <w:r w:rsidRPr="00036A98">
              <w:rPr>
                <w:noProof w:val="0"/>
                <w:sz w:val="20"/>
              </w:rPr>
              <w:t>in 2017</w:t>
            </w:r>
          </w:p>
        </w:tc>
      </w:tr>
      <w:tr w:rsidTr="004E289D">
        <w:tblPrEx>
          <w:tblW w:w="5000" w:type="pct"/>
          <w:tblLook w:val="04A0"/>
        </w:tblPrEx>
        <w:trPr>
          <w:trHeight w:val="169"/>
        </w:trPr>
        <w:tc>
          <w:tcPr>
            <w:tcW w:w="1719" w:type="pct"/>
          </w:tcPr>
          <w:p w:rsidR="00AA6640" w:rsidRPr="00036A98" w:rsidP="007B2924">
            <w:pPr>
              <w:rPr>
                <w:b/>
                <w:noProof w:val="0"/>
                <w:sz w:val="20"/>
                <w:szCs w:val="20"/>
              </w:rPr>
            </w:pPr>
            <w:r w:rsidRPr="00036A98">
              <w:rPr>
                <w:noProof w:val="0"/>
                <w:sz w:val="20"/>
              </w:rPr>
              <w:t>Collision of train with rail vehicle</w:t>
            </w:r>
          </w:p>
        </w:tc>
        <w:tc>
          <w:tcPr>
            <w:tcW w:w="449" w:type="pct"/>
          </w:tcPr>
          <w:p w:rsidR="00AA6640" w:rsidRPr="00036A98" w:rsidP="007B2924">
            <w:pPr>
              <w:jc w:val="center"/>
              <w:rPr>
                <w:noProof w:val="0"/>
                <w:sz w:val="20"/>
                <w:szCs w:val="20"/>
              </w:rPr>
            </w:pPr>
            <w:r w:rsidRPr="00036A98">
              <w:rPr>
                <w:noProof w:val="0"/>
                <w:sz w:val="20"/>
              </w:rPr>
              <w:t>1</w:t>
            </w:r>
          </w:p>
        </w:tc>
        <w:tc>
          <w:tcPr>
            <w:tcW w:w="523" w:type="pct"/>
          </w:tcPr>
          <w:p w:rsidR="00AA6640" w:rsidRPr="00036A98" w:rsidP="007B2924">
            <w:pPr>
              <w:jc w:val="center"/>
              <w:rPr>
                <w:noProof w:val="0"/>
                <w:sz w:val="20"/>
                <w:szCs w:val="20"/>
              </w:rPr>
            </w:pPr>
            <w:r w:rsidRPr="00036A98">
              <w:rPr>
                <w:noProof w:val="0"/>
                <w:sz w:val="20"/>
              </w:rPr>
              <w:t>0</w:t>
            </w:r>
          </w:p>
        </w:tc>
        <w:tc>
          <w:tcPr>
            <w:tcW w:w="673" w:type="pct"/>
          </w:tcPr>
          <w:p w:rsidR="00AA6640" w:rsidRPr="00036A98" w:rsidP="007B2924">
            <w:pPr>
              <w:jc w:val="center"/>
              <w:rPr>
                <w:noProof w:val="0"/>
                <w:sz w:val="20"/>
                <w:szCs w:val="20"/>
              </w:rPr>
            </w:pPr>
            <w:r w:rsidRPr="00036A98">
              <w:rPr>
                <w:noProof w:val="0"/>
                <w:sz w:val="20"/>
              </w:rPr>
              <w:t>2</w:t>
            </w:r>
          </w:p>
        </w:tc>
        <w:tc>
          <w:tcPr>
            <w:tcW w:w="822" w:type="pct"/>
          </w:tcPr>
          <w:p w:rsidR="00AA6640" w:rsidRPr="00036A98" w:rsidP="007B2924">
            <w:pPr>
              <w:jc w:val="center"/>
              <w:rPr>
                <w:noProof w:val="0"/>
                <w:sz w:val="20"/>
                <w:szCs w:val="20"/>
              </w:rPr>
            </w:pPr>
            <w:r w:rsidRPr="00036A98">
              <w:rPr>
                <w:noProof w:val="0"/>
                <w:sz w:val="20"/>
              </w:rPr>
              <w:t>3</w:t>
            </w:r>
          </w:p>
        </w:tc>
        <w:tc>
          <w:tcPr>
            <w:tcW w:w="814" w:type="pct"/>
          </w:tcPr>
          <w:p w:rsidR="00D20DCD" w:rsidRPr="00036A98" w:rsidP="007B2924">
            <w:pPr>
              <w:jc w:val="center"/>
              <w:rPr>
                <w:noProof w:val="0"/>
                <w:sz w:val="20"/>
                <w:szCs w:val="20"/>
              </w:rPr>
            </w:pPr>
            <w:r w:rsidRPr="00036A98">
              <w:rPr>
                <w:noProof w:val="0"/>
                <w:sz w:val="20"/>
              </w:rPr>
              <w:t>0</w:t>
            </w:r>
          </w:p>
        </w:tc>
      </w:tr>
      <w:tr w:rsidTr="004E289D">
        <w:tblPrEx>
          <w:tblW w:w="5000" w:type="pct"/>
          <w:tblLook w:val="04A0"/>
        </w:tblPrEx>
        <w:trPr>
          <w:trHeight w:val="413"/>
        </w:trPr>
        <w:tc>
          <w:tcPr>
            <w:tcW w:w="1719" w:type="pct"/>
          </w:tcPr>
          <w:p w:rsidR="00640747" w:rsidRPr="00036A98" w:rsidP="007B2924">
            <w:pPr>
              <w:rPr>
                <w:b/>
                <w:noProof w:val="0"/>
                <w:sz w:val="17"/>
                <w:szCs w:val="17"/>
              </w:rPr>
            </w:pPr>
            <w:r w:rsidRPr="00036A98">
              <w:rPr>
                <w:noProof w:val="0"/>
                <w:sz w:val="18"/>
              </w:rPr>
              <w:t xml:space="preserve">Collision of train with obstacle </w:t>
            </w:r>
            <w:r w:rsidRPr="00036A98">
              <w:rPr>
                <w:noProof w:val="0"/>
                <w:sz w:val="17"/>
              </w:rPr>
              <w:t>within the clearance gauge</w:t>
            </w:r>
          </w:p>
        </w:tc>
        <w:tc>
          <w:tcPr>
            <w:tcW w:w="449" w:type="pct"/>
          </w:tcPr>
          <w:p w:rsidR="00640747" w:rsidRPr="00036A98" w:rsidP="007B2924">
            <w:pPr>
              <w:jc w:val="center"/>
              <w:rPr>
                <w:noProof w:val="0"/>
                <w:sz w:val="20"/>
                <w:szCs w:val="20"/>
              </w:rPr>
            </w:pPr>
            <w:r w:rsidRPr="00036A98">
              <w:rPr>
                <w:noProof w:val="0"/>
                <w:sz w:val="20"/>
              </w:rPr>
              <w:t>85</w:t>
            </w:r>
          </w:p>
        </w:tc>
        <w:tc>
          <w:tcPr>
            <w:tcW w:w="523" w:type="pct"/>
          </w:tcPr>
          <w:p w:rsidR="00640747" w:rsidRPr="00036A98" w:rsidP="007B2924">
            <w:pPr>
              <w:jc w:val="center"/>
              <w:rPr>
                <w:noProof w:val="0"/>
                <w:sz w:val="20"/>
                <w:szCs w:val="20"/>
              </w:rPr>
            </w:pPr>
            <w:r w:rsidRPr="00036A98">
              <w:rPr>
                <w:noProof w:val="0"/>
                <w:sz w:val="20"/>
              </w:rPr>
              <w:t>69</w:t>
            </w:r>
          </w:p>
        </w:tc>
        <w:tc>
          <w:tcPr>
            <w:tcW w:w="673" w:type="pct"/>
          </w:tcPr>
          <w:p w:rsidR="00640747" w:rsidRPr="00036A98" w:rsidP="007B2924">
            <w:pPr>
              <w:jc w:val="center"/>
              <w:rPr>
                <w:noProof w:val="0"/>
                <w:sz w:val="20"/>
                <w:szCs w:val="20"/>
              </w:rPr>
            </w:pPr>
            <w:r w:rsidRPr="00036A98">
              <w:rPr>
                <w:noProof w:val="0"/>
                <w:sz w:val="20"/>
              </w:rPr>
              <w:t>48</w:t>
            </w:r>
          </w:p>
        </w:tc>
        <w:tc>
          <w:tcPr>
            <w:tcW w:w="822" w:type="pct"/>
          </w:tcPr>
          <w:p w:rsidR="00640747" w:rsidRPr="00036A98" w:rsidP="007B2924">
            <w:pPr>
              <w:jc w:val="center"/>
              <w:rPr>
                <w:noProof w:val="0"/>
                <w:sz w:val="20"/>
                <w:szCs w:val="20"/>
              </w:rPr>
            </w:pPr>
            <w:r w:rsidRPr="00036A98">
              <w:rPr>
                <w:noProof w:val="0"/>
                <w:sz w:val="20"/>
              </w:rPr>
              <w:t>202</w:t>
            </w:r>
          </w:p>
        </w:tc>
        <w:tc>
          <w:tcPr>
            <w:tcW w:w="814" w:type="pct"/>
          </w:tcPr>
          <w:p w:rsidR="00640747" w:rsidRPr="00036A98" w:rsidP="007B2924">
            <w:pPr>
              <w:jc w:val="center"/>
              <w:rPr>
                <w:noProof w:val="0"/>
                <w:sz w:val="20"/>
                <w:szCs w:val="20"/>
              </w:rPr>
            </w:pPr>
            <w:r w:rsidRPr="00036A98">
              <w:rPr>
                <w:noProof w:val="0"/>
                <w:sz w:val="20"/>
              </w:rPr>
              <w:t>1</w:t>
            </w:r>
          </w:p>
        </w:tc>
      </w:tr>
      <w:tr w:rsidTr="004E289D">
        <w:tblPrEx>
          <w:tblW w:w="5000" w:type="pct"/>
          <w:tblLook w:val="04A0"/>
        </w:tblPrEx>
        <w:trPr>
          <w:trHeight w:val="208"/>
        </w:trPr>
        <w:tc>
          <w:tcPr>
            <w:tcW w:w="1719" w:type="pct"/>
          </w:tcPr>
          <w:p w:rsidR="00AA6640" w:rsidRPr="00036A98" w:rsidP="007B2924">
            <w:pPr>
              <w:rPr>
                <w:b/>
                <w:noProof w:val="0"/>
                <w:sz w:val="20"/>
                <w:szCs w:val="20"/>
              </w:rPr>
            </w:pPr>
            <w:r w:rsidRPr="00036A98">
              <w:rPr>
                <w:noProof w:val="0"/>
                <w:sz w:val="20"/>
              </w:rPr>
              <w:t>Derailment of RS</w:t>
            </w:r>
          </w:p>
        </w:tc>
        <w:tc>
          <w:tcPr>
            <w:tcW w:w="449" w:type="pct"/>
          </w:tcPr>
          <w:p w:rsidR="00AA6640" w:rsidRPr="00036A98" w:rsidP="007B2924">
            <w:pPr>
              <w:jc w:val="center"/>
              <w:rPr>
                <w:noProof w:val="0"/>
                <w:sz w:val="20"/>
                <w:szCs w:val="20"/>
              </w:rPr>
            </w:pPr>
            <w:r w:rsidRPr="00036A98">
              <w:rPr>
                <w:noProof w:val="0"/>
                <w:sz w:val="20"/>
              </w:rPr>
              <w:t>17</w:t>
            </w:r>
          </w:p>
        </w:tc>
        <w:tc>
          <w:tcPr>
            <w:tcW w:w="523" w:type="pct"/>
          </w:tcPr>
          <w:p w:rsidR="00AA6640" w:rsidRPr="00036A98" w:rsidP="007B2924">
            <w:pPr>
              <w:jc w:val="center"/>
              <w:rPr>
                <w:noProof w:val="0"/>
                <w:sz w:val="20"/>
                <w:szCs w:val="20"/>
              </w:rPr>
            </w:pPr>
            <w:r w:rsidRPr="00036A98">
              <w:rPr>
                <w:noProof w:val="0"/>
                <w:sz w:val="20"/>
              </w:rPr>
              <w:t>8</w:t>
            </w:r>
          </w:p>
        </w:tc>
        <w:tc>
          <w:tcPr>
            <w:tcW w:w="673" w:type="pct"/>
          </w:tcPr>
          <w:p w:rsidR="00AA6640" w:rsidRPr="00036A98" w:rsidP="007B2924">
            <w:pPr>
              <w:jc w:val="center"/>
              <w:rPr>
                <w:noProof w:val="0"/>
                <w:sz w:val="20"/>
                <w:szCs w:val="20"/>
              </w:rPr>
            </w:pPr>
            <w:r w:rsidRPr="00036A98">
              <w:rPr>
                <w:noProof w:val="0"/>
                <w:sz w:val="20"/>
              </w:rPr>
              <w:t>18</w:t>
            </w:r>
          </w:p>
        </w:tc>
        <w:tc>
          <w:tcPr>
            <w:tcW w:w="822" w:type="pct"/>
          </w:tcPr>
          <w:p w:rsidR="00AA6640" w:rsidRPr="00036A98" w:rsidP="007B2924">
            <w:pPr>
              <w:jc w:val="center"/>
              <w:rPr>
                <w:noProof w:val="0"/>
                <w:sz w:val="20"/>
                <w:szCs w:val="20"/>
              </w:rPr>
            </w:pPr>
            <w:r w:rsidRPr="00036A98">
              <w:rPr>
                <w:noProof w:val="0"/>
                <w:sz w:val="20"/>
              </w:rPr>
              <w:t>43</w:t>
            </w:r>
          </w:p>
        </w:tc>
        <w:tc>
          <w:tcPr>
            <w:tcW w:w="814" w:type="pct"/>
          </w:tcPr>
          <w:p w:rsidR="00AA6640" w:rsidRPr="00036A98" w:rsidP="007B2924">
            <w:pPr>
              <w:jc w:val="center"/>
              <w:rPr>
                <w:noProof w:val="0"/>
                <w:sz w:val="20"/>
                <w:szCs w:val="20"/>
              </w:rPr>
            </w:pPr>
            <w:r w:rsidRPr="00036A98">
              <w:rPr>
                <w:noProof w:val="0"/>
                <w:sz w:val="20"/>
              </w:rPr>
              <w:t>5</w:t>
            </w:r>
          </w:p>
        </w:tc>
      </w:tr>
      <w:tr w:rsidTr="004E289D">
        <w:tblPrEx>
          <w:tblW w:w="5000" w:type="pct"/>
          <w:tblLook w:val="04A0"/>
        </w:tblPrEx>
        <w:trPr>
          <w:trHeight w:val="197"/>
        </w:trPr>
        <w:tc>
          <w:tcPr>
            <w:tcW w:w="1719" w:type="pct"/>
          </w:tcPr>
          <w:p w:rsidR="00AA6640" w:rsidRPr="00036A98" w:rsidP="007B2924">
            <w:pPr>
              <w:rPr>
                <w:b/>
                <w:noProof w:val="0"/>
                <w:sz w:val="20"/>
                <w:szCs w:val="20"/>
              </w:rPr>
            </w:pPr>
            <w:r w:rsidRPr="00036A98">
              <w:rPr>
                <w:noProof w:val="0"/>
                <w:sz w:val="20"/>
              </w:rPr>
              <w:t>Level-crossing accident</w:t>
            </w:r>
          </w:p>
        </w:tc>
        <w:tc>
          <w:tcPr>
            <w:tcW w:w="449" w:type="pct"/>
          </w:tcPr>
          <w:p w:rsidR="00AA6640" w:rsidRPr="00036A98" w:rsidP="007B2924">
            <w:pPr>
              <w:jc w:val="center"/>
              <w:rPr>
                <w:noProof w:val="0"/>
                <w:sz w:val="20"/>
                <w:szCs w:val="20"/>
              </w:rPr>
            </w:pPr>
            <w:r w:rsidRPr="00036A98">
              <w:rPr>
                <w:noProof w:val="0"/>
                <w:sz w:val="20"/>
              </w:rPr>
              <w:t>6</w:t>
            </w:r>
          </w:p>
        </w:tc>
        <w:tc>
          <w:tcPr>
            <w:tcW w:w="523" w:type="pct"/>
          </w:tcPr>
          <w:p w:rsidR="00AA6640" w:rsidRPr="00036A98" w:rsidP="007B2924">
            <w:pPr>
              <w:jc w:val="center"/>
              <w:rPr>
                <w:noProof w:val="0"/>
                <w:sz w:val="20"/>
                <w:szCs w:val="20"/>
              </w:rPr>
            </w:pPr>
            <w:r w:rsidRPr="00036A98">
              <w:rPr>
                <w:noProof w:val="0"/>
                <w:sz w:val="20"/>
              </w:rPr>
              <w:t>9</w:t>
            </w:r>
          </w:p>
        </w:tc>
        <w:tc>
          <w:tcPr>
            <w:tcW w:w="673" w:type="pct"/>
          </w:tcPr>
          <w:p w:rsidR="00AA6640" w:rsidRPr="00036A98" w:rsidP="007B2924">
            <w:pPr>
              <w:jc w:val="center"/>
              <w:rPr>
                <w:noProof w:val="0"/>
                <w:sz w:val="20"/>
                <w:szCs w:val="20"/>
              </w:rPr>
            </w:pPr>
            <w:r w:rsidRPr="00036A98">
              <w:rPr>
                <w:noProof w:val="0"/>
                <w:sz w:val="20"/>
              </w:rPr>
              <w:t>8</w:t>
            </w:r>
          </w:p>
        </w:tc>
        <w:tc>
          <w:tcPr>
            <w:tcW w:w="822" w:type="pct"/>
          </w:tcPr>
          <w:p w:rsidR="00AA6640" w:rsidRPr="00036A98" w:rsidP="007B2924">
            <w:pPr>
              <w:jc w:val="center"/>
              <w:rPr>
                <w:noProof w:val="0"/>
                <w:sz w:val="20"/>
                <w:szCs w:val="20"/>
              </w:rPr>
            </w:pPr>
            <w:r w:rsidRPr="00036A98">
              <w:rPr>
                <w:noProof w:val="0"/>
                <w:sz w:val="20"/>
              </w:rPr>
              <w:t>23</w:t>
            </w:r>
          </w:p>
        </w:tc>
        <w:tc>
          <w:tcPr>
            <w:tcW w:w="814" w:type="pct"/>
          </w:tcPr>
          <w:p w:rsidR="00AA6640" w:rsidRPr="00036A98" w:rsidP="007B2924">
            <w:pPr>
              <w:jc w:val="center"/>
              <w:rPr>
                <w:noProof w:val="0"/>
                <w:sz w:val="20"/>
                <w:szCs w:val="20"/>
              </w:rPr>
            </w:pPr>
            <w:r w:rsidRPr="00036A98">
              <w:rPr>
                <w:noProof w:val="0"/>
                <w:sz w:val="20"/>
              </w:rPr>
              <w:t>11</w:t>
            </w:r>
          </w:p>
        </w:tc>
      </w:tr>
      <w:tr w:rsidTr="004E289D">
        <w:tblPrEx>
          <w:tblW w:w="5000" w:type="pct"/>
          <w:tblLook w:val="04A0"/>
        </w:tblPrEx>
        <w:trPr>
          <w:trHeight w:val="371"/>
        </w:trPr>
        <w:tc>
          <w:tcPr>
            <w:tcW w:w="1719" w:type="pct"/>
          </w:tcPr>
          <w:p w:rsidR="00AA6640" w:rsidRPr="00036A98" w:rsidP="007B2924">
            <w:pPr>
              <w:spacing w:before="20" w:after="20"/>
              <w:rPr>
                <w:b/>
                <w:noProof w:val="0"/>
                <w:sz w:val="20"/>
                <w:szCs w:val="20"/>
              </w:rPr>
            </w:pPr>
            <w:r w:rsidRPr="00036A98">
              <w:rPr>
                <w:noProof w:val="0"/>
                <w:sz w:val="18"/>
              </w:rPr>
              <w:t>Accidents to persons involving rolling stock in motion</w:t>
            </w:r>
          </w:p>
        </w:tc>
        <w:tc>
          <w:tcPr>
            <w:tcW w:w="449" w:type="pct"/>
          </w:tcPr>
          <w:p w:rsidR="00AA6640" w:rsidRPr="00036A98" w:rsidP="007B2924">
            <w:pPr>
              <w:spacing w:before="20" w:after="20"/>
              <w:jc w:val="center"/>
              <w:rPr>
                <w:noProof w:val="0"/>
                <w:sz w:val="20"/>
                <w:szCs w:val="20"/>
              </w:rPr>
            </w:pPr>
            <w:r w:rsidRPr="00036A98">
              <w:rPr>
                <w:noProof w:val="0"/>
                <w:sz w:val="20"/>
              </w:rPr>
              <w:t>23</w:t>
            </w:r>
          </w:p>
        </w:tc>
        <w:tc>
          <w:tcPr>
            <w:tcW w:w="523" w:type="pct"/>
          </w:tcPr>
          <w:p w:rsidR="00AA6640" w:rsidRPr="00036A98" w:rsidP="007B2924">
            <w:pPr>
              <w:spacing w:before="20" w:after="20"/>
              <w:jc w:val="center"/>
              <w:rPr>
                <w:noProof w:val="0"/>
                <w:sz w:val="20"/>
                <w:szCs w:val="20"/>
              </w:rPr>
            </w:pPr>
            <w:r w:rsidRPr="00036A98">
              <w:rPr>
                <w:noProof w:val="0"/>
                <w:sz w:val="20"/>
              </w:rPr>
              <w:t>22</w:t>
            </w:r>
          </w:p>
        </w:tc>
        <w:tc>
          <w:tcPr>
            <w:tcW w:w="673" w:type="pct"/>
          </w:tcPr>
          <w:p w:rsidR="00AA6640" w:rsidRPr="00036A98" w:rsidP="007B2924">
            <w:pPr>
              <w:spacing w:before="20" w:after="20"/>
              <w:jc w:val="center"/>
              <w:rPr>
                <w:noProof w:val="0"/>
                <w:sz w:val="20"/>
                <w:szCs w:val="20"/>
              </w:rPr>
            </w:pPr>
            <w:r w:rsidRPr="00036A98">
              <w:rPr>
                <w:noProof w:val="0"/>
                <w:sz w:val="20"/>
              </w:rPr>
              <w:t>9</w:t>
            </w:r>
          </w:p>
        </w:tc>
        <w:tc>
          <w:tcPr>
            <w:tcW w:w="822" w:type="pct"/>
          </w:tcPr>
          <w:p w:rsidR="00E5335F" w:rsidRPr="00036A98" w:rsidP="007B2924">
            <w:pPr>
              <w:spacing w:before="20" w:after="20"/>
              <w:jc w:val="center"/>
              <w:rPr>
                <w:noProof w:val="0"/>
                <w:sz w:val="20"/>
                <w:szCs w:val="20"/>
              </w:rPr>
            </w:pPr>
            <w:r w:rsidRPr="00036A98">
              <w:rPr>
                <w:noProof w:val="0"/>
                <w:sz w:val="20"/>
              </w:rPr>
              <w:t>54</w:t>
            </w:r>
          </w:p>
        </w:tc>
        <w:tc>
          <w:tcPr>
            <w:tcW w:w="814" w:type="pct"/>
          </w:tcPr>
          <w:p w:rsidR="00AA6640" w:rsidRPr="00036A98" w:rsidP="007B2924">
            <w:pPr>
              <w:spacing w:before="20" w:after="20"/>
              <w:jc w:val="center"/>
              <w:rPr>
                <w:noProof w:val="0"/>
                <w:sz w:val="20"/>
                <w:szCs w:val="20"/>
              </w:rPr>
            </w:pPr>
            <w:r w:rsidRPr="00036A98">
              <w:rPr>
                <w:noProof w:val="0"/>
                <w:sz w:val="20"/>
              </w:rPr>
              <w:t>29</w:t>
            </w:r>
          </w:p>
        </w:tc>
      </w:tr>
      <w:tr w:rsidTr="004E289D">
        <w:tblPrEx>
          <w:tblW w:w="5000" w:type="pct"/>
          <w:tblLook w:val="04A0"/>
        </w:tblPrEx>
        <w:trPr>
          <w:trHeight w:val="252"/>
        </w:trPr>
        <w:tc>
          <w:tcPr>
            <w:tcW w:w="1719" w:type="pct"/>
          </w:tcPr>
          <w:p w:rsidR="00AA6640" w:rsidRPr="00036A98" w:rsidP="007B2924">
            <w:pPr>
              <w:spacing w:before="20" w:after="20"/>
              <w:rPr>
                <w:b/>
                <w:noProof w:val="0"/>
                <w:sz w:val="20"/>
                <w:szCs w:val="20"/>
              </w:rPr>
            </w:pPr>
            <w:r w:rsidRPr="00036A98">
              <w:rPr>
                <w:noProof w:val="0"/>
                <w:sz w:val="20"/>
              </w:rPr>
              <w:t>Fire in RS</w:t>
            </w:r>
          </w:p>
        </w:tc>
        <w:tc>
          <w:tcPr>
            <w:tcW w:w="449" w:type="pct"/>
          </w:tcPr>
          <w:p w:rsidR="00AA6640" w:rsidRPr="00036A98" w:rsidP="007B2924">
            <w:pPr>
              <w:spacing w:before="20" w:after="20"/>
              <w:jc w:val="center"/>
              <w:rPr>
                <w:noProof w:val="0"/>
                <w:sz w:val="20"/>
                <w:szCs w:val="20"/>
              </w:rPr>
            </w:pPr>
            <w:r w:rsidRPr="00036A98">
              <w:rPr>
                <w:noProof w:val="0"/>
                <w:sz w:val="20"/>
              </w:rPr>
              <w:t>4</w:t>
            </w:r>
          </w:p>
        </w:tc>
        <w:tc>
          <w:tcPr>
            <w:tcW w:w="523" w:type="pct"/>
          </w:tcPr>
          <w:p w:rsidR="00AA6640" w:rsidRPr="00036A98" w:rsidP="007B2924">
            <w:pPr>
              <w:spacing w:before="20" w:after="20"/>
              <w:jc w:val="center"/>
              <w:rPr>
                <w:noProof w:val="0"/>
                <w:sz w:val="20"/>
                <w:szCs w:val="20"/>
              </w:rPr>
            </w:pPr>
            <w:r w:rsidRPr="00036A98">
              <w:rPr>
                <w:noProof w:val="0"/>
                <w:sz w:val="20"/>
              </w:rPr>
              <w:t>5</w:t>
            </w:r>
          </w:p>
        </w:tc>
        <w:tc>
          <w:tcPr>
            <w:tcW w:w="673" w:type="pct"/>
          </w:tcPr>
          <w:p w:rsidR="00AA6640" w:rsidRPr="00036A98" w:rsidP="007B2924">
            <w:pPr>
              <w:spacing w:before="20" w:after="20"/>
              <w:jc w:val="center"/>
              <w:rPr>
                <w:noProof w:val="0"/>
                <w:sz w:val="20"/>
                <w:szCs w:val="20"/>
              </w:rPr>
            </w:pPr>
            <w:r w:rsidRPr="00036A98">
              <w:rPr>
                <w:noProof w:val="0"/>
                <w:sz w:val="20"/>
              </w:rPr>
              <w:t>1</w:t>
            </w:r>
          </w:p>
        </w:tc>
        <w:tc>
          <w:tcPr>
            <w:tcW w:w="822" w:type="pct"/>
          </w:tcPr>
          <w:p w:rsidR="00AA6640" w:rsidRPr="00036A98" w:rsidP="007B2924">
            <w:pPr>
              <w:spacing w:before="20" w:after="20"/>
              <w:jc w:val="center"/>
              <w:rPr>
                <w:noProof w:val="0"/>
                <w:sz w:val="20"/>
                <w:szCs w:val="20"/>
              </w:rPr>
            </w:pPr>
            <w:r w:rsidRPr="00036A98">
              <w:rPr>
                <w:noProof w:val="0"/>
                <w:sz w:val="20"/>
              </w:rPr>
              <w:t>10</w:t>
            </w:r>
          </w:p>
        </w:tc>
        <w:tc>
          <w:tcPr>
            <w:tcW w:w="814" w:type="pct"/>
          </w:tcPr>
          <w:p w:rsidR="00AA6640" w:rsidRPr="00036A98" w:rsidP="007B2924">
            <w:pPr>
              <w:spacing w:before="20" w:after="20"/>
              <w:jc w:val="center"/>
              <w:rPr>
                <w:noProof w:val="0"/>
                <w:sz w:val="20"/>
                <w:szCs w:val="20"/>
              </w:rPr>
            </w:pPr>
            <w:r w:rsidRPr="00036A98">
              <w:rPr>
                <w:noProof w:val="0"/>
                <w:sz w:val="20"/>
              </w:rPr>
              <w:t>1</w:t>
            </w:r>
          </w:p>
        </w:tc>
      </w:tr>
      <w:tr w:rsidTr="004E289D">
        <w:tblPrEx>
          <w:tblW w:w="5000" w:type="pct"/>
          <w:tblLook w:val="04A0"/>
        </w:tblPrEx>
        <w:trPr>
          <w:trHeight w:val="213"/>
        </w:trPr>
        <w:tc>
          <w:tcPr>
            <w:tcW w:w="1719" w:type="pct"/>
          </w:tcPr>
          <w:p w:rsidR="00AA6640" w:rsidRPr="00036A98" w:rsidP="007B2924">
            <w:pPr>
              <w:spacing w:before="20" w:after="20"/>
              <w:rPr>
                <w:b/>
                <w:noProof w:val="0"/>
                <w:sz w:val="20"/>
                <w:szCs w:val="20"/>
              </w:rPr>
            </w:pPr>
            <w:r w:rsidRPr="00036A98">
              <w:rPr>
                <w:noProof w:val="0"/>
                <w:sz w:val="20"/>
              </w:rPr>
              <w:t>Other</w:t>
            </w:r>
          </w:p>
        </w:tc>
        <w:tc>
          <w:tcPr>
            <w:tcW w:w="449" w:type="pct"/>
          </w:tcPr>
          <w:p w:rsidR="00AA6640" w:rsidRPr="00036A98" w:rsidP="007B2924">
            <w:pPr>
              <w:spacing w:before="20" w:after="20"/>
              <w:jc w:val="center"/>
              <w:rPr>
                <w:noProof w:val="0"/>
                <w:sz w:val="20"/>
                <w:szCs w:val="20"/>
              </w:rPr>
            </w:pPr>
            <w:r w:rsidRPr="00036A98">
              <w:rPr>
                <w:noProof w:val="0"/>
                <w:sz w:val="20"/>
              </w:rPr>
              <w:t>3</w:t>
            </w:r>
          </w:p>
        </w:tc>
        <w:tc>
          <w:tcPr>
            <w:tcW w:w="523" w:type="pct"/>
          </w:tcPr>
          <w:p w:rsidR="00AA6640" w:rsidRPr="00036A98" w:rsidP="007B2924">
            <w:pPr>
              <w:spacing w:before="20" w:after="20"/>
              <w:jc w:val="center"/>
              <w:rPr>
                <w:noProof w:val="0"/>
                <w:sz w:val="20"/>
                <w:szCs w:val="20"/>
              </w:rPr>
            </w:pPr>
            <w:r w:rsidRPr="00036A98">
              <w:rPr>
                <w:noProof w:val="0"/>
                <w:sz w:val="20"/>
              </w:rPr>
              <w:t>4</w:t>
            </w:r>
          </w:p>
        </w:tc>
        <w:tc>
          <w:tcPr>
            <w:tcW w:w="673" w:type="pct"/>
          </w:tcPr>
          <w:p w:rsidR="00AA6640" w:rsidRPr="00036A98" w:rsidP="007B2924">
            <w:pPr>
              <w:spacing w:before="20" w:after="20"/>
              <w:jc w:val="center"/>
              <w:rPr>
                <w:noProof w:val="0"/>
                <w:sz w:val="20"/>
                <w:szCs w:val="20"/>
              </w:rPr>
            </w:pPr>
            <w:r w:rsidRPr="00036A98">
              <w:rPr>
                <w:noProof w:val="0"/>
                <w:sz w:val="20"/>
              </w:rPr>
              <w:t>1</w:t>
            </w:r>
          </w:p>
        </w:tc>
        <w:tc>
          <w:tcPr>
            <w:tcW w:w="822" w:type="pct"/>
          </w:tcPr>
          <w:p w:rsidR="00AA6640" w:rsidRPr="00036A98" w:rsidP="007B2924">
            <w:pPr>
              <w:spacing w:before="20" w:after="20"/>
              <w:jc w:val="center"/>
              <w:rPr>
                <w:noProof w:val="0"/>
                <w:sz w:val="20"/>
                <w:szCs w:val="20"/>
              </w:rPr>
            </w:pPr>
            <w:r w:rsidRPr="00036A98">
              <w:rPr>
                <w:noProof w:val="0"/>
                <w:sz w:val="20"/>
              </w:rPr>
              <w:t>8</w:t>
            </w:r>
          </w:p>
        </w:tc>
        <w:tc>
          <w:tcPr>
            <w:tcW w:w="814" w:type="pct"/>
          </w:tcPr>
          <w:p w:rsidR="00AA6640" w:rsidRPr="00036A98" w:rsidP="007B2924">
            <w:pPr>
              <w:spacing w:before="20" w:after="20"/>
              <w:jc w:val="center"/>
              <w:rPr>
                <w:noProof w:val="0"/>
                <w:sz w:val="20"/>
                <w:szCs w:val="20"/>
              </w:rPr>
            </w:pPr>
            <w:r w:rsidRPr="00036A98">
              <w:rPr>
                <w:noProof w:val="0"/>
                <w:sz w:val="20"/>
              </w:rPr>
              <w:t>-</w:t>
            </w:r>
          </w:p>
        </w:tc>
      </w:tr>
      <w:tr w:rsidTr="004E289D">
        <w:tblPrEx>
          <w:tblW w:w="5000" w:type="pct"/>
          <w:tblLook w:val="04A0"/>
        </w:tblPrEx>
        <w:trPr>
          <w:trHeight w:val="204"/>
        </w:trPr>
        <w:tc>
          <w:tcPr>
            <w:tcW w:w="1719" w:type="pct"/>
          </w:tcPr>
          <w:p w:rsidR="00AA6640" w:rsidRPr="00036A98" w:rsidP="007B2924">
            <w:pPr>
              <w:spacing w:before="20" w:after="20"/>
              <w:rPr>
                <w:noProof w:val="0"/>
                <w:sz w:val="20"/>
                <w:szCs w:val="20"/>
              </w:rPr>
            </w:pPr>
            <w:r w:rsidRPr="00036A98">
              <w:rPr>
                <w:noProof w:val="0"/>
                <w:sz w:val="20"/>
              </w:rPr>
              <w:t>TOTAL</w:t>
            </w:r>
          </w:p>
        </w:tc>
        <w:tc>
          <w:tcPr>
            <w:tcW w:w="449" w:type="pct"/>
          </w:tcPr>
          <w:p w:rsidR="00AA6640" w:rsidRPr="00036A98" w:rsidP="007B2924">
            <w:pPr>
              <w:spacing w:before="20" w:after="20"/>
              <w:jc w:val="center"/>
              <w:rPr>
                <w:b/>
                <w:noProof w:val="0"/>
                <w:sz w:val="20"/>
                <w:szCs w:val="20"/>
              </w:rPr>
            </w:pPr>
            <w:r w:rsidRPr="00036A98">
              <w:rPr>
                <w:b/>
                <w:noProof w:val="0"/>
                <w:sz w:val="20"/>
              </w:rPr>
              <w:t>144</w:t>
            </w:r>
          </w:p>
        </w:tc>
        <w:tc>
          <w:tcPr>
            <w:tcW w:w="523" w:type="pct"/>
          </w:tcPr>
          <w:p w:rsidR="00AA6640" w:rsidRPr="00036A98" w:rsidP="007B2924">
            <w:pPr>
              <w:spacing w:before="20" w:after="20"/>
              <w:jc w:val="center"/>
              <w:rPr>
                <w:b/>
                <w:noProof w:val="0"/>
                <w:sz w:val="20"/>
                <w:szCs w:val="20"/>
              </w:rPr>
            </w:pPr>
            <w:r w:rsidRPr="00036A98">
              <w:rPr>
                <w:b/>
                <w:noProof w:val="0"/>
                <w:sz w:val="20"/>
              </w:rPr>
              <w:t>119</w:t>
            </w:r>
          </w:p>
        </w:tc>
        <w:tc>
          <w:tcPr>
            <w:tcW w:w="673" w:type="pct"/>
          </w:tcPr>
          <w:p w:rsidR="00AA6640" w:rsidRPr="00036A98" w:rsidP="007B2924">
            <w:pPr>
              <w:spacing w:before="20" w:after="20"/>
              <w:jc w:val="center"/>
              <w:rPr>
                <w:b/>
                <w:noProof w:val="0"/>
                <w:sz w:val="20"/>
                <w:szCs w:val="20"/>
              </w:rPr>
            </w:pPr>
            <w:r w:rsidRPr="00036A98">
              <w:rPr>
                <w:b/>
                <w:noProof w:val="0"/>
                <w:sz w:val="20"/>
              </w:rPr>
              <w:t>88</w:t>
            </w:r>
          </w:p>
        </w:tc>
        <w:tc>
          <w:tcPr>
            <w:tcW w:w="822" w:type="pct"/>
          </w:tcPr>
          <w:p w:rsidR="00AA6640" w:rsidRPr="00036A98" w:rsidP="007B2924">
            <w:pPr>
              <w:spacing w:before="20" w:after="20"/>
              <w:jc w:val="center"/>
              <w:rPr>
                <w:b/>
                <w:noProof w:val="0"/>
                <w:sz w:val="20"/>
                <w:szCs w:val="20"/>
              </w:rPr>
            </w:pPr>
            <w:r w:rsidRPr="00036A98">
              <w:rPr>
                <w:b/>
                <w:noProof w:val="0"/>
                <w:sz w:val="20"/>
              </w:rPr>
              <w:t>351</w:t>
            </w:r>
          </w:p>
        </w:tc>
        <w:tc>
          <w:tcPr>
            <w:tcW w:w="814" w:type="pct"/>
          </w:tcPr>
          <w:p w:rsidR="00AA6640" w:rsidRPr="00036A98" w:rsidP="007B2924">
            <w:pPr>
              <w:spacing w:before="20" w:after="20"/>
              <w:jc w:val="center"/>
              <w:rPr>
                <w:b/>
                <w:noProof w:val="0"/>
                <w:sz w:val="20"/>
                <w:szCs w:val="20"/>
              </w:rPr>
            </w:pPr>
            <w:r w:rsidRPr="00036A98">
              <w:rPr>
                <w:b/>
                <w:noProof w:val="0"/>
                <w:sz w:val="20"/>
              </w:rPr>
              <w:t>47</w:t>
            </w:r>
          </w:p>
        </w:tc>
      </w:tr>
    </w:tbl>
    <w:p w:rsidR="008F29BD" w:rsidRPr="00036A98" w:rsidP="00EF1E96">
      <w:pPr>
        <w:numPr>
          <w:ilvl w:val="0"/>
          <w:numId w:val="4"/>
        </w:numPr>
        <w:spacing w:before="120"/>
        <w:ind w:left="714" w:hanging="357"/>
        <w:jc w:val="both"/>
        <w:rPr>
          <w:rFonts w:eastAsia="Calibri"/>
          <w:noProof w:val="0"/>
          <w:u w:val="single"/>
        </w:rPr>
      </w:pPr>
      <w:r w:rsidRPr="00036A98">
        <w:rPr>
          <w:noProof w:val="0"/>
          <w:u w:val="single"/>
        </w:rPr>
        <w:t>Safety indicators relating to precursors of accidents:</w:t>
      </w:r>
    </w:p>
    <w:p w:rsidR="00FB75D4" w:rsidRPr="00036A98" w:rsidP="007B2924">
      <w:pPr>
        <w:ind w:firstLine="714"/>
        <w:jc w:val="both"/>
        <w:rPr>
          <w:rFonts w:eastAsia="Calibri"/>
          <w:noProof w:val="0"/>
        </w:rPr>
      </w:pPr>
      <w:r w:rsidRPr="00036A98">
        <w:t>The values of the indicators related to precursors of accidents, for the last five years, are provided in Table 4 below:</w:t>
      </w:r>
    </w:p>
    <w:p w:rsidR="005E0F91" w:rsidRPr="00036A98" w:rsidP="00660229">
      <w:pPr>
        <w:pStyle w:val="Caption"/>
        <w:keepNext/>
        <w:spacing w:before="120" w:after="120"/>
        <w:jc w:val="center"/>
        <w:rPr>
          <w:color w:val="000000" w:themeColor="text1"/>
          <w:sz w:val="16"/>
        </w:rPr>
      </w:pPr>
      <w:r w:rsidRPr="00036A98">
        <w:rPr>
          <w:color w:val="000000" w:themeColor="text1"/>
          <w:sz w:val="16"/>
        </w:rPr>
        <w:t xml:space="preserve">Table </w:t>
      </w:r>
      <w:r w:rsidRPr="00036A98">
        <w:rPr>
          <w:color w:val="000000" w:themeColor="text1"/>
          <w:sz w:val="16"/>
        </w:rPr>
        <w:fldChar w:fldCharType="begin"/>
      </w:r>
      <w:r w:rsidRPr="00036A98">
        <w:rPr>
          <w:color w:val="000000" w:themeColor="text1"/>
          <w:sz w:val="16"/>
        </w:rPr>
        <w:instrText xml:space="preserve"> SEQ таблица \* ARABIC </w:instrText>
      </w:r>
      <w:r w:rsidRPr="00036A98">
        <w:rPr>
          <w:color w:val="000000" w:themeColor="text1"/>
          <w:sz w:val="16"/>
        </w:rPr>
        <w:fldChar w:fldCharType="separate"/>
      </w:r>
      <w:r w:rsidRPr="00036A98" w:rsidR="00FE2542">
        <w:rPr>
          <w:color w:val="000000" w:themeColor="text1"/>
          <w:sz w:val="16"/>
        </w:rPr>
        <w:t>4</w:t>
      </w:r>
      <w:r w:rsidRPr="00036A98">
        <w:rPr>
          <w:color w:val="000000" w:themeColor="text1"/>
          <w:sz w:val="16"/>
        </w:rPr>
        <w:fldChar w:fldCharType="end"/>
      </w:r>
      <w:r w:rsidRPr="00036A98">
        <w:rPr>
          <w:b w:val="0"/>
          <w:color w:val="000000" w:themeColor="text1"/>
          <w:sz w:val="16"/>
        </w:rPr>
        <w:t>: Data on the CSI related to precursors of accidents, for the 2013–2017 period</w:t>
      </w:r>
    </w:p>
    <w:tbl>
      <w:tblPr>
        <w:tblStyle w:val="TableGrid"/>
        <w:tblpPr w:leftFromText="141" w:rightFromText="141" w:vertAnchor="text" w:horzAnchor="margin" w:tblpX="108" w:tblpY="102"/>
        <w:tblW w:w="5000" w:type="pct"/>
        <w:tblLook w:val="04A0"/>
      </w:tblPr>
      <w:tblGrid>
        <w:gridCol w:w="887"/>
        <w:gridCol w:w="898"/>
        <w:gridCol w:w="1266"/>
        <w:gridCol w:w="1819"/>
        <w:gridCol w:w="1366"/>
        <w:gridCol w:w="1260"/>
        <w:gridCol w:w="1261"/>
        <w:gridCol w:w="872"/>
      </w:tblGrid>
      <w:tr w:rsidTr="00A13C40">
        <w:tblPrEx>
          <w:tblW w:w="5000" w:type="pct"/>
          <w:tblLook w:val="04A0"/>
        </w:tblPrEx>
        <w:trPr>
          <w:trHeight w:val="772"/>
        </w:trPr>
        <w:tc>
          <w:tcPr>
            <w:tcW w:w="462" w:type="pct"/>
            <w:hideMark/>
          </w:tcPr>
          <w:p w:rsidR="008F29BD" w:rsidRPr="00036A98" w:rsidP="007B2924">
            <w:pPr>
              <w:jc w:val="center"/>
              <w:rPr>
                <w:b/>
                <w:noProof w:val="0"/>
                <w:sz w:val="20"/>
                <w:szCs w:val="20"/>
              </w:rPr>
            </w:pPr>
            <w:r w:rsidRPr="00036A98">
              <w:rPr>
                <w:noProof w:val="0"/>
                <w:sz w:val="20"/>
              </w:rPr>
              <w:t>Year</w:t>
            </w:r>
          </w:p>
        </w:tc>
        <w:tc>
          <w:tcPr>
            <w:tcW w:w="468" w:type="pct"/>
            <w:hideMark/>
          </w:tcPr>
          <w:p w:rsidR="008F29BD" w:rsidRPr="00036A98" w:rsidP="007B2924">
            <w:pPr>
              <w:jc w:val="center"/>
              <w:rPr>
                <w:b/>
                <w:noProof w:val="0"/>
                <w:sz w:val="18"/>
                <w:szCs w:val="18"/>
              </w:rPr>
            </w:pPr>
            <w:r w:rsidRPr="00036A98">
              <w:rPr>
                <w:noProof w:val="0"/>
                <w:sz w:val="18"/>
              </w:rPr>
              <w:t>Number of broken rails</w:t>
            </w:r>
          </w:p>
        </w:tc>
        <w:tc>
          <w:tcPr>
            <w:tcW w:w="656" w:type="pct"/>
            <w:hideMark/>
          </w:tcPr>
          <w:p w:rsidR="008F29BD" w:rsidRPr="00036A98" w:rsidP="007B2924">
            <w:pPr>
              <w:jc w:val="center"/>
              <w:rPr>
                <w:b/>
                <w:noProof w:val="0"/>
                <w:sz w:val="18"/>
                <w:szCs w:val="18"/>
              </w:rPr>
            </w:pPr>
            <w:r w:rsidRPr="00036A98">
              <w:rPr>
                <w:noProof w:val="0"/>
                <w:sz w:val="18"/>
              </w:rPr>
              <w:t>Number of track buckles or other track misalignments</w:t>
            </w:r>
          </w:p>
        </w:tc>
        <w:tc>
          <w:tcPr>
            <w:tcW w:w="946" w:type="pct"/>
            <w:hideMark/>
          </w:tcPr>
          <w:p w:rsidR="008F29BD" w:rsidRPr="00036A98" w:rsidP="007B2924">
            <w:pPr>
              <w:ind w:right="-108"/>
              <w:jc w:val="center"/>
              <w:rPr>
                <w:b/>
                <w:noProof w:val="0"/>
                <w:sz w:val="18"/>
                <w:szCs w:val="18"/>
              </w:rPr>
            </w:pPr>
            <w:r w:rsidRPr="00036A98">
              <w:rPr>
                <w:noProof w:val="0"/>
                <w:sz w:val="18"/>
              </w:rPr>
              <w:t>Number of wrong side signalling failures leading to dangerous situations</w:t>
            </w:r>
          </w:p>
        </w:tc>
        <w:tc>
          <w:tcPr>
            <w:tcW w:w="711" w:type="pct"/>
            <w:hideMark/>
          </w:tcPr>
          <w:p w:rsidR="008F29BD" w:rsidRPr="00036A98" w:rsidP="007B2924">
            <w:pPr>
              <w:jc w:val="center"/>
              <w:rPr>
                <w:b/>
                <w:noProof w:val="0"/>
                <w:sz w:val="18"/>
                <w:szCs w:val="18"/>
              </w:rPr>
            </w:pPr>
            <w:r w:rsidRPr="00036A98">
              <w:rPr>
                <w:noProof w:val="0"/>
                <w:sz w:val="18"/>
              </w:rPr>
              <w:t>Number of signals passed at danger</w:t>
            </w:r>
          </w:p>
        </w:tc>
        <w:tc>
          <w:tcPr>
            <w:tcW w:w="656" w:type="pct"/>
            <w:hideMark/>
          </w:tcPr>
          <w:p w:rsidR="008F29BD" w:rsidRPr="00036A98" w:rsidP="007B2924">
            <w:pPr>
              <w:jc w:val="center"/>
              <w:rPr>
                <w:b/>
                <w:noProof w:val="0"/>
                <w:sz w:val="18"/>
                <w:szCs w:val="18"/>
              </w:rPr>
            </w:pPr>
            <w:r w:rsidRPr="00036A98">
              <w:rPr>
                <w:noProof w:val="0"/>
                <w:sz w:val="18"/>
              </w:rPr>
              <w:t>Number of broken wheels on rolling stock in service</w:t>
            </w:r>
          </w:p>
        </w:tc>
        <w:tc>
          <w:tcPr>
            <w:tcW w:w="656" w:type="pct"/>
            <w:hideMark/>
          </w:tcPr>
          <w:p w:rsidR="008F29BD" w:rsidRPr="00036A98" w:rsidP="007B2924">
            <w:pPr>
              <w:jc w:val="center"/>
              <w:rPr>
                <w:b/>
                <w:noProof w:val="0"/>
                <w:sz w:val="18"/>
                <w:szCs w:val="18"/>
              </w:rPr>
            </w:pPr>
            <w:r w:rsidRPr="00036A98">
              <w:rPr>
                <w:noProof w:val="0"/>
                <w:sz w:val="18"/>
              </w:rPr>
              <w:t>Number of broken axles on rolling stock in service</w:t>
            </w:r>
          </w:p>
        </w:tc>
        <w:tc>
          <w:tcPr>
            <w:tcW w:w="445" w:type="pct"/>
            <w:hideMark/>
          </w:tcPr>
          <w:p w:rsidR="008F29BD" w:rsidRPr="00036A98" w:rsidP="007B2924">
            <w:pPr>
              <w:jc w:val="center"/>
              <w:rPr>
                <w:b/>
                <w:noProof w:val="0"/>
                <w:sz w:val="19"/>
                <w:szCs w:val="19"/>
              </w:rPr>
            </w:pPr>
            <w:r w:rsidRPr="00036A98">
              <w:rPr>
                <w:noProof w:val="0"/>
                <w:sz w:val="20"/>
              </w:rPr>
              <w:t>TOTAL</w:t>
            </w:r>
          </w:p>
        </w:tc>
      </w:tr>
      <w:tr w:rsidTr="00A13C40">
        <w:tblPrEx>
          <w:tblW w:w="5000" w:type="pct"/>
          <w:tblLook w:val="04A0"/>
        </w:tblPrEx>
        <w:trPr>
          <w:trHeight w:val="208"/>
        </w:trPr>
        <w:tc>
          <w:tcPr>
            <w:tcW w:w="462" w:type="pct"/>
            <w:hideMark/>
          </w:tcPr>
          <w:p w:rsidR="008F29BD" w:rsidRPr="00036A98" w:rsidP="007B2924">
            <w:pPr>
              <w:jc w:val="center"/>
              <w:rPr>
                <w:noProof w:val="0"/>
                <w:sz w:val="20"/>
                <w:szCs w:val="20"/>
              </w:rPr>
            </w:pPr>
            <w:r w:rsidRPr="00036A98">
              <w:rPr>
                <w:noProof w:val="0"/>
                <w:sz w:val="18"/>
              </w:rPr>
              <w:t xml:space="preserve">CSI </w:t>
            </w:r>
            <w:r w:rsidRPr="00036A98">
              <w:rPr>
                <w:noProof w:val="0"/>
                <w:sz w:val="14"/>
              </w:rPr>
              <w:t>code</w:t>
            </w:r>
          </w:p>
        </w:tc>
        <w:tc>
          <w:tcPr>
            <w:tcW w:w="468" w:type="pct"/>
            <w:hideMark/>
          </w:tcPr>
          <w:p w:rsidR="008F29BD" w:rsidRPr="00036A98" w:rsidP="007B2924">
            <w:pPr>
              <w:jc w:val="center"/>
              <w:rPr>
                <w:noProof w:val="0"/>
                <w:sz w:val="20"/>
                <w:szCs w:val="20"/>
              </w:rPr>
            </w:pPr>
            <w:r w:rsidRPr="00036A98">
              <w:rPr>
                <w:noProof w:val="0"/>
                <w:sz w:val="20"/>
              </w:rPr>
              <w:t>I01</w:t>
            </w:r>
          </w:p>
        </w:tc>
        <w:tc>
          <w:tcPr>
            <w:tcW w:w="656" w:type="pct"/>
            <w:noWrap/>
            <w:hideMark/>
          </w:tcPr>
          <w:p w:rsidR="008F29BD" w:rsidRPr="00036A98" w:rsidP="007B2924">
            <w:pPr>
              <w:jc w:val="center"/>
              <w:rPr>
                <w:noProof w:val="0"/>
                <w:sz w:val="20"/>
                <w:szCs w:val="20"/>
              </w:rPr>
            </w:pPr>
            <w:r w:rsidRPr="00036A98">
              <w:rPr>
                <w:noProof w:val="0"/>
                <w:sz w:val="20"/>
              </w:rPr>
              <w:t>I02</w:t>
            </w:r>
          </w:p>
        </w:tc>
        <w:tc>
          <w:tcPr>
            <w:tcW w:w="946" w:type="pct"/>
            <w:hideMark/>
          </w:tcPr>
          <w:p w:rsidR="008F29BD" w:rsidRPr="00036A98" w:rsidP="007B2924">
            <w:pPr>
              <w:jc w:val="center"/>
              <w:rPr>
                <w:noProof w:val="0"/>
                <w:sz w:val="20"/>
                <w:szCs w:val="20"/>
              </w:rPr>
            </w:pPr>
            <w:r w:rsidRPr="00036A98">
              <w:rPr>
                <w:noProof w:val="0"/>
                <w:sz w:val="20"/>
              </w:rPr>
              <w:t>I03</w:t>
            </w:r>
          </w:p>
        </w:tc>
        <w:tc>
          <w:tcPr>
            <w:tcW w:w="711" w:type="pct"/>
            <w:hideMark/>
          </w:tcPr>
          <w:p w:rsidR="008F29BD" w:rsidRPr="00036A98" w:rsidP="007B2924">
            <w:pPr>
              <w:jc w:val="center"/>
              <w:rPr>
                <w:noProof w:val="0"/>
                <w:sz w:val="20"/>
                <w:szCs w:val="20"/>
              </w:rPr>
            </w:pPr>
            <w:r w:rsidRPr="00036A98">
              <w:rPr>
                <w:noProof w:val="0"/>
                <w:sz w:val="20"/>
              </w:rPr>
              <w:t>I041+I042</w:t>
            </w:r>
          </w:p>
        </w:tc>
        <w:tc>
          <w:tcPr>
            <w:tcW w:w="656" w:type="pct"/>
            <w:hideMark/>
          </w:tcPr>
          <w:p w:rsidR="008F29BD" w:rsidRPr="00036A98" w:rsidP="007B2924">
            <w:pPr>
              <w:jc w:val="center"/>
              <w:rPr>
                <w:noProof w:val="0"/>
                <w:sz w:val="20"/>
                <w:szCs w:val="20"/>
              </w:rPr>
            </w:pPr>
            <w:r w:rsidRPr="00036A98">
              <w:rPr>
                <w:noProof w:val="0"/>
                <w:sz w:val="20"/>
              </w:rPr>
              <w:t>I05</w:t>
            </w:r>
          </w:p>
        </w:tc>
        <w:tc>
          <w:tcPr>
            <w:tcW w:w="656" w:type="pct"/>
            <w:hideMark/>
          </w:tcPr>
          <w:p w:rsidR="008F29BD" w:rsidRPr="00036A98" w:rsidP="007B2924">
            <w:pPr>
              <w:jc w:val="center"/>
              <w:rPr>
                <w:noProof w:val="0"/>
                <w:sz w:val="20"/>
                <w:szCs w:val="20"/>
              </w:rPr>
            </w:pPr>
            <w:r w:rsidRPr="00036A98">
              <w:rPr>
                <w:noProof w:val="0"/>
                <w:sz w:val="20"/>
              </w:rPr>
              <w:t>I06</w:t>
            </w:r>
          </w:p>
        </w:tc>
        <w:tc>
          <w:tcPr>
            <w:tcW w:w="445" w:type="pct"/>
            <w:hideMark/>
          </w:tcPr>
          <w:p w:rsidR="008F29BD" w:rsidRPr="00036A98" w:rsidP="007B2924">
            <w:pPr>
              <w:jc w:val="center"/>
              <w:rPr>
                <w:noProof w:val="0"/>
                <w:sz w:val="20"/>
                <w:szCs w:val="20"/>
              </w:rPr>
            </w:pPr>
            <w:r w:rsidRPr="00036A98">
              <w:rPr>
                <w:noProof w:val="0"/>
                <w:sz w:val="20"/>
              </w:rPr>
              <w:t>I00</w:t>
            </w:r>
          </w:p>
        </w:tc>
      </w:tr>
      <w:tr w:rsidTr="00A13C40">
        <w:tblPrEx>
          <w:tblW w:w="5000" w:type="pct"/>
          <w:tblLook w:val="04A0"/>
        </w:tblPrEx>
        <w:trPr>
          <w:trHeight w:val="307"/>
        </w:trPr>
        <w:tc>
          <w:tcPr>
            <w:tcW w:w="462" w:type="pct"/>
            <w:noWrap/>
            <w:hideMark/>
          </w:tcPr>
          <w:p w:rsidR="008F29BD" w:rsidRPr="00036A98" w:rsidP="007B2924">
            <w:pPr>
              <w:jc w:val="center"/>
              <w:rPr>
                <w:noProof w:val="0"/>
                <w:sz w:val="20"/>
                <w:szCs w:val="20"/>
              </w:rPr>
            </w:pPr>
            <w:r w:rsidRPr="00036A98">
              <w:rPr>
                <w:noProof w:val="0"/>
                <w:sz w:val="20"/>
              </w:rPr>
              <w:t>2013</w:t>
            </w:r>
          </w:p>
        </w:tc>
        <w:tc>
          <w:tcPr>
            <w:tcW w:w="468" w:type="pct"/>
            <w:noWrap/>
            <w:hideMark/>
          </w:tcPr>
          <w:p w:rsidR="008F29BD" w:rsidRPr="00036A98" w:rsidP="007B2924">
            <w:pPr>
              <w:jc w:val="center"/>
              <w:rPr>
                <w:noProof w:val="0"/>
                <w:sz w:val="20"/>
                <w:szCs w:val="20"/>
              </w:rPr>
            </w:pPr>
            <w:r w:rsidRPr="00036A98">
              <w:rPr>
                <w:noProof w:val="0"/>
                <w:sz w:val="20"/>
              </w:rPr>
              <w:t>83</w:t>
            </w:r>
          </w:p>
        </w:tc>
        <w:tc>
          <w:tcPr>
            <w:tcW w:w="656" w:type="pct"/>
            <w:noWrap/>
            <w:hideMark/>
          </w:tcPr>
          <w:p w:rsidR="008F29BD" w:rsidRPr="00036A98" w:rsidP="007B2924">
            <w:pPr>
              <w:jc w:val="center"/>
              <w:rPr>
                <w:noProof w:val="0"/>
                <w:sz w:val="20"/>
                <w:szCs w:val="20"/>
              </w:rPr>
            </w:pPr>
            <w:r w:rsidRPr="00036A98">
              <w:rPr>
                <w:noProof w:val="0"/>
                <w:sz w:val="20"/>
              </w:rPr>
              <w:t>0</w:t>
            </w:r>
          </w:p>
        </w:tc>
        <w:tc>
          <w:tcPr>
            <w:tcW w:w="946" w:type="pct"/>
            <w:noWrap/>
            <w:hideMark/>
          </w:tcPr>
          <w:p w:rsidR="008F29BD" w:rsidRPr="00036A98" w:rsidP="007B2924">
            <w:pPr>
              <w:jc w:val="center"/>
              <w:rPr>
                <w:noProof w:val="0"/>
                <w:sz w:val="20"/>
                <w:szCs w:val="20"/>
              </w:rPr>
            </w:pPr>
            <w:r w:rsidRPr="00036A98">
              <w:rPr>
                <w:noProof w:val="0"/>
                <w:sz w:val="20"/>
              </w:rPr>
              <w:t>0</w:t>
            </w:r>
          </w:p>
        </w:tc>
        <w:tc>
          <w:tcPr>
            <w:tcW w:w="711" w:type="pct"/>
            <w:hideMark/>
          </w:tcPr>
          <w:p w:rsidR="008F29BD" w:rsidRPr="00036A98" w:rsidP="007B2924">
            <w:pPr>
              <w:jc w:val="center"/>
              <w:rPr>
                <w:noProof w:val="0"/>
                <w:sz w:val="20"/>
                <w:szCs w:val="20"/>
              </w:rPr>
            </w:pPr>
            <w:r w:rsidRPr="00036A98">
              <w:rPr>
                <w:noProof w:val="0"/>
                <w:sz w:val="20"/>
              </w:rPr>
              <w:t>16</w:t>
            </w:r>
          </w:p>
        </w:tc>
        <w:tc>
          <w:tcPr>
            <w:tcW w:w="656" w:type="pct"/>
            <w:hideMark/>
          </w:tcPr>
          <w:p w:rsidR="008F29BD" w:rsidRPr="00036A98" w:rsidP="007B2924">
            <w:pPr>
              <w:jc w:val="center"/>
              <w:rPr>
                <w:noProof w:val="0"/>
                <w:sz w:val="20"/>
                <w:szCs w:val="20"/>
              </w:rPr>
            </w:pPr>
            <w:r w:rsidRPr="00036A98">
              <w:rPr>
                <w:noProof w:val="0"/>
                <w:sz w:val="20"/>
              </w:rPr>
              <w:t>76</w:t>
            </w:r>
          </w:p>
        </w:tc>
        <w:tc>
          <w:tcPr>
            <w:tcW w:w="656" w:type="pct"/>
            <w:hideMark/>
          </w:tcPr>
          <w:p w:rsidR="008F29BD" w:rsidRPr="00036A98" w:rsidP="007B2924">
            <w:pPr>
              <w:jc w:val="center"/>
              <w:rPr>
                <w:noProof w:val="0"/>
                <w:sz w:val="20"/>
                <w:szCs w:val="20"/>
              </w:rPr>
            </w:pPr>
            <w:r w:rsidRPr="00036A98">
              <w:rPr>
                <w:noProof w:val="0"/>
                <w:sz w:val="20"/>
              </w:rPr>
              <w:t>5</w:t>
            </w:r>
          </w:p>
        </w:tc>
        <w:tc>
          <w:tcPr>
            <w:tcW w:w="445" w:type="pct"/>
            <w:hideMark/>
          </w:tcPr>
          <w:p w:rsidR="008F29BD" w:rsidRPr="00036A98" w:rsidP="007B2924">
            <w:pPr>
              <w:jc w:val="center"/>
              <w:rPr>
                <w:noProof w:val="0"/>
                <w:sz w:val="20"/>
                <w:szCs w:val="20"/>
              </w:rPr>
            </w:pPr>
            <w:r w:rsidRPr="00036A98">
              <w:rPr>
                <w:noProof w:val="0"/>
                <w:sz w:val="20"/>
              </w:rPr>
              <w:t>180</w:t>
            </w:r>
          </w:p>
        </w:tc>
      </w:tr>
      <w:tr w:rsidTr="00A13C40">
        <w:tblPrEx>
          <w:tblW w:w="5000" w:type="pct"/>
          <w:tblLook w:val="04A0"/>
        </w:tblPrEx>
        <w:trPr>
          <w:trHeight w:val="307"/>
        </w:trPr>
        <w:tc>
          <w:tcPr>
            <w:tcW w:w="462" w:type="pct"/>
            <w:noWrap/>
            <w:hideMark/>
          </w:tcPr>
          <w:p w:rsidR="008F29BD" w:rsidRPr="00036A98" w:rsidP="007B2924">
            <w:pPr>
              <w:ind w:left="-284" w:firstLine="284"/>
              <w:jc w:val="center"/>
              <w:rPr>
                <w:noProof w:val="0"/>
                <w:sz w:val="20"/>
                <w:szCs w:val="20"/>
              </w:rPr>
            </w:pPr>
            <w:r w:rsidRPr="00036A98">
              <w:rPr>
                <w:noProof w:val="0"/>
                <w:sz w:val="20"/>
              </w:rPr>
              <w:t>2014</w:t>
            </w:r>
          </w:p>
        </w:tc>
        <w:tc>
          <w:tcPr>
            <w:tcW w:w="468" w:type="pct"/>
            <w:noWrap/>
            <w:hideMark/>
          </w:tcPr>
          <w:p w:rsidR="008F29BD" w:rsidRPr="00036A98" w:rsidP="007B2924">
            <w:pPr>
              <w:jc w:val="center"/>
              <w:rPr>
                <w:noProof w:val="0"/>
                <w:sz w:val="20"/>
                <w:szCs w:val="20"/>
              </w:rPr>
            </w:pPr>
            <w:r w:rsidRPr="00036A98">
              <w:rPr>
                <w:noProof w:val="0"/>
                <w:sz w:val="20"/>
              </w:rPr>
              <w:t>102</w:t>
            </w:r>
          </w:p>
        </w:tc>
        <w:tc>
          <w:tcPr>
            <w:tcW w:w="656" w:type="pct"/>
            <w:noWrap/>
            <w:hideMark/>
          </w:tcPr>
          <w:p w:rsidR="008F29BD" w:rsidRPr="00036A98" w:rsidP="007B2924">
            <w:pPr>
              <w:jc w:val="center"/>
              <w:rPr>
                <w:noProof w:val="0"/>
                <w:sz w:val="20"/>
                <w:szCs w:val="20"/>
              </w:rPr>
            </w:pPr>
            <w:r w:rsidRPr="00036A98">
              <w:rPr>
                <w:noProof w:val="0"/>
                <w:sz w:val="20"/>
              </w:rPr>
              <w:t>1</w:t>
            </w:r>
          </w:p>
        </w:tc>
        <w:tc>
          <w:tcPr>
            <w:tcW w:w="946" w:type="pct"/>
            <w:noWrap/>
            <w:hideMark/>
          </w:tcPr>
          <w:p w:rsidR="008F29BD" w:rsidRPr="00036A98" w:rsidP="007B2924">
            <w:pPr>
              <w:jc w:val="center"/>
              <w:rPr>
                <w:noProof w:val="0"/>
                <w:sz w:val="20"/>
                <w:szCs w:val="20"/>
              </w:rPr>
            </w:pPr>
            <w:r w:rsidRPr="00036A98">
              <w:rPr>
                <w:noProof w:val="0"/>
                <w:sz w:val="20"/>
              </w:rPr>
              <w:t>0</w:t>
            </w:r>
          </w:p>
        </w:tc>
        <w:tc>
          <w:tcPr>
            <w:tcW w:w="711" w:type="pct"/>
            <w:hideMark/>
          </w:tcPr>
          <w:p w:rsidR="008F29BD" w:rsidRPr="00036A98" w:rsidP="007B2924">
            <w:pPr>
              <w:jc w:val="center"/>
              <w:rPr>
                <w:noProof w:val="0"/>
                <w:sz w:val="20"/>
                <w:szCs w:val="20"/>
              </w:rPr>
            </w:pPr>
            <w:r w:rsidRPr="00036A98">
              <w:rPr>
                <w:noProof w:val="0"/>
                <w:sz w:val="20"/>
              </w:rPr>
              <w:t>16</w:t>
            </w:r>
          </w:p>
        </w:tc>
        <w:tc>
          <w:tcPr>
            <w:tcW w:w="656" w:type="pct"/>
            <w:hideMark/>
          </w:tcPr>
          <w:p w:rsidR="008F29BD" w:rsidRPr="00036A98" w:rsidP="007B2924">
            <w:pPr>
              <w:jc w:val="center"/>
              <w:rPr>
                <w:noProof w:val="0"/>
                <w:sz w:val="20"/>
                <w:szCs w:val="20"/>
              </w:rPr>
            </w:pPr>
            <w:r w:rsidRPr="00036A98">
              <w:rPr>
                <w:noProof w:val="0"/>
                <w:sz w:val="20"/>
              </w:rPr>
              <w:t>1</w:t>
            </w:r>
          </w:p>
        </w:tc>
        <w:tc>
          <w:tcPr>
            <w:tcW w:w="656" w:type="pct"/>
            <w:hideMark/>
          </w:tcPr>
          <w:p w:rsidR="008F29BD" w:rsidRPr="00036A98" w:rsidP="007B2924">
            <w:pPr>
              <w:jc w:val="center"/>
              <w:rPr>
                <w:noProof w:val="0"/>
                <w:sz w:val="20"/>
                <w:szCs w:val="20"/>
              </w:rPr>
            </w:pPr>
            <w:r w:rsidRPr="00036A98">
              <w:rPr>
                <w:noProof w:val="0"/>
                <w:sz w:val="20"/>
              </w:rPr>
              <w:t>4</w:t>
            </w:r>
          </w:p>
        </w:tc>
        <w:tc>
          <w:tcPr>
            <w:tcW w:w="445" w:type="pct"/>
            <w:hideMark/>
          </w:tcPr>
          <w:p w:rsidR="008F29BD" w:rsidRPr="00036A98" w:rsidP="007B2924">
            <w:pPr>
              <w:jc w:val="center"/>
              <w:rPr>
                <w:noProof w:val="0"/>
                <w:sz w:val="20"/>
                <w:szCs w:val="20"/>
              </w:rPr>
            </w:pPr>
            <w:r w:rsidRPr="00036A98">
              <w:rPr>
                <w:noProof w:val="0"/>
                <w:sz w:val="20"/>
              </w:rPr>
              <w:t>124</w:t>
            </w:r>
          </w:p>
        </w:tc>
      </w:tr>
      <w:tr w:rsidTr="00A13C40">
        <w:tblPrEx>
          <w:tblW w:w="5000" w:type="pct"/>
          <w:tblLook w:val="04A0"/>
        </w:tblPrEx>
        <w:trPr>
          <w:trHeight w:val="307"/>
        </w:trPr>
        <w:tc>
          <w:tcPr>
            <w:tcW w:w="462" w:type="pct"/>
            <w:noWrap/>
            <w:hideMark/>
          </w:tcPr>
          <w:p w:rsidR="008F29BD" w:rsidRPr="00036A98" w:rsidP="007B2924">
            <w:pPr>
              <w:jc w:val="center"/>
              <w:rPr>
                <w:noProof w:val="0"/>
                <w:sz w:val="20"/>
                <w:szCs w:val="20"/>
              </w:rPr>
            </w:pPr>
            <w:r w:rsidRPr="00036A98">
              <w:rPr>
                <w:noProof w:val="0"/>
                <w:sz w:val="20"/>
              </w:rPr>
              <w:t>2015</w:t>
            </w:r>
          </w:p>
        </w:tc>
        <w:tc>
          <w:tcPr>
            <w:tcW w:w="468" w:type="pct"/>
            <w:noWrap/>
            <w:hideMark/>
          </w:tcPr>
          <w:p w:rsidR="008F29BD" w:rsidRPr="00036A98" w:rsidP="007B2924">
            <w:pPr>
              <w:jc w:val="center"/>
              <w:rPr>
                <w:noProof w:val="0"/>
                <w:sz w:val="20"/>
                <w:szCs w:val="20"/>
              </w:rPr>
            </w:pPr>
            <w:r w:rsidRPr="00036A98">
              <w:rPr>
                <w:noProof w:val="0"/>
                <w:sz w:val="20"/>
              </w:rPr>
              <w:t>104</w:t>
            </w:r>
          </w:p>
        </w:tc>
        <w:tc>
          <w:tcPr>
            <w:tcW w:w="656" w:type="pct"/>
            <w:noWrap/>
            <w:hideMark/>
          </w:tcPr>
          <w:p w:rsidR="008F29BD" w:rsidRPr="00036A98" w:rsidP="007B2924">
            <w:pPr>
              <w:jc w:val="center"/>
              <w:rPr>
                <w:noProof w:val="0"/>
                <w:sz w:val="20"/>
                <w:szCs w:val="20"/>
              </w:rPr>
            </w:pPr>
            <w:r w:rsidRPr="00036A98">
              <w:rPr>
                <w:noProof w:val="0"/>
                <w:sz w:val="20"/>
              </w:rPr>
              <w:t>14</w:t>
            </w:r>
          </w:p>
        </w:tc>
        <w:tc>
          <w:tcPr>
            <w:tcW w:w="946" w:type="pct"/>
            <w:noWrap/>
            <w:hideMark/>
          </w:tcPr>
          <w:p w:rsidR="008F29BD" w:rsidRPr="00036A98" w:rsidP="007B2924">
            <w:pPr>
              <w:jc w:val="center"/>
              <w:rPr>
                <w:noProof w:val="0"/>
                <w:sz w:val="20"/>
                <w:szCs w:val="20"/>
              </w:rPr>
            </w:pPr>
            <w:r w:rsidRPr="00036A98">
              <w:rPr>
                <w:noProof w:val="0"/>
                <w:sz w:val="20"/>
              </w:rPr>
              <w:t>2</w:t>
            </w:r>
          </w:p>
        </w:tc>
        <w:tc>
          <w:tcPr>
            <w:tcW w:w="711" w:type="pct"/>
            <w:hideMark/>
          </w:tcPr>
          <w:p w:rsidR="008F29BD" w:rsidRPr="00036A98" w:rsidP="007B2924">
            <w:pPr>
              <w:jc w:val="center"/>
              <w:rPr>
                <w:noProof w:val="0"/>
                <w:sz w:val="20"/>
                <w:szCs w:val="20"/>
              </w:rPr>
            </w:pPr>
            <w:r w:rsidRPr="00036A98">
              <w:rPr>
                <w:noProof w:val="0"/>
                <w:sz w:val="20"/>
              </w:rPr>
              <w:t>13</w:t>
            </w:r>
          </w:p>
        </w:tc>
        <w:tc>
          <w:tcPr>
            <w:tcW w:w="656" w:type="pct"/>
            <w:hideMark/>
          </w:tcPr>
          <w:p w:rsidR="008F29BD" w:rsidRPr="00036A98" w:rsidP="007B2924">
            <w:pPr>
              <w:jc w:val="center"/>
              <w:rPr>
                <w:noProof w:val="0"/>
                <w:sz w:val="20"/>
                <w:szCs w:val="20"/>
              </w:rPr>
            </w:pPr>
            <w:r w:rsidRPr="00036A98">
              <w:rPr>
                <w:noProof w:val="0"/>
                <w:sz w:val="20"/>
              </w:rPr>
              <w:t>0</w:t>
            </w:r>
          </w:p>
        </w:tc>
        <w:tc>
          <w:tcPr>
            <w:tcW w:w="656" w:type="pct"/>
            <w:hideMark/>
          </w:tcPr>
          <w:p w:rsidR="008F29BD" w:rsidRPr="00036A98" w:rsidP="007B2924">
            <w:pPr>
              <w:jc w:val="center"/>
              <w:rPr>
                <w:noProof w:val="0"/>
                <w:sz w:val="20"/>
                <w:szCs w:val="20"/>
              </w:rPr>
            </w:pPr>
            <w:r w:rsidRPr="00036A98">
              <w:rPr>
                <w:noProof w:val="0"/>
                <w:sz w:val="20"/>
              </w:rPr>
              <w:t>0</w:t>
            </w:r>
          </w:p>
        </w:tc>
        <w:tc>
          <w:tcPr>
            <w:tcW w:w="445" w:type="pct"/>
            <w:hideMark/>
          </w:tcPr>
          <w:p w:rsidR="008F29BD" w:rsidRPr="00036A98" w:rsidP="007B2924">
            <w:pPr>
              <w:jc w:val="center"/>
              <w:rPr>
                <w:noProof w:val="0"/>
                <w:sz w:val="20"/>
                <w:szCs w:val="20"/>
              </w:rPr>
            </w:pPr>
            <w:r w:rsidRPr="00036A98">
              <w:rPr>
                <w:noProof w:val="0"/>
                <w:sz w:val="20"/>
              </w:rPr>
              <w:t>133</w:t>
            </w:r>
          </w:p>
        </w:tc>
      </w:tr>
      <w:tr w:rsidTr="00A13C40">
        <w:tblPrEx>
          <w:tblW w:w="5000" w:type="pct"/>
          <w:tblLook w:val="04A0"/>
        </w:tblPrEx>
        <w:trPr>
          <w:trHeight w:val="307"/>
        </w:trPr>
        <w:tc>
          <w:tcPr>
            <w:tcW w:w="462" w:type="pct"/>
            <w:noWrap/>
          </w:tcPr>
          <w:p w:rsidR="008F29BD" w:rsidRPr="00036A98" w:rsidP="007B2924">
            <w:pPr>
              <w:jc w:val="center"/>
              <w:rPr>
                <w:noProof w:val="0"/>
                <w:sz w:val="20"/>
                <w:szCs w:val="20"/>
              </w:rPr>
            </w:pPr>
            <w:r w:rsidRPr="00036A98">
              <w:rPr>
                <w:noProof w:val="0"/>
                <w:sz w:val="20"/>
              </w:rPr>
              <w:t>2016</w:t>
            </w:r>
          </w:p>
        </w:tc>
        <w:tc>
          <w:tcPr>
            <w:tcW w:w="468" w:type="pct"/>
            <w:noWrap/>
          </w:tcPr>
          <w:p w:rsidR="008F29BD" w:rsidRPr="00036A98" w:rsidP="007B2924">
            <w:pPr>
              <w:jc w:val="center"/>
              <w:rPr>
                <w:noProof w:val="0"/>
                <w:sz w:val="20"/>
                <w:szCs w:val="20"/>
              </w:rPr>
            </w:pPr>
            <w:r w:rsidRPr="00036A98">
              <w:rPr>
                <w:noProof w:val="0"/>
                <w:sz w:val="20"/>
              </w:rPr>
              <w:t>83</w:t>
            </w:r>
          </w:p>
        </w:tc>
        <w:tc>
          <w:tcPr>
            <w:tcW w:w="656" w:type="pct"/>
            <w:noWrap/>
          </w:tcPr>
          <w:p w:rsidR="008F29BD" w:rsidRPr="00036A98" w:rsidP="007B2924">
            <w:pPr>
              <w:jc w:val="center"/>
              <w:rPr>
                <w:noProof w:val="0"/>
                <w:sz w:val="20"/>
                <w:szCs w:val="20"/>
              </w:rPr>
            </w:pPr>
            <w:r w:rsidRPr="00036A98">
              <w:rPr>
                <w:noProof w:val="0"/>
                <w:sz w:val="20"/>
              </w:rPr>
              <w:t>11</w:t>
            </w:r>
          </w:p>
        </w:tc>
        <w:tc>
          <w:tcPr>
            <w:tcW w:w="946" w:type="pct"/>
            <w:noWrap/>
          </w:tcPr>
          <w:p w:rsidR="008F29BD" w:rsidRPr="00036A98" w:rsidP="007B2924">
            <w:pPr>
              <w:jc w:val="center"/>
              <w:rPr>
                <w:noProof w:val="0"/>
                <w:sz w:val="20"/>
                <w:szCs w:val="20"/>
              </w:rPr>
            </w:pPr>
            <w:r w:rsidRPr="00036A98">
              <w:rPr>
                <w:noProof w:val="0"/>
                <w:sz w:val="20"/>
              </w:rPr>
              <w:t>0</w:t>
            </w:r>
          </w:p>
        </w:tc>
        <w:tc>
          <w:tcPr>
            <w:tcW w:w="711" w:type="pct"/>
          </w:tcPr>
          <w:p w:rsidR="008F29BD" w:rsidRPr="00036A98" w:rsidP="007B2924">
            <w:pPr>
              <w:jc w:val="center"/>
              <w:rPr>
                <w:noProof w:val="0"/>
                <w:sz w:val="20"/>
                <w:szCs w:val="20"/>
              </w:rPr>
            </w:pPr>
            <w:r w:rsidRPr="00036A98">
              <w:rPr>
                <w:noProof w:val="0"/>
                <w:sz w:val="20"/>
              </w:rPr>
              <w:t>20</w:t>
            </w:r>
          </w:p>
        </w:tc>
        <w:tc>
          <w:tcPr>
            <w:tcW w:w="656" w:type="pct"/>
          </w:tcPr>
          <w:p w:rsidR="008F29BD" w:rsidRPr="00036A98" w:rsidP="007B2924">
            <w:pPr>
              <w:jc w:val="center"/>
              <w:rPr>
                <w:noProof w:val="0"/>
                <w:sz w:val="20"/>
                <w:szCs w:val="20"/>
              </w:rPr>
            </w:pPr>
            <w:r w:rsidRPr="00036A98">
              <w:rPr>
                <w:noProof w:val="0"/>
                <w:sz w:val="20"/>
              </w:rPr>
              <w:t>2</w:t>
            </w:r>
          </w:p>
        </w:tc>
        <w:tc>
          <w:tcPr>
            <w:tcW w:w="656" w:type="pct"/>
          </w:tcPr>
          <w:p w:rsidR="008F29BD" w:rsidRPr="00036A98" w:rsidP="007B2924">
            <w:pPr>
              <w:jc w:val="center"/>
              <w:rPr>
                <w:noProof w:val="0"/>
                <w:sz w:val="20"/>
                <w:szCs w:val="20"/>
              </w:rPr>
            </w:pPr>
            <w:r w:rsidRPr="00036A98">
              <w:rPr>
                <w:noProof w:val="0"/>
                <w:sz w:val="20"/>
              </w:rPr>
              <w:t>0</w:t>
            </w:r>
          </w:p>
        </w:tc>
        <w:tc>
          <w:tcPr>
            <w:tcW w:w="445" w:type="pct"/>
          </w:tcPr>
          <w:p w:rsidR="008F29BD" w:rsidRPr="00036A98" w:rsidP="007B2924">
            <w:pPr>
              <w:jc w:val="center"/>
              <w:rPr>
                <w:noProof w:val="0"/>
                <w:sz w:val="20"/>
                <w:szCs w:val="20"/>
              </w:rPr>
            </w:pPr>
            <w:r w:rsidRPr="00036A98">
              <w:rPr>
                <w:noProof w:val="0"/>
                <w:sz w:val="20"/>
              </w:rPr>
              <w:t>116</w:t>
            </w:r>
          </w:p>
        </w:tc>
      </w:tr>
      <w:tr w:rsidTr="00A13C40">
        <w:tblPrEx>
          <w:tblW w:w="5000" w:type="pct"/>
          <w:tblLook w:val="04A0"/>
        </w:tblPrEx>
        <w:trPr>
          <w:trHeight w:val="307"/>
        </w:trPr>
        <w:tc>
          <w:tcPr>
            <w:tcW w:w="462" w:type="pct"/>
            <w:noWrap/>
          </w:tcPr>
          <w:p w:rsidR="00EA0DAA" w:rsidRPr="00036A98" w:rsidP="007B2924">
            <w:pPr>
              <w:jc w:val="center"/>
              <w:rPr>
                <w:noProof w:val="0"/>
                <w:sz w:val="20"/>
                <w:szCs w:val="20"/>
              </w:rPr>
            </w:pPr>
            <w:r w:rsidRPr="00036A98">
              <w:rPr>
                <w:noProof w:val="0"/>
                <w:sz w:val="20"/>
              </w:rPr>
              <w:t>2017</w:t>
            </w:r>
          </w:p>
        </w:tc>
        <w:tc>
          <w:tcPr>
            <w:tcW w:w="468" w:type="pct"/>
            <w:noWrap/>
          </w:tcPr>
          <w:p w:rsidR="00EA0DAA" w:rsidRPr="00036A98" w:rsidP="007B2924">
            <w:pPr>
              <w:jc w:val="center"/>
              <w:rPr>
                <w:noProof w:val="0"/>
                <w:sz w:val="20"/>
                <w:szCs w:val="20"/>
              </w:rPr>
            </w:pPr>
            <w:r w:rsidRPr="00036A98">
              <w:rPr>
                <w:noProof w:val="0"/>
                <w:sz w:val="20"/>
              </w:rPr>
              <w:t>68</w:t>
            </w:r>
          </w:p>
        </w:tc>
        <w:tc>
          <w:tcPr>
            <w:tcW w:w="656" w:type="pct"/>
            <w:noWrap/>
          </w:tcPr>
          <w:p w:rsidR="00EA0DAA" w:rsidRPr="00036A98" w:rsidP="007B2924">
            <w:pPr>
              <w:jc w:val="center"/>
              <w:rPr>
                <w:noProof w:val="0"/>
                <w:sz w:val="20"/>
                <w:szCs w:val="20"/>
              </w:rPr>
            </w:pPr>
            <w:r w:rsidRPr="00036A98">
              <w:rPr>
                <w:noProof w:val="0"/>
                <w:sz w:val="20"/>
              </w:rPr>
              <w:t>0</w:t>
            </w:r>
          </w:p>
        </w:tc>
        <w:tc>
          <w:tcPr>
            <w:tcW w:w="946" w:type="pct"/>
            <w:noWrap/>
          </w:tcPr>
          <w:p w:rsidR="00EA0DAA" w:rsidRPr="00036A98" w:rsidP="007B2924">
            <w:pPr>
              <w:jc w:val="center"/>
              <w:rPr>
                <w:noProof w:val="0"/>
                <w:sz w:val="20"/>
                <w:szCs w:val="20"/>
              </w:rPr>
            </w:pPr>
            <w:r w:rsidRPr="00036A98">
              <w:rPr>
                <w:noProof w:val="0"/>
                <w:sz w:val="20"/>
              </w:rPr>
              <w:t>0</w:t>
            </w:r>
          </w:p>
        </w:tc>
        <w:tc>
          <w:tcPr>
            <w:tcW w:w="711" w:type="pct"/>
          </w:tcPr>
          <w:p w:rsidR="00EA0DAA" w:rsidRPr="00036A98" w:rsidP="007B2924">
            <w:pPr>
              <w:jc w:val="center"/>
              <w:rPr>
                <w:noProof w:val="0"/>
                <w:sz w:val="20"/>
                <w:szCs w:val="20"/>
              </w:rPr>
            </w:pPr>
            <w:r w:rsidRPr="00036A98">
              <w:rPr>
                <w:noProof w:val="0"/>
                <w:sz w:val="20"/>
              </w:rPr>
              <w:t>23</w:t>
            </w:r>
          </w:p>
        </w:tc>
        <w:tc>
          <w:tcPr>
            <w:tcW w:w="656" w:type="pct"/>
          </w:tcPr>
          <w:p w:rsidR="00EA0DAA" w:rsidRPr="00036A98" w:rsidP="007B2924">
            <w:pPr>
              <w:jc w:val="center"/>
              <w:rPr>
                <w:noProof w:val="0"/>
                <w:sz w:val="20"/>
                <w:szCs w:val="20"/>
              </w:rPr>
            </w:pPr>
            <w:r w:rsidRPr="00036A98">
              <w:rPr>
                <w:noProof w:val="0"/>
                <w:sz w:val="20"/>
              </w:rPr>
              <w:t>0</w:t>
            </w:r>
          </w:p>
        </w:tc>
        <w:tc>
          <w:tcPr>
            <w:tcW w:w="656" w:type="pct"/>
          </w:tcPr>
          <w:p w:rsidR="00EA0DAA" w:rsidRPr="00036A98" w:rsidP="007B2924">
            <w:pPr>
              <w:jc w:val="center"/>
              <w:rPr>
                <w:noProof w:val="0"/>
                <w:sz w:val="20"/>
                <w:szCs w:val="20"/>
              </w:rPr>
            </w:pPr>
            <w:r w:rsidRPr="00036A98">
              <w:rPr>
                <w:noProof w:val="0"/>
                <w:sz w:val="20"/>
              </w:rPr>
              <w:t>0</w:t>
            </w:r>
          </w:p>
        </w:tc>
        <w:tc>
          <w:tcPr>
            <w:tcW w:w="445" w:type="pct"/>
          </w:tcPr>
          <w:p w:rsidR="00EA0DAA" w:rsidRPr="00036A98" w:rsidP="007B2924">
            <w:pPr>
              <w:jc w:val="center"/>
              <w:rPr>
                <w:noProof w:val="0"/>
                <w:sz w:val="20"/>
                <w:szCs w:val="20"/>
              </w:rPr>
            </w:pPr>
            <w:r w:rsidRPr="00036A98">
              <w:rPr>
                <w:noProof w:val="0"/>
                <w:sz w:val="20"/>
              </w:rPr>
              <w:t>91</w:t>
            </w:r>
          </w:p>
        </w:tc>
      </w:tr>
    </w:tbl>
    <w:p w:rsidR="00745066" w:rsidRPr="00036A98" w:rsidP="002F5A3F">
      <w:pPr>
        <w:keepNext/>
        <w:numPr>
          <w:ilvl w:val="0"/>
          <w:numId w:val="4"/>
        </w:numPr>
        <w:tabs>
          <w:tab w:val="left" w:pos="993"/>
        </w:tabs>
        <w:spacing w:before="120"/>
        <w:ind w:left="0" w:firstLine="709"/>
        <w:jc w:val="both"/>
        <w:rPr>
          <w:rFonts w:eastAsia="Calibri"/>
          <w:noProof w:val="0"/>
          <w:u w:val="single"/>
        </w:rPr>
      </w:pPr>
      <w:r w:rsidRPr="00036A98">
        <w:rPr>
          <w:noProof w:val="0"/>
          <w:u w:val="single"/>
        </w:rPr>
        <w:t>Indicators for calculation of the economic impact of accidents:</w:t>
      </w:r>
    </w:p>
    <w:p w:rsidR="007063AA" w:rsidRPr="00036A98" w:rsidP="007B2924">
      <w:pPr>
        <w:ind w:firstLine="709"/>
        <w:jc w:val="both"/>
        <w:rPr>
          <w:rFonts w:eastAsia="Calibri"/>
          <w:noProof w:val="0"/>
        </w:rPr>
      </w:pPr>
      <w:r w:rsidRPr="00036A98">
        <w:t>In 2017, in Bulgaria, there was a 15% decrease in the C15, ‘</w:t>
      </w:r>
      <w:r w:rsidRPr="00036A98">
        <w:rPr>
          <w:i/>
          <w:noProof w:val="0"/>
        </w:rPr>
        <w:t>Minutes of delays of passenger trains of significant accidents</w:t>
      </w:r>
      <w:r w:rsidRPr="00036A98">
        <w:t>’ indicator, compared to 2016 (2017: 5219 minutes; 2016: 6166 minutes; 2015: 12 833 minutes; 2014: 10 882 minutes).</w:t>
      </w:r>
    </w:p>
    <w:p w:rsidR="00745066" w:rsidRPr="00036A98" w:rsidP="00EF1E96">
      <w:pPr>
        <w:numPr>
          <w:ilvl w:val="0"/>
          <w:numId w:val="4"/>
        </w:numPr>
        <w:tabs>
          <w:tab w:val="left" w:pos="993"/>
        </w:tabs>
        <w:spacing w:before="120"/>
        <w:ind w:left="0" w:firstLine="709"/>
        <w:jc w:val="both"/>
        <w:rPr>
          <w:rFonts w:eastAsia="Calibri"/>
          <w:noProof w:val="0"/>
          <w:u w:val="single"/>
        </w:rPr>
      </w:pPr>
      <w:r w:rsidRPr="00036A98">
        <w:rPr>
          <w:noProof w:val="0"/>
          <w:u w:val="single"/>
        </w:rPr>
        <w:t>Safety indicators related to the technical safety of the RI:</w:t>
      </w:r>
    </w:p>
    <w:p w:rsidR="00A63400" w:rsidRPr="00036A98" w:rsidP="007B2924">
      <w:pPr>
        <w:ind w:firstLine="709"/>
        <w:jc w:val="both"/>
        <w:rPr>
          <w:rFonts w:eastAsia="Calibri"/>
          <w:noProof w:val="0"/>
        </w:rPr>
      </w:pPr>
      <w:r w:rsidRPr="00036A98">
        <w:t>Data on some of the safety indicators related to the technical safety of the infrastructure and its use (‘</w:t>
      </w:r>
      <w:r w:rsidRPr="00036A98">
        <w:rPr>
          <w:i/>
          <w:noProof w:val="0"/>
        </w:rPr>
        <w:t>Train Protection Systems (TPS)</w:t>
      </w:r>
      <w:r w:rsidRPr="00036A98">
        <w:t>’</w:t>
      </w:r>
      <w:r>
        <w:rPr>
          <w:rStyle w:val="FootnoteReference"/>
          <w:noProof w:val="0"/>
        </w:rPr>
        <w:footnoteReference w:id="29"/>
      </w:r>
      <w:r w:rsidRPr="00036A98">
        <w:t xml:space="preserve"> and ‘</w:t>
      </w:r>
      <w:r w:rsidRPr="00036A98">
        <w:rPr>
          <w:i/>
          <w:noProof w:val="0"/>
        </w:rPr>
        <w:t>Level crossings</w:t>
      </w:r>
      <w:r w:rsidRPr="00036A98">
        <w:t>’</w:t>
      </w:r>
      <w:r>
        <w:rPr>
          <w:rStyle w:val="FootnoteReference"/>
          <w:noProof w:val="0"/>
        </w:rPr>
        <w:footnoteReference w:id="30"/>
      </w:r>
      <w:r w:rsidRPr="00036A98">
        <w:t>) are provided in Table 5 below:</w:t>
      </w:r>
    </w:p>
    <w:p w:rsidR="005E0F91" w:rsidRPr="00036A98" w:rsidP="004C5C8D">
      <w:pPr>
        <w:pStyle w:val="Caption"/>
        <w:keepNext/>
        <w:spacing w:before="120" w:after="120"/>
        <w:jc w:val="center"/>
        <w:rPr>
          <w:sz w:val="16"/>
        </w:rPr>
      </w:pPr>
      <w:r w:rsidRPr="00036A98">
        <w:rPr>
          <w:color w:val="000000" w:themeColor="text1"/>
          <w:sz w:val="16"/>
        </w:rPr>
        <w:t xml:space="preserve">Table </w:t>
      </w:r>
      <w:r w:rsidRPr="00036A98">
        <w:rPr>
          <w:color w:val="000000" w:themeColor="text1"/>
          <w:sz w:val="16"/>
        </w:rPr>
        <w:fldChar w:fldCharType="begin"/>
      </w:r>
      <w:r w:rsidRPr="00036A98">
        <w:rPr>
          <w:color w:val="000000" w:themeColor="text1"/>
          <w:sz w:val="16"/>
        </w:rPr>
        <w:instrText xml:space="preserve"> SEQ таблица \* ARABIC </w:instrText>
      </w:r>
      <w:r w:rsidRPr="00036A98">
        <w:rPr>
          <w:color w:val="000000" w:themeColor="text1"/>
          <w:sz w:val="16"/>
        </w:rPr>
        <w:fldChar w:fldCharType="separate"/>
      </w:r>
      <w:r w:rsidRPr="00036A98" w:rsidR="00FE2542">
        <w:rPr>
          <w:color w:val="000000" w:themeColor="text1"/>
          <w:sz w:val="16"/>
        </w:rPr>
        <w:t>5</w:t>
      </w:r>
      <w:r w:rsidRPr="00036A98">
        <w:rPr>
          <w:color w:val="000000" w:themeColor="text1"/>
          <w:sz w:val="16"/>
        </w:rPr>
        <w:fldChar w:fldCharType="end"/>
      </w:r>
      <w:r w:rsidRPr="00036A98">
        <w:rPr>
          <w:b w:val="0"/>
          <w:color w:val="000000" w:themeColor="text1"/>
          <w:sz w:val="16"/>
        </w:rPr>
        <w:t>: CSI related to the technical safety of the RI in Bulgaria, for the 2013–2017 period</w:t>
      </w:r>
    </w:p>
    <w:tbl>
      <w:tblPr>
        <w:tblStyle w:val="TableGrid"/>
        <w:tblW w:w="5000" w:type="pct"/>
        <w:tblLook w:val="04A0"/>
      </w:tblPr>
      <w:tblGrid>
        <w:gridCol w:w="634"/>
        <w:gridCol w:w="846"/>
        <w:gridCol w:w="852"/>
        <w:gridCol w:w="808"/>
        <w:gridCol w:w="738"/>
        <w:gridCol w:w="1233"/>
        <w:gridCol w:w="1094"/>
        <w:gridCol w:w="1320"/>
        <w:gridCol w:w="1264"/>
        <w:gridCol w:w="840"/>
      </w:tblGrid>
      <w:tr w:rsidTr="00A13C40">
        <w:tblPrEx>
          <w:tblW w:w="5000" w:type="pct"/>
          <w:tblLook w:val="04A0"/>
        </w:tblPrEx>
        <w:trPr>
          <w:trHeight w:val="4"/>
        </w:trPr>
        <w:tc>
          <w:tcPr>
            <w:tcW w:w="334" w:type="pct"/>
          </w:tcPr>
          <w:p w:rsidR="00A0775F" w:rsidRPr="00036A98" w:rsidP="007B2924">
            <w:pPr>
              <w:jc w:val="center"/>
              <w:rPr>
                <w:b/>
                <w:noProof w:val="0"/>
                <w:sz w:val="14"/>
                <w:szCs w:val="20"/>
              </w:rPr>
            </w:pPr>
            <w:r w:rsidRPr="00036A98">
              <w:rPr>
                <w:noProof w:val="0"/>
                <w:sz w:val="14"/>
              </w:rPr>
              <w:t>Year</w:t>
            </w:r>
          </w:p>
        </w:tc>
        <w:tc>
          <w:tcPr>
            <w:tcW w:w="444" w:type="pct"/>
          </w:tcPr>
          <w:p w:rsidR="00A0775F" w:rsidRPr="00036A98" w:rsidP="007B2924">
            <w:pPr>
              <w:jc w:val="center"/>
              <w:rPr>
                <w:b/>
                <w:noProof w:val="0"/>
                <w:sz w:val="14"/>
                <w:szCs w:val="14"/>
              </w:rPr>
            </w:pPr>
            <w:r w:rsidRPr="00036A98">
              <w:rPr>
                <w:noProof w:val="0"/>
                <w:sz w:val="14"/>
              </w:rPr>
              <w:t>Percentage of railways in Bulgaria with active TPSs</w:t>
            </w:r>
          </w:p>
          <w:p w:rsidR="00A0775F" w:rsidRPr="00036A98" w:rsidP="007B2924">
            <w:pPr>
              <w:jc w:val="center"/>
              <w:rPr>
                <w:b/>
                <w:noProof w:val="0"/>
                <w:sz w:val="14"/>
                <w:szCs w:val="14"/>
              </w:rPr>
            </w:pPr>
          </w:p>
          <w:p w:rsidR="00312550" w:rsidRPr="00036A98" w:rsidP="007B2924">
            <w:pPr>
              <w:jc w:val="center"/>
              <w:rPr>
                <w:b/>
                <w:noProof w:val="0"/>
                <w:sz w:val="14"/>
                <w:szCs w:val="14"/>
              </w:rPr>
            </w:pPr>
          </w:p>
          <w:p w:rsidR="00A0775F" w:rsidRPr="00036A98" w:rsidP="007B2924">
            <w:pPr>
              <w:jc w:val="center"/>
              <w:rPr>
                <w:b/>
                <w:noProof w:val="0"/>
                <w:sz w:val="14"/>
                <w:szCs w:val="14"/>
              </w:rPr>
            </w:pPr>
            <w:r w:rsidRPr="00036A98">
              <w:rPr>
                <w:noProof w:val="0"/>
                <w:sz w:val="14"/>
              </w:rPr>
              <w:t>[ % ]</w:t>
            </w:r>
          </w:p>
        </w:tc>
        <w:tc>
          <w:tcPr>
            <w:tcW w:w="447" w:type="pct"/>
          </w:tcPr>
          <w:p w:rsidR="00A0775F" w:rsidRPr="00036A98" w:rsidP="007B2924">
            <w:pPr>
              <w:jc w:val="center"/>
              <w:rPr>
                <w:b/>
                <w:noProof w:val="0"/>
                <w:sz w:val="14"/>
                <w:szCs w:val="14"/>
              </w:rPr>
            </w:pPr>
            <w:r w:rsidRPr="00036A98">
              <w:rPr>
                <w:noProof w:val="0"/>
                <w:sz w:val="14"/>
              </w:rPr>
              <w:t>Percentage of train–km with Train Protection Systems (TPSs) in operation</w:t>
            </w:r>
          </w:p>
          <w:p w:rsidR="00A0775F" w:rsidRPr="00036A98" w:rsidP="007B2924">
            <w:pPr>
              <w:jc w:val="center"/>
              <w:rPr>
                <w:b/>
                <w:noProof w:val="0"/>
                <w:sz w:val="14"/>
                <w:szCs w:val="14"/>
              </w:rPr>
            </w:pPr>
          </w:p>
          <w:p w:rsidR="00312550" w:rsidRPr="00036A98" w:rsidP="007B2924">
            <w:pPr>
              <w:jc w:val="center"/>
              <w:rPr>
                <w:b/>
                <w:noProof w:val="0"/>
                <w:sz w:val="14"/>
                <w:szCs w:val="14"/>
              </w:rPr>
            </w:pPr>
          </w:p>
          <w:p w:rsidR="00A0775F" w:rsidRPr="00036A98" w:rsidP="007B2924">
            <w:pPr>
              <w:jc w:val="center"/>
              <w:rPr>
                <w:b/>
                <w:noProof w:val="0"/>
                <w:sz w:val="14"/>
                <w:szCs w:val="14"/>
              </w:rPr>
            </w:pPr>
            <w:r w:rsidRPr="00036A98">
              <w:rPr>
                <w:noProof w:val="0"/>
                <w:sz w:val="14"/>
              </w:rPr>
              <w:t>[ % ]</w:t>
            </w:r>
          </w:p>
        </w:tc>
        <w:tc>
          <w:tcPr>
            <w:tcW w:w="406" w:type="pct"/>
          </w:tcPr>
          <w:p w:rsidR="00A0775F" w:rsidRPr="00036A98" w:rsidP="007B2924">
            <w:pPr>
              <w:jc w:val="center"/>
              <w:rPr>
                <w:b/>
                <w:noProof w:val="0"/>
                <w:sz w:val="14"/>
                <w:szCs w:val="14"/>
              </w:rPr>
            </w:pPr>
            <w:r w:rsidRPr="00036A98">
              <w:rPr>
                <w:noProof w:val="0"/>
                <w:sz w:val="14"/>
              </w:rPr>
              <w:t>Total number of active and passive level crossings*</w:t>
            </w:r>
          </w:p>
          <w:p w:rsidR="00A0775F" w:rsidRPr="00036A98" w:rsidP="007B2924">
            <w:pPr>
              <w:jc w:val="center"/>
              <w:rPr>
                <w:b/>
                <w:noProof w:val="0"/>
                <w:sz w:val="14"/>
                <w:szCs w:val="14"/>
              </w:rPr>
            </w:pPr>
          </w:p>
          <w:p w:rsidR="00312550" w:rsidRPr="00036A98" w:rsidP="007B2924">
            <w:pPr>
              <w:jc w:val="center"/>
              <w:rPr>
                <w:b/>
                <w:noProof w:val="0"/>
                <w:sz w:val="14"/>
                <w:szCs w:val="14"/>
              </w:rPr>
            </w:pPr>
          </w:p>
          <w:p w:rsidR="00A0775F" w:rsidRPr="00036A98" w:rsidP="007B2924">
            <w:pPr>
              <w:jc w:val="center"/>
              <w:rPr>
                <w:b/>
                <w:noProof w:val="0"/>
                <w:sz w:val="14"/>
                <w:szCs w:val="14"/>
              </w:rPr>
            </w:pPr>
            <w:r w:rsidRPr="00036A98">
              <w:rPr>
                <w:noProof w:val="0"/>
                <w:sz w:val="14"/>
              </w:rPr>
              <w:t>[ number ]</w:t>
            </w:r>
          </w:p>
        </w:tc>
        <w:tc>
          <w:tcPr>
            <w:tcW w:w="358" w:type="pct"/>
          </w:tcPr>
          <w:p w:rsidR="00A0775F" w:rsidRPr="00036A98" w:rsidP="007B2924">
            <w:pPr>
              <w:jc w:val="center"/>
              <w:rPr>
                <w:b/>
                <w:noProof w:val="0"/>
                <w:sz w:val="14"/>
                <w:szCs w:val="14"/>
              </w:rPr>
            </w:pPr>
            <w:r w:rsidRPr="00036A98">
              <w:rPr>
                <w:noProof w:val="0"/>
                <w:sz w:val="14"/>
              </w:rPr>
              <w:t xml:space="preserve">Total number of active level crossings </w:t>
            </w:r>
          </w:p>
          <w:p w:rsidR="00315C42" w:rsidRPr="00036A98" w:rsidP="007B2924">
            <w:pPr>
              <w:jc w:val="center"/>
              <w:rPr>
                <w:b/>
                <w:noProof w:val="0"/>
                <w:sz w:val="14"/>
                <w:szCs w:val="14"/>
              </w:rPr>
            </w:pPr>
          </w:p>
          <w:p w:rsidR="00315C42" w:rsidRPr="00036A98" w:rsidP="007B2924">
            <w:pPr>
              <w:jc w:val="center"/>
              <w:rPr>
                <w:b/>
                <w:noProof w:val="0"/>
                <w:sz w:val="14"/>
                <w:szCs w:val="14"/>
              </w:rPr>
            </w:pPr>
          </w:p>
          <w:p w:rsidR="00312550" w:rsidRPr="00036A98" w:rsidP="007B2924">
            <w:pPr>
              <w:jc w:val="center"/>
              <w:rPr>
                <w:b/>
                <w:noProof w:val="0"/>
                <w:sz w:val="14"/>
                <w:szCs w:val="14"/>
              </w:rPr>
            </w:pPr>
          </w:p>
          <w:p w:rsidR="00312550" w:rsidRPr="00036A98" w:rsidP="007B2924">
            <w:pPr>
              <w:jc w:val="center"/>
              <w:rPr>
                <w:b/>
                <w:noProof w:val="0"/>
                <w:sz w:val="14"/>
                <w:szCs w:val="14"/>
              </w:rPr>
            </w:pPr>
          </w:p>
          <w:p w:rsidR="00A0775F" w:rsidRPr="00036A98" w:rsidP="007B2924">
            <w:pPr>
              <w:jc w:val="center"/>
              <w:rPr>
                <w:b/>
                <w:noProof w:val="0"/>
                <w:sz w:val="14"/>
                <w:szCs w:val="14"/>
              </w:rPr>
            </w:pPr>
            <w:r w:rsidRPr="00036A98">
              <w:rPr>
                <w:noProof w:val="0"/>
                <w:sz w:val="14"/>
              </w:rPr>
              <w:t>[ number ]</w:t>
            </w:r>
          </w:p>
        </w:tc>
        <w:tc>
          <w:tcPr>
            <w:tcW w:w="645" w:type="pct"/>
          </w:tcPr>
          <w:p w:rsidR="00A0775F" w:rsidRPr="00036A98" w:rsidP="007B2924">
            <w:pPr>
              <w:jc w:val="center"/>
              <w:rPr>
                <w:b/>
                <w:noProof w:val="0"/>
                <w:sz w:val="14"/>
                <w:szCs w:val="14"/>
              </w:rPr>
            </w:pPr>
            <w:r w:rsidRPr="00036A98">
              <w:rPr>
                <w:noProof w:val="0"/>
                <w:sz w:val="14"/>
              </w:rPr>
              <w:t>Number of active level crossings—automatic, with a warning from the user side</w:t>
            </w:r>
          </w:p>
          <w:p w:rsidR="00312550" w:rsidRPr="00036A98" w:rsidP="007B2924">
            <w:pPr>
              <w:jc w:val="center"/>
              <w:rPr>
                <w:b/>
                <w:noProof w:val="0"/>
                <w:sz w:val="14"/>
                <w:szCs w:val="14"/>
              </w:rPr>
            </w:pPr>
          </w:p>
          <w:p w:rsidR="00312550" w:rsidRPr="00036A98" w:rsidP="007B2924">
            <w:pPr>
              <w:jc w:val="center"/>
              <w:rPr>
                <w:b/>
                <w:noProof w:val="0"/>
                <w:sz w:val="14"/>
                <w:szCs w:val="14"/>
              </w:rPr>
            </w:pPr>
          </w:p>
          <w:p w:rsidR="00A0775F" w:rsidRPr="00036A98" w:rsidP="007B2924">
            <w:pPr>
              <w:jc w:val="center"/>
              <w:rPr>
                <w:b/>
                <w:noProof w:val="0"/>
                <w:sz w:val="14"/>
                <w:szCs w:val="14"/>
              </w:rPr>
            </w:pPr>
            <w:r w:rsidRPr="00036A98">
              <w:rPr>
                <w:noProof w:val="0"/>
                <w:sz w:val="14"/>
              </w:rPr>
              <w:t>[ number ]</w:t>
            </w:r>
          </w:p>
        </w:tc>
        <w:tc>
          <w:tcPr>
            <w:tcW w:w="573" w:type="pct"/>
          </w:tcPr>
          <w:p w:rsidR="004E27D7" w:rsidRPr="00036A98" w:rsidP="007B2924">
            <w:pPr>
              <w:jc w:val="center"/>
              <w:rPr>
                <w:b/>
                <w:noProof w:val="0"/>
                <w:sz w:val="14"/>
                <w:szCs w:val="14"/>
              </w:rPr>
            </w:pPr>
            <w:r w:rsidRPr="00036A98">
              <w:rPr>
                <w:noProof w:val="0"/>
                <w:sz w:val="14"/>
              </w:rPr>
              <w:t>Number of active level crossings—automatic with user-side protection</w:t>
            </w:r>
          </w:p>
          <w:p w:rsidR="00312550" w:rsidRPr="00036A98" w:rsidP="007B2924">
            <w:pPr>
              <w:jc w:val="center"/>
              <w:rPr>
                <w:b/>
                <w:noProof w:val="0"/>
                <w:sz w:val="14"/>
                <w:szCs w:val="14"/>
              </w:rPr>
            </w:pPr>
          </w:p>
          <w:p w:rsidR="00312550" w:rsidRPr="00036A98" w:rsidP="007B2924">
            <w:pPr>
              <w:jc w:val="center"/>
              <w:rPr>
                <w:b/>
                <w:noProof w:val="0"/>
                <w:sz w:val="14"/>
                <w:szCs w:val="14"/>
              </w:rPr>
            </w:pPr>
          </w:p>
          <w:p w:rsidR="00A0775F" w:rsidRPr="00036A98" w:rsidP="007B2924">
            <w:pPr>
              <w:jc w:val="center"/>
              <w:rPr>
                <w:b/>
                <w:noProof w:val="0"/>
                <w:sz w:val="14"/>
                <w:szCs w:val="14"/>
              </w:rPr>
            </w:pPr>
            <w:r w:rsidRPr="00036A98">
              <w:rPr>
                <w:noProof w:val="0"/>
                <w:sz w:val="14"/>
              </w:rPr>
              <w:t>[ number ]</w:t>
            </w:r>
          </w:p>
        </w:tc>
        <w:tc>
          <w:tcPr>
            <w:tcW w:w="690" w:type="pct"/>
          </w:tcPr>
          <w:p w:rsidR="00A0775F" w:rsidRPr="00036A98" w:rsidP="007B2924">
            <w:pPr>
              <w:jc w:val="center"/>
              <w:rPr>
                <w:b/>
                <w:noProof w:val="0"/>
                <w:sz w:val="14"/>
                <w:szCs w:val="14"/>
              </w:rPr>
            </w:pPr>
            <w:r w:rsidRPr="00036A98">
              <w:rPr>
                <w:noProof w:val="0"/>
                <w:sz w:val="14"/>
              </w:rPr>
              <w:t>Total number of active level crossings—automatic with user-side protection and warning, and rail-side protected</w:t>
            </w:r>
          </w:p>
          <w:p w:rsidR="00A0775F" w:rsidRPr="00036A98" w:rsidP="007B2924">
            <w:pPr>
              <w:jc w:val="center"/>
              <w:rPr>
                <w:b/>
                <w:noProof w:val="0"/>
                <w:sz w:val="14"/>
                <w:szCs w:val="14"/>
              </w:rPr>
            </w:pPr>
            <w:r w:rsidRPr="00036A98">
              <w:rPr>
                <w:noProof w:val="0"/>
                <w:sz w:val="14"/>
              </w:rPr>
              <w:t>[ number ]</w:t>
            </w:r>
          </w:p>
        </w:tc>
        <w:tc>
          <w:tcPr>
            <w:tcW w:w="661" w:type="pct"/>
          </w:tcPr>
          <w:p w:rsidR="00A0775F" w:rsidRPr="00036A98" w:rsidP="007B2924">
            <w:pPr>
              <w:jc w:val="center"/>
              <w:rPr>
                <w:b/>
                <w:noProof w:val="0"/>
                <w:sz w:val="14"/>
                <w:szCs w:val="14"/>
              </w:rPr>
            </w:pPr>
            <w:r w:rsidRPr="00036A98">
              <w:rPr>
                <w:noProof w:val="0"/>
                <w:sz w:val="14"/>
              </w:rPr>
              <w:t>Total number of active railway level crossings with manual user-side warning</w:t>
            </w:r>
          </w:p>
          <w:p w:rsidR="00312550" w:rsidRPr="00036A98" w:rsidP="007B2924">
            <w:pPr>
              <w:jc w:val="center"/>
              <w:rPr>
                <w:b/>
                <w:noProof w:val="0"/>
                <w:sz w:val="14"/>
                <w:szCs w:val="14"/>
              </w:rPr>
            </w:pPr>
          </w:p>
          <w:p w:rsidR="00A0775F" w:rsidRPr="00036A98" w:rsidP="007B2924">
            <w:pPr>
              <w:jc w:val="center"/>
              <w:rPr>
                <w:b/>
                <w:noProof w:val="0"/>
                <w:sz w:val="14"/>
                <w:szCs w:val="14"/>
              </w:rPr>
            </w:pPr>
            <w:r w:rsidRPr="00036A98">
              <w:rPr>
                <w:noProof w:val="0"/>
                <w:sz w:val="14"/>
              </w:rPr>
              <w:t>[ number ]</w:t>
            </w:r>
          </w:p>
        </w:tc>
        <w:tc>
          <w:tcPr>
            <w:tcW w:w="441" w:type="pct"/>
          </w:tcPr>
          <w:p w:rsidR="00A0775F" w:rsidRPr="00036A98" w:rsidP="007B2924">
            <w:pPr>
              <w:jc w:val="center"/>
              <w:rPr>
                <w:b/>
                <w:noProof w:val="0"/>
                <w:sz w:val="14"/>
                <w:szCs w:val="14"/>
              </w:rPr>
            </w:pPr>
            <w:r w:rsidRPr="00036A98">
              <w:rPr>
                <w:noProof w:val="0"/>
                <w:sz w:val="14"/>
              </w:rPr>
              <w:t>Total number of passive level crossings</w:t>
            </w:r>
          </w:p>
          <w:p w:rsidR="00A0775F" w:rsidRPr="00036A98" w:rsidP="007B2924">
            <w:pPr>
              <w:jc w:val="center"/>
              <w:rPr>
                <w:b/>
                <w:noProof w:val="0"/>
                <w:sz w:val="14"/>
                <w:szCs w:val="14"/>
              </w:rPr>
            </w:pPr>
          </w:p>
          <w:p w:rsidR="00A0775F" w:rsidRPr="00036A98" w:rsidP="007B2924">
            <w:pPr>
              <w:jc w:val="center"/>
              <w:rPr>
                <w:b/>
                <w:noProof w:val="0"/>
                <w:sz w:val="14"/>
                <w:szCs w:val="14"/>
              </w:rPr>
            </w:pPr>
          </w:p>
          <w:p w:rsidR="00312550" w:rsidRPr="00036A98" w:rsidP="007B2924">
            <w:pPr>
              <w:jc w:val="center"/>
              <w:rPr>
                <w:b/>
                <w:noProof w:val="0"/>
                <w:sz w:val="14"/>
                <w:szCs w:val="14"/>
              </w:rPr>
            </w:pPr>
          </w:p>
          <w:p w:rsidR="00312550" w:rsidRPr="00036A98" w:rsidP="007B2924">
            <w:pPr>
              <w:jc w:val="center"/>
              <w:rPr>
                <w:b/>
                <w:noProof w:val="0"/>
                <w:sz w:val="14"/>
                <w:szCs w:val="14"/>
              </w:rPr>
            </w:pPr>
          </w:p>
          <w:p w:rsidR="00A0775F" w:rsidRPr="00036A98" w:rsidP="007B2924">
            <w:pPr>
              <w:jc w:val="center"/>
              <w:rPr>
                <w:b/>
                <w:noProof w:val="0"/>
                <w:sz w:val="14"/>
                <w:szCs w:val="14"/>
              </w:rPr>
            </w:pPr>
            <w:r w:rsidRPr="00036A98">
              <w:rPr>
                <w:noProof w:val="0"/>
                <w:sz w:val="14"/>
              </w:rPr>
              <w:t>[ number ]</w:t>
            </w:r>
          </w:p>
        </w:tc>
      </w:tr>
      <w:tr w:rsidTr="00A13C40">
        <w:tblPrEx>
          <w:tblW w:w="5000" w:type="pct"/>
          <w:tblLook w:val="04A0"/>
        </w:tblPrEx>
        <w:trPr>
          <w:trHeight w:val="1"/>
        </w:trPr>
        <w:tc>
          <w:tcPr>
            <w:tcW w:w="334" w:type="pct"/>
          </w:tcPr>
          <w:p w:rsidR="00A0775F" w:rsidRPr="00036A98" w:rsidP="007B2924">
            <w:pPr>
              <w:jc w:val="center"/>
              <w:rPr>
                <w:b/>
                <w:noProof w:val="0"/>
                <w:sz w:val="16"/>
                <w:szCs w:val="20"/>
              </w:rPr>
            </w:pPr>
            <w:r w:rsidRPr="00036A98">
              <w:rPr>
                <w:noProof w:val="0"/>
                <w:sz w:val="16"/>
              </w:rPr>
              <w:t xml:space="preserve">CSI </w:t>
            </w:r>
          </w:p>
        </w:tc>
        <w:tc>
          <w:tcPr>
            <w:tcW w:w="444" w:type="pct"/>
          </w:tcPr>
          <w:p w:rsidR="00A0775F" w:rsidRPr="00036A98" w:rsidP="007B2924">
            <w:pPr>
              <w:jc w:val="center"/>
              <w:rPr>
                <w:noProof w:val="0"/>
                <w:sz w:val="16"/>
                <w:szCs w:val="18"/>
              </w:rPr>
            </w:pPr>
            <w:r w:rsidRPr="00036A98">
              <w:rPr>
                <w:noProof w:val="0"/>
                <w:sz w:val="16"/>
              </w:rPr>
              <w:t>Т01</w:t>
            </w:r>
          </w:p>
        </w:tc>
        <w:tc>
          <w:tcPr>
            <w:tcW w:w="447" w:type="pct"/>
            <w:noWrap/>
          </w:tcPr>
          <w:p w:rsidR="00A0775F" w:rsidRPr="00036A98" w:rsidP="007B2924">
            <w:pPr>
              <w:jc w:val="center"/>
              <w:rPr>
                <w:noProof w:val="0"/>
                <w:sz w:val="16"/>
                <w:szCs w:val="18"/>
              </w:rPr>
            </w:pPr>
            <w:r w:rsidRPr="00036A98">
              <w:rPr>
                <w:noProof w:val="0"/>
                <w:sz w:val="16"/>
              </w:rPr>
              <w:t>Т02</w:t>
            </w:r>
          </w:p>
        </w:tc>
        <w:tc>
          <w:tcPr>
            <w:tcW w:w="406" w:type="pct"/>
          </w:tcPr>
          <w:p w:rsidR="00A0775F" w:rsidRPr="00036A98" w:rsidP="007B2924">
            <w:pPr>
              <w:jc w:val="center"/>
              <w:rPr>
                <w:noProof w:val="0"/>
                <w:sz w:val="16"/>
                <w:szCs w:val="18"/>
              </w:rPr>
            </w:pPr>
            <w:r w:rsidRPr="00036A98">
              <w:rPr>
                <w:noProof w:val="0"/>
                <w:sz w:val="16"/>
              </w:rPr>
              <w:t>T03</w:t>
            </w:r>
          </w:p>
        </w:tc>
        <w:tc>
          <w:tcPr>
            <w:tcW w:w="358" w:type="pct"/>
          </w:tcPr>
          <w:p w:rsidR="00A0775F" w:rsidRPr="00036A98" w:rsidP="007B2924">
            <w:pPr>
              <w:jc w:val="center"/>
              <w:rPr>
                <w:noProof w:val="0"/>
                <w:sz w:val="16"/>
                <w:szCs w:val="18"/>
              </w:rPr>
            </w:pPr>
            <w:r w:rsidRPr="00036A98">
              <w:rPr>
                <w:noProof w:val="0"/>
                <w:sz w:val="16"/>
              </w:rPr>
              <w:t>T06</w:t>
            </w:r>
          </w:p>
        </w:tc>
        <w:tc>
          <w:tcPr>
            <w:tcW w:w="645" w:type="pct"/>
          </w:tcPr>
          <w:p w:rsidR="00A0775F" w:rsidRPr="00036A98" w:rsidP="007B2924">
            <w:pPr>
              <w:jc w:val="center"/>
              <w:rPr>
                <w:noProof w:val="0"/>
                <w:sz w:val="16"/>
                <w:szCs w:val="18"/>
              </w:rPr>
            </w:pPr>
            <w:r w:rsidRPr="00036A98">
              <w:rPr>
                <w:noProof w:val="0"/>
                <w:sz w:val="16"/>
              </w:rPr>
              <w:t>Т07</w:t>
            </w:r>
          </w:p>
        </w:tc>
        <w:tc>
          <w:tcPr>
            <w:tcW w:w="573" w:type="pct"/>
          </w:tcPr>
          <w:p w:rsidR="00A0775F" w:rsidRPr="00036A98" w:rsidP="007B2924">
            <w:pPr>
              <w:jc w:val="center"/>
              <w:rPr>
                <w:noProof w:val="0"/>
                <w:sz w:val="16"/>
                <w:szCs w:val="18"/>
              </w:rPr>
            </w:pPr>
            <w:r w:rsidRPr="00036A98">
              <w:rPr>
                <w:noProof w:val="0"/>
                <w:sz w:val="16"/>
              </w:rPr>
              <w:t>Т081</w:t>
            </w:r>
          </w:p>
        </w:tc>
        <w:tc>
          <w:tcPr>
            <w:tcW w:w="690" w:type="pct"/>
          </w:tcPr>
          <w:p w:rsidR="00A0775F" w:rsidRPr="00036A98" w:rsidP="007B2924">
            <w:pPr>
              <w:jc w:val="center"/>
              <w:rPr>
                <w:noProof w:val="0"/>
                <w:sz w:val="16"/>
                <w:szCs w:val="18"/>
              </w:rPr>
            </w:pPr>
            <w:r w:rsidRPr="00036A98">
              <w:rPr>
                <w:noProof w:val="0"/>
                <w:sz w:val="16"/>
              </w:rPr>
              <w:t>T10</w:t>
            </w:r>
          </w:p>
        </w:tc>
        <w:tc>
          <w:tcPr>
            <w:tcW w:w="661" w:type="pct"/>
          </w:tcPr>
          <w:p w:rsidR="00A0775F" w:rsidRPr="00036A98" w:rsidP="007B2924">
            <w:pPr>
              <w:jc w:val="center"/>
              <w:rPr>
                <w:noProof w:val="0"/>
                <w:sz w:val="16"/>
                <w:szCs w:val="18"/>
              </w:rPr>
            </w:pPr>
            <w:r w:rsidRPr="00036A98">
              <w:rPr>
                <w:noProof w:val="0"/>
                <w:sz w:val="16"/>
              </w:rPr>
              <w:t>T12</w:t>
            </w:r>
          </w:p>
        </w:tc>
        <w:tc>
          <w:tcPr>
            <w:tcW w:w="441" w:type="pct"/>
          </w:tcPr>
          <w:p w:rsidR="00A0775F" w:rsidRPr="00036A98" w:rsidP="007B2924">
            <w:pPr>
              <w:jc w:val="center"/>
              <w:rPr>
                <w:noProof w:val="0"/>
                <w:sz w:val="16"/>
                <w:szCs w:val="18"/>
              </w:rPr>
            </w:pPr>
            <w:r w:rsidRPr="00036A98">
              <w:rPr>
                <w:noProof w:val="0"/>
                <w:sz w:val="16"/>
              </w:rPr>
              <w:t>T14</w:t>
            </w:r>
          </w:p>
        </w:tc>
      </w:tr>
      <w:tr w:rsidTr="00A13C40">
        <w:tblPrEx>
          <w:tblW w:w="5000" w:type="pct"/>
          <w:tblLook w:val="04A0"/>
        </w:tblPrEx>
        <w:trPr>
          <w:trHeight w:val="1"/>
        </w:trPr>
        <w:tc>
          <w:tcPr>
            <w:tcW w:w="334" w:type="pct"/>
            <w:noWrap/>
          </w:tcPr>
          <w:p w:rsidR="00A0775F" w:rsidRPr="00036A98" w:rsidP="007B2924">
            <w:pPr>
              <w:jc w:val="center"/>
              <w:rPr>
                <w:b/>
                <w:noProof w:val="0"/>
                <w:sz w:val="20"/>
                <w:szCs w:val="20"/>
              </w:rPr>
            </w:pPr>
            <w:r w:rsidRPr="00036A98">
              <w:rPr>
                <w:noProof w:val="0"/>
                <w:sz w:val="20"/>
              </w:rPr>
              <w:t>2013</w:t>
            </w:r>
          </w:p>
        </w:tc>
        <w:tc>
          <w:tcPr>
            <w:tcW w:w="444" w:type="pct"/>
            <w:noWrap/>
          </w:tcPr>
          <w:p w:rsidR="00A0775F" w:rsidRPr="00036A98" w:rsidP="007B2924">
            <w:pPr>
              <w:jc w:val="center"/>
              <w:rPr>
                <w:noProof w:val="0"/>
                <w:sz w:val="20"/>
                <w:szCs w:val="20"/>
              </w:rPr>
            </w:pPr>
            <w:r w:rsidRPr="00036A98">
              <w:rPr>
                <w:noProof w:val="0"/>
                <w:sz w:val="20"/>
              </w:rPr>
              <w:t>10,7</w:t>
            </w:r>
          </w:p>
        </w:tc>
        <w:tc>
          <w:tcPr>
            <w:tcW w:w="447" w:type="pct"/>
            <w:noWrap/>
          </w:tcPr>
          <w:p w:rsidR="00A0775F" w:rsidRPr="00036A98" w:rsidP="007B2924">
            <w:pPr>
              <w:jc w:val="center"/>
              <w:rPr>
                <w:noProof w:val="0"/>
                <w:sz w:val="20"/>
                <w:szCs w:val="20"/>
              </w:rPr>
            </w:pPr>
            <w:r w:rsidRPr="00036A98">
              <w:rPr>
                <w:noProof w:val="0"/>
                <w:sz w:val="20"/>
              </w:rPr>
              <w:t>24</w:t>
            </w:r>
          </w:p>
        </w:tc>
        <w:tc>
          <w:tcPr>
            <w:tcW w:w="406" w:type="pct"/>
            <w:noWrap/>
          </w:tcPr>
          <w:p w:rsidR="00A0775F" w:rsidRPr="00036A98" w:rsidP="007B2924">
            <w:pPr>
              <w:jc w:val="center"/>
              <w:rPr>
                <w:noProof w:val="0"/>
                <w:sz w:val="20"/>
                <w:szCs w:val="20"/>
              </w:rPr>
            </w:pPr>
            <w:r w:rsidRPr="00036A98">
              <w:rPr>
                <w:noProof w:val="0"/>
                <w:sz w:val="20"/>
              </w:rPr>
              <w:t>785</w:t>
            </w:r>
          </w:p>
        </w:tc>
        <w:tc>
          <w:tcPr>
            <w:tcW w:w="358" w:type="pct"/>
          </w:tcPr>
          <w:p w:rsidR="00A0775F" w:rsidRPr="00036A98" w:rsidP="007B2924">
            <w:pPr>
              <w:jc w:val="center"/>
              <w:rPr>
                <w:noProof w:val="0"/>
                <w:sz w:val="20"/>
                <w:szCs w:val="20"/>
              </w:rPr>
            </w:pPr>
            <w:r w:rsidRPr="00036A98">
              <w:rPr>
                <w:noProof w:val="0"/>
                <w:sz w:val="20"/>
              </w:rPr>
              <w:t>648</w:t>
            </w:r>
          </w:p>
        </w:tc>
        <w:tc>
          <w:tcPr>
            <w:tcW w:w="645" w:type="pct"/>
          </w:tcPr>
          <w:p w:rsidR="00A0775F" w:rsidRPr="00036A98" w:rsidP="007B2924">
            <w:pPr>
              <w:jc w:val="center"/>
              <w:rPr>
                <w:noProof w:val="0"/>
                <w:sz w:val="20"/>
                <w:szCs w:val="20"/>
              </w:rPr>
            </w:pPr>
            <w:r w:rsidRPr="00036A98">
              <w:rPr>
                <w:noProof w:val="0"/>
                <w:sz w:val="20"/>
              </w:rPr>
              <w:t>-</w:t>
            </w:r>
          </w:p>
        </w:tc>
        <w:tc>
          <w:tcPr>
            <w:tcW w:w="573" w:type="pct"/>
          </w:tcPr>
          <w:p w:rsidR="00A0775F" w:rsidRPr="00036A98" w:rsidP="007B2924">
            <w:pPr>
              <w:jc w:val="center"/>
              <w:rPr>
                <w:noProof w:val="0"/>
                <w:sz w:val="20"/>
                <w:szCs w:val="20"/>
              </w:rPr>
            </w:pPr>
            <w:r w:rsidRPr="00036A98">
              <w:rPr>
                <w:noProof w:val="0"/>
                <w:sz w:val="20"/>
              </w:rPr>
              <w:t>-</w:t>
            </w:r>
          </w:p>
        </w:tc>
        <w:tc>
          <w:tcPr>
            <w:tcW w:w="690" w:type="pct"/>
          </w:tcPr>
          <w:p w:rsidR="00A0775F" w:rsidRPr="00036A98" w:rsidP="007B2924">
            <w:pPr>
              <w:jc w:val="center"/>
              <w:rPr>
                <w:noProof w:val="0"/>
                <w:sz w:val="20"/>
                <w:szCs w:val="20"/>
              </w:rPr>
            </w:pPr>
            <w:r w:rsidRPr="00036A98">
              <w:rPr>
                <w:noProof w:val="0"/>
                <w:sz w:val="20"/>
              </w:rPr>
              <w:t>-</w:t>
            </w:r>
          </w:p>
        </w:tc>
        <w:tc>
          <w:tcPr>
            <w:tcW w:w="661" w:type="pct"/>
          </w:tcPr>
          <w:p w:rsidR="00A0775F" w:rsidRPr="00036A98" w:rsidP="007B2924">
            <w:pPr>
              <w:jc w:val="center"/>
              <w:rPr>
                <w:noProof w:val="0"/>
                <w:sz w:val="20"/>
                <w:szCs w:val="20"/>
              </w:rPr>
            </w:pPr>
            <w:r w:rsidRPr="00036A98">
              <w:rPr>
                <w:noProof w:val="0"/>
                <w:sz w:val="20"/>
              </w:rPr>
              <w:t>139</w:t>
            </w:r>
          </w:p>
        </w:tc>
        <w:tc>
          <w:tcPr>
            <w:tcW w:w="441" w:type="pct"/>
          </w:tcPr>
          <w:p w:rsidR="00A0775F" w:rsidRPr="00036A98" w:rsidP="007B2924">
            <w:pPr>
              <w:jc w:val="center"/>
              <w:rPr>
                <w:noProof w:val="0"/>
                <w:sz w:val="20"/>
                <w:szCs w:val="20"/>
              </w:rPr>
            </w:pPr>
            <w:r w:rsidRPr="00036A98">
              <w:rPr>
                <w:noProof w:val="0"/>
                <w:sz w:val="20"/>
              </w:rPr>
              <w:t>137</w:t>
            </w:r>
          </w:p>
        </w:tc>
      </w:tr>
      <w:tr w:rsidTr="00A13C40">
        <w:tblPrEx>
          <w:tblW w:w="5000" w:type="pct"/>
          <w:tblLook w:val="04A0"/>
        </w:tblPrEx>
        <w:trPr>
          <w:trHeight w:val="1"/>
        </w:trPr>
        <w:tc>
          <w:tcPr>
            <w:tcW w:w="334" w:type="pct"/>
            <w:noWrap/>
          </w:tcPr>
          <w:p w:rsidR="00A0775F" w:rsidRPr="00036A98" w:rsidP="007B2924">
            <w:pPr>
              <w:jc w:val="center"/>
              <w:rPr>
                <w:b/>
                <w:noProof w:val="0"/>
                <w:sz w:val="20"/>
                <w:szCs w:val="20"/>
              </w:rPr>
            </w:pPr>
            <w:r w:rsidRPr="00036A98">
              <w:rPr>
                <w:noProof w:val="0"/>
                <w:sz w:val="20"/>
              </w:rPr>
              <w:t>2014</w:t>
            </w:r>
          </w:p>
        </w:tc>
        <w:tc>
          <w:tcPr>
            <w:tcW w:w="444" w:type="pct"/>
            <w:noWrap/>
          </w:tcPr>
          <w:p w:rsidR="00A0775F" w:rsidRPr="00036A98" w:rsidP="007B2924">
            <w:pPr>
              <w:jc w:val="center"/>
              <w:rPr>
                <w:noProof w:val="0"/>
                <w:sz w:val="20"/>
                <w:szCs w:val="20"/>
              </w:rPr>
            </w:pPr>
            <w:r w:rsidRPr="00036A98">
              <w:rPr>
                <w:noProof w:val="0"/>
                <w:sz w:val="20"/>
              </w:rPr>
              <w:t>11,4</w:t>
            </w:r>
          </w:p>
        </w:tc>
        <w:tc>
          <w:tcPr>
            <w:tcW w:w="447" w:type="pct"/>
            <w:noWrap/>
          </w:tcPr>
          <w:p w:rsidR="00A0775F" w:rsidRPr="00036A98" w:rsidP="007B2924">
            <w:pPr>
              <w:jc w:val="center"/>
              <w:rPr>
                <w:noProof w:val="0"/>
                <w:sz w:val="20"/>
                <w:szCs w:val="20"/>
              </w:rPr>
            </w:pPr>
            <w:r w:rsidRPr="00036A98">
              <w:rPr>
                <w:noProof w:val="0"/>
                <w:sz w:val="20"/>
              </w:rPr>
              <w:t xml:space="preserve">22 </w:t>
            </w:r>
          </w:p>
        </w:tc>
        <w:tc>
          <w:tcPr>
            <w:tcW w:w="406" w:type="pct"/>
            <w:noWrap/>
          </w:tcPr>
          <w:p w:rsidR="00A0775F" w:rsidRPr="00036A98" w:rsidP="007B2924">
            <w:pPr>
              <w:jc w:val="center"/>
              <w:rPr>
                <w:noProof w:val="0"/>
                <w:sz w:val="20"/>
                <w:szCs w:val="20"/>
              </w:rPr>
            </w:pPr>
            <w:r w:rsidRPr="00036A98">
              <w:rPr>
                <w:noProof w:val="0"/>
                <w:sz w:val="20"/>
              </w:rPr>
              <w:t>775</w:t>
            </w:r>
          </w:p>
        </w:tc>
        <w:tc>
          <w:tcPr>
            <w:tcW w:w="358" w:type="pct"/>
          </w:tcPr>
          <w:p w:rsidR="00A0775F" w:rsidRPr="00036A98" w:rsidP="007B2924">
            <w:pPr>
              <w:jc w:val="center"/>
              <w:rPr>
                <w:noProof w:val="0"/>
                <w:sz w:val="20"/>
                <w:szCs w:val="20"/>
              </w:rPr>
            </w:pPr>
            <w:r w:rsidRPr="00036A98">
              <w:rPr>
                <w:noProof w:val="0"/>
                <w:sz w:val="20"/>
              </w:rPr>
              <w:t>632</w:t>
            </w:r>
          </w:p>
        </w:tc>
        <w:tc>
          <w:tcPr>
            <w:tcW w:w="645" w:type="pct"/>
          </w:tcPr>
          <w:p w:rsidR="00A0775F" w:rsidRPr="00036A98" w:rsidP="007B2924">
            <w:pPr>
              <w:jc w:val="center"/>
              <w:rPr>
                <w:noProof w:val="0"/>
                <w:sz w:val="20"/>
                <w:szCs w:val="20"/>
              </w:rPr>
            </w:pPr>
            <w:r w:rsidRPr="00036A98">
              <w:rPr>
                <w:noProof w:val="0"/>
                <w:sz w:val="20"/>
              </w:rPr>
              <w:t>-</w:t>
            </w:r>
          </w:p>
        </w:tc>
        <w:tc>
          <w:tcPr>
            <w:tcW w:w="573" w:type="pct"/>
          </w:tcPr>
          <w:p w:rsidR="00A0775F" w:rsidRPr="00036A98" w:rsidP="007B2924">
            <w:pPr>
              <w:jc w:val="center"/>
              <w:rPr>
                <w:noProof w:val="0"/>
                <w:sz w:val="20"/>
                <w:szCs w:val="20"/>
              </w:rPr>
            </w:pPr>
            <w:r w:rsidRPr="00036A98">
              <w:rPr>
                <w:noProof w:val="0"/>
                <w:sz w:val="20"/>
              </w:rPr>
              <w:t>-</w:t>
            </w:r>
          </w:p>
        </w:tc>
        <w:tc>
          <w:tcPr>
            <w:tcW w:w="690" w:type="pct"/>
          </w:tcPr>
          <w:p w:rsidR="00A0775F" w:rsidRPr="00036A98" w:rsidP="007B2924">
            <w:pPr>
              <w:jc w:val="center"/>
              <w:rPr>
                <w:noProof w:val="0"/>
                <w:sz w:val="20"/>
                <w:szCs w:val="20"/>
              </w:rPr>
            </w:pPr>
            <w:r w:rsidRPr="00036A98">
              <w:rPr>
                <w:noProof w:val="0"/>
                <w:sz w:val="20"/>
              </w:rPr>
              <w:t>-</w:t>
            </w:r>
          </w:p>
        </w:tc>
        <w:tc>
          <w:tcPr>
            <w:tcW w:w="661" w:type="pct"/>
          </w:tcPr>
          <w:p w:rsidR="00A0775F" w:rsidRPr="00036A98" w:rsidP="007B2924">
            <w:pPr>
              <w:jc w:val="center"/>
              <w:rPr>
                <w:noProof w:val="0"/>
                <w:sz w:val="20"/>
                <w:szCs w:val="20"/>
              </w:rPr>
            </w:pPr>
            <w:r w:rsidRPr="00036A98">
              <w:rPr>
                <w:noProof w:val="0"/>
                <w:sz w:val="20"/>
              </w:rPr>
              <w:t>126</w:t>
            </w:r>
          </w:p>
        </w:tc>
        <w:tc>
          <w:tcPr>
            <w:tcW w:w="441" w:type="pct"/>
          </w:tcPr>
          <w:p w:rsidR="00A0775F" w:rsidRPr="00036A98" w:rsidP="007B2924">
            <w:pPr>
              <w:jc w:val="center"/>
              <w:rPr>
                <w:noProof w:val="0"/>
                <w:sz w:val="20"/>
                <w:szCs w:val="20"/>
              </w:rPr>
            </w:pPr>
            <w:r w:rsidRPr="00036A98">
              <w:rPr>
                <w:noProof w:val="0"/>
                <w:sz w:val="20"/>
              </w:rPr>
              <w:t>142</w:t>
            </w:r>
          </w:p>
        </w:tc>
      </w:tr>
      <w:tr w:rsidTr="00A13C40">
        <w:tblPrEx>
          <w:tblW w:w="5000" w:type="pct"/>
          <w:tblLook w:val="04A0"/>
        </w:tblPrEx>
        <w:trPr>
          <w:trHeight w:val="1"/>
        </w:trPr>
        <w:tc>
          <w:tcPr>
            <w:tcW w:w="334" w:type="pct"/>
            <w:noWrap/>
          </w:tcPr>
          <w:p w:rsidR="00A0775F" w:rsidRPr="00036A98" w:rsidP="007B2924">
            <w:pPr>
              <w:jc w:val="center"/>
              <w:rPr>
                <w:b/>
                <w:noProof w:val="0"/>
                <w:sz w:val="20"/>
                <w:szCs w:val="20"/>
              </w:rPr>
            </w:pPr>
            <w:r w:rsidRPr="00036A98">
              <w:rPr>
                <w:noProof w:val="0"/>
                <w:sz w:val="20"/>
              </w:rPr>
              <w:t>2015</w:t>
            </w:r>
          </w:p>
        </w:tc>
        <w:tc>
          <w:tcPr>
            <w:tcW w:w="444" w:type="pct"/>
            <w:noWrap/>
          </w:tcPr>
          <w:p w:rsidR="00A0775F" w:rsidRPr="00036A98" w:rsidP="007B2924">
            <w:pPr>
              <w:jc w:val="center"/>
              <w:rPr>
                <w:noProof w:val="0"/>
                <w:sz w:val="20"/>
                <w:szCs w:val="20"/>
              </w:rPr>
            </w:pPr>
            <w:r w:rsidRPr="00036A98">
              <w:rPr>
                <w:noProof w:val="0"/>
                <w:sz w:val="20"/>
              </w:rPr>
              <w:t>6,5</w:t>
            </w:r>
          </w:p>
        </w:tc>
        <w:tc>
          <w:tcPr>
            <w:tcW w:w="447" w:type="pct"/>
            <w:noWrap/>
          </w:tcPr>
          <w:p w:rsidR="00A0775F" w:rsidRPr="00036A98" w:rsidP="007B2924">
            <w:pPr>
              <w:jc w:val="center"/>
              <w:rPr>
                <w:noProof w:val="0"/>
                <w:sz w:val="20"/>
                <w:szCs w:val="20"/>
              </w:rPr>
            </w:pPr>
            <w:r w:rsidRPr="00036A98">
              <w:rPr>
                <w:noProof w:val="0"/>
                <w:sz w:val="20"/>
              </w:rPr>
              <w:t xml:space="preserve">10,2 </w:t>
            </w:r>
          </w:p>
        </w:tc>
        <w:tc>
          <w:tcPr>
            <w:tcW w:w="406" w:type="pct"/>
            <w:noWrap/>
          </w:tcPr>
          <w:p w:rsidR="00A0775F" w:rsidRPr="00036A98" w:rsidP="007B2924">
            <w:pPr>
              <w:jc w:val="center"/>
              <w:rPr>
                <w:noProof w:val="0"/>
                <w:sz w:val="20"/>
                <w:szCs w:val="20"/>
              </w:rPr>
            </w:pPr>
            <w:r w:rsidRPr="00036A98">
              <w:rPr>
                <w:noProof w:val="0"/>
                <w:sz w:val="20"/>
              </w:rPr>
              <w:t>766</w:t>
            </w:r>
          </w:p>
        </w:tc>
        <w:tc>
          <w:tcPr>
            <w:tcW w:w="358" w:type="pct"/>
          </w:tcPr>
          <w:p w:rsidR="00A0775F" w:rsidRPr="00036A98" w:rsidP="007B2924">
            <w:pPr>
              <w:jc w:val="center"/>
              <w:rPr>
                <w:noProof w:val="0"/>
                <w:sz w:val="20"/>
                <w:szCs w:val="20"/>
              </w:rPr>
            </w:pPr>
            <w:r w:rsidRPr="00036A98">
              <w:rPr>
                <w:noProof w:val="0"/>
                <w:sz w:val="20"/>
              </w:rPr>
              <w:t>626</w:t>
            </w:r>
          </w:p>
        </w:tc>
        <w:tc>
          <w:tcPr>
            <w:tcW w:w="645" w:type="pct"/>
          </w:tcPr>
          <w:p w:rsidR="00A0775F" w:rsidRPr="00036A98" w:rsidP="007B2924">
            <w:pPr>
              <w:jc w:val="center"/>
              <w:rPr>
                <w:noProof w:val="0"/>
                <w:sz w:val="20"/>
                <w:szCs w:val="20"/>
              </w:rPr>
            </w:pPr>
            <w:r w:rsidRPr="00036A98">
              <w:rPr>
                <w:noProof w:val="0"/>
                <w:sz w:val="20"/>
              </w:rPr>
              <w:t>280</w:t>
            </w:r>
          </w:p>
        </w:tc>
        <w:tc>
          <w:tcPr>
            <w:tcW w:w="573" w:type="pct"/>
          </w:tcPr>
          <w:p w:rsidR="00A0775F" w:rsidRPr="00036A98" w:rsidP="007B2924">
            <w:pPr>
              <w:jc w:val="center"/>
              <w:rPr>
                <w:noProof w:val="0"/>
                <w:sz w:val="20"/>
                <w:szCs w:val="20"/>
              </w:rPr>
            </w:pPr>
            <w:r w:rsidRPr="00036A98">
              <w:rPr>
                <w:noProof w:val="0"/>
                <w:sz w:val="20"/>
              </w:rPr>
              <w:t>238</w:t>
            </w:r>
          </w:p>
        </w:tc>
        <w:tc>
          <w:tcPr>
            <w:tcW w:w="690" w:type="pct"/>
          </w:tcPr>
          <w:p w:rsidR="00A0775F" w:rsidRPr="00036A98" w:rsidP="007B2924">
            <w:pPr>
              <w:jc w:val="center"/>
              <w:rPr>
                <w:noProof w:val="0"/>
                <w:sz w:val="20"/>
                <w:szCs w:val="20"/>
              </w:rPr>
            </w:pPr>
            <w:r w:rsidRPr="00036A98">
              <w:rPr>
                <w:noProof w:val="0"/>
                <w:sz w:val="20"/>
              </w:rPr>
              <w:t>108</w:t>
            </w:r>
          </w:p>
        </w:tc>
        <w:tc>
          <w:tcPr>
            <w:tcW w:w="661" w:type="pct"/>
          </w:tcPr>
          <w:p w:rsidR="00A0775F" w:rsidRPr="00036A98" w:rsidP="007B2924">
            <w:pPr>
              <w:jc w:val="center"/>
              <w:rPr>
                <w:noProof w:val="0"/>
                <w:sz w:val="20"/>
                <w:szCs w:val="20"/>
              </w:rPr>
            </w:pPr>
            <w:r w:rsidRPr="00036A98">
              <w:rPr>
                <w:noProof w:val="0"/>
                <w:sz w:val="20"/>
              </w:rPr>
              <w:t>108</w:t>
            </w:r>
          </w:p>
        </w:tc>
        <w:tc>
          <w:tcPr>
            <w:tcW w:w="441" w:type="pct"/>
          </w:tcPr>
          <w:p w:rsidR="00A0775F" w:rsidRPr="00036A98" w:rsidP="007B2924">
            <w:pPr>
              <w:jc w:val="center"/>
              <w:rPr>
                <w:noProof w:val="0"/>
                <w:sz w:val="20"/>
                <w:szCs w:val="20"/>
              </w:rPr>
            </w:pPr>
            <w:r w:rsidRPr="00036A98">
              <w:rPr>
                <w:noProof w:val="0"/>
                <w:sz w:val="20"/>
              </w:rPr>
              <w:t>140</w:t>
            </w:r>
          </w:p>
        </w:tc>
      </w:tr>
      <w:tr w:rsidTr="00A13C40">
        <w:tblPrEx>
          <w:tblW w:w="5000" w:type="pct"/>
          <w:tblLook w:val="04A0"/>
        </w:tblPrEx>
        <w:trPr>
          <w:trHeight w:val="1"/>
        </w:trPr>
        <w:tc>
          <w:tcPr>
            <w:tcW w:w="334" w:type="pct"/>
            <w:noWrap/>
          </w:tcPr>
          <w:p w:rsidR="00A0775F" w:rsidRPr="00036A98" w:rsidP="007B2924">
            <w:pPr>
              <w:jc w:val="center"/>
              <w:rPr>
                <w:b/>
                <w:noProof w:val="0"/>
                <w:sz w:val="20"/>
                <w:szCs w:val="20"/>
              </w:rPr>
            </w:pPr>
            <w:r w:rsidRPr="00036A98">
              <w:rPr>
                <w:noProof w:val="0"/>
                <w:sz w:val="20"/>
              </w:rPr>
              <w:t>2016</w:t>
            </w:r>
          </w:p>
        </w:tc>
        <w:tc>
          <w:tcPr>
            <w:tcW w:w="444" w:type="pct"/>
            <w:noWrap/>
          </w:tcPr>
          <w:p w:rsidR="00A0775F" w:rsidRPr="00036A98" w:rsidP="007B2924">
            <w:pPr>
              <w:jc w:val="center"/>
              <w:rPr>
                <w:noProof w:val="0"/>
                <w:sz w:val="20"/>
                <w:szCs w:val="20"/>
              </w:rPr>
            </w:pPr>
            <w:r w:rsidRPr="00036A98">
              <w:rPr>
                <w:noProof w:val="0"/>
                <w:sz w:val="20"/>
              </w:rPr>
              <w:t>6,5</w:t>
            </w:r>
          </w:p>
        </w:tc>
        <w:tc>
          <w:tcPr>
            <w:tcW w:w="447" w:type="pct"/>
            <w:noWrap/>
          </w:tcPr>
          <w:p w:rsidR="00A0775F" w:rsidRPr="00036A98" w:rsidP="007B2924">
            <w:pPr>
              <w:jc w:val="center"/>
              <w:rPr>
                <w:noProof w:val="0"/>
                <w:sz w:val="20"/>
                <w:szCs w:val="20"/>
              </w:rPr>
            </w:pPr>
            <w:r w:rsidRPr="00036A98">
              <w:rPr>
                <w:noProof w:val="0"/>
                <w:sz w:val="20"/>
              </w:rPr>
              <w:t xml:space="preserve">- </w:t>
            </w:r>
          </w:p>
        </w:tc>
        <w:tc>
          <w:tcPr>
            <w:tcW w:w="406" w:type="pct"/>
            <w:noWrap/>
          </w:tcPr>
          <w:p w:rsidR="00A0775F" w:rsidRPr="00036A98" w:rsidP="007B2924">
            <w:pPr>
              <w:jc w:val="center"/>
              <w:rPr>
                <w:noProof w:val="0"/>
                <w:sz w:val="20"/>
                <w:szCs w:val="20"/>
              </w:rPr>
            </w:pPr>
            <w:r w:rsidRPr="00036A98">
              <w:rPr>
                <w:noProof w:val="0"/>
                <w:sz w:val="20"/>
              </w:rPr>
              <w:t>761</w:t>
            </w:r>
          </w:p>
        </w:tc>
        <w:tc>
          <w:tcPr>
            <w:tcW w:w="358" w:type="pct"/>
          </w:tcPr>
          <w:p w:rsidR="00A0775F" w:rsidRPr="00036A98" w:rsidP="007B2924">
            <w:pPr>
              <w:jc w:val="center"/>
              <w:rPr>
                <w:noProof w:val="0"/>
                <w:sz w:val="20"/>
                <w:szCs w:val="20"/>
              </w:rPr>
            </w:pPr>
            <w:r w:rsidRPr="00036A98">
              <w:rPr>
                <w:noProof w:val="0"/>
                <w:sz w:val="20"/>
              </w:rPr>
              <w:t>622</w:t>
            </w:r>
          </w:p>
        </w:tc>
        <w:tc>
          <w:tcPr>
            <w:tcW w:w="645" w:type="pct"/>
          </w:tcPr>
          <w:p w:rsidR="00A0775F" w:rsidRPr="00036A98" w:rsidP="007B2924">
            <w:pPr>
              <w:jc w:val="center"/>
              <w:rPr>
                <w:noProof w:val="0"/>
                <w:sz w:val="20"/>
                <w:szCs w:val="20"/>
              </w:rPr>
            </w:pPr>
            <w:r w:rsidRPr="00036A98">
              <w:rPr>
                <w:noProof w:val="0"/>
                <w:sz w:val="20"/>
              </w:rPr>
              <w:t>278</w:t>
            </w:r>
          </w:p>
        </w:tc>
        <w:tc>
          <w:tcPr>
            <w:tcW w:w="573" w:type="pct"/>
          </w:tcPr>
          <w:p w:rsidR="00A0775F" w:rsidRPr="00036A98" w:rsidP="007B2924">
            <w:pPr>
              <w:jc w:val="center"/>
              <w:rPr>
                <w:noProof w:val="0"/>
                <w:sz w:val="20"/>
                <w:szCs w:val="20"/>
              </w:rPr>
            </w:pPr>
            <w:r w:rsidRPr="00036A98">
              <w:rPr>
                <w:noProof w:val="0"/>
                <w:sz w:val="20"/>
              </w:rPr>
              <w:t>172</w:t>
            </w:r>
          </w:p>
        </w:tc>
        <w:tc>
          <w:tcPr>
            <w:tcW w:w="690" w:type="pct"/>
          </w:tcPr>
          <w:p w:rsidR="00A0775F" w:rsidRPr="00036A98" w:rsidP="007B2924">
            <w:pPr>
              <w:jc w:val="center"/>
              <w:rPr>
                <w:noProof w:val="0"/>
                <w:sz w:val="20"/>
                <w:szCs w:val="20"/>
              </w:rPr>
            </w:pPr>
            <w:r w:rsidRPr="00036A98">
              <w:rPr>
                <w:noProof w:val="0"/>
                <w:sz w:val="20"/>
              </w:rPr>
              <w:t>64</w:t>
            </w:r>
          </w:p>
        </w:tc>
        <w:tc>
          <w:tcPr>
            <w:tcW w:w="661" w:type="pct"/>
          </w:tcPr>
          <w:p w:rsidR="00A0775F" w:rsidRPr="00036A98" w:rsidP="007B2924">
            <w:pPr>
              <w:jc w:val="center"/>
              <w:rPr>
                <w:noProof w:val="0"/>
                <w:sz w:val="20"/>
                <w:szCs w:val="20"/>
              </w:rPr>
            </w:pPr>
            <w:r w:rsidRPr="00036A98">
              <w:rPr>
                <w:noProof w:val="0"/>
                <w:sz w:val="20"/>
              </w:rPr>
              <w:t>108</w:t>
            </w:r>
          </w:p>
        </w:tc>
        <w:tc>
          <w:tcPr>
            <w:tcW w:w="441" w:type="pct"/>
          </w:tcPr>
          <w:p w:rsidR="00A0775F" w:rsidRPr="00036A98" w:rsidP="007B2924">
            <w:pPr>
              <w:jc w:val="center"/>
              <w:rPr>
                <w:noProof w:val="0"/>
                <w:sz w:val="20"/>
                <w:szCs w:val="20"/>
              </w:rPr>
            </w:pPr>
            <w:r w:rsidRPr="00036A98">
              <w:rPr>
                <w:noProof w:val="0"/>
                <w:sz w:val="20"/>
              </w:rPr>
              <w:t>139</w:t>
            </w:r>
          </w:p>
        </w:tc>
      </w:tr>
      <w:tr w:rsidTr="00A13C40">
        <w:tblPrEx>
          <w:tblW w:w="5000" w:type="pct"/>
          <w:tblLook w:val="04A0"/>
        </w:tblPrEx>
        <w:trPr>
          <w:trHeight w:val="1"/>
        </w:trPr>
        <w:tc>
          <w:tcPr>
            <w:tcW w:w="334" w:type="pct"/>
            <w:noWrap/>
          </w:tcPr>
          <w:p w:rsidR="004E27D7" w:rsidRPr="00036A98" w:rsidP="007B2924">
            <w:pPr>
              <w:jc w:val="center"/>
              <w:rPr>
                <w:b/>
                <w:noProof w:val="0"/>
                <w:sz w:val="20"/>
                <w:szCs w:val="20"/>
              </w:rPr>
            </w:pPr>
            <w:r w:rsidRPr="00036A98">
              <w:rPr>
                <w:noProof w:val="0"/>
                <w:sz w:val="20"/>
              </w:rPr>
              <w:t>2017</w:t>
            </w:r>
          </w:p>
        </w:tc>
        <w:tc>
          <w:tcPr>
            <w:tcW w:w="444" w:type="pct"/>
            <w:noWrap/>
          </w:tcPr>
          <w:p w:rsidR="004E27D7" w:rsidRPr="00036A98" w:rsidP="007B2924">
            <w:pPr>
              <w:jc w:val="center"/>
              <w:rPr>
                <w:noProof w:val="0"/>
                <w:sz w:val="20"/>
                <w:szCs w:val="20"/>
              </w:rPr>
            </w:pPr>
            <w:r w:rsidRPr="00036A98">
              <w:rPr>
                <w:noProof w:val="0"/>
                <w:sz w:val="20"/>
              </w:rPr>
              <w:t>-</w:t>
            </w:r>
          </w:p>
        </w:tc>
        <w:tc>
          <w:tcPr>
            <w:tcW w:w="447" w:type="pct"/>
            <w:noWrap/>
          </w:tcPr>
          <w:p w:rsidR="004E27D7" w:rsidRPr="00036A98" w:rsidP="007B2924">
            <w:pPr>
              <w:jc w:val="center"/>
              <w:rPr>
                <w:noProof w:val="0"/>
                <w:sz w:val="20"/>
                <w:szCs w:val="20"/>
              </w:rPr>
            </w:pPr>
            <w:r w:rsidRPr="00036A98">
              <w:rPr>
                <w:noProof w:val="0"/>
                <w:sz w:val="20"/>
              </w:rPr>
              <w:t>-</w:t>
            </w:r>
          </w:p>
        </w:tc>
        <w:tc>
          <w:tcPr>
            <w:tcW w:w="406" w:type="pct"/>
            <w:noWrap/>
          </w:tcPr>
          <w:p w:rsidR="004E27D7" w:rsidRPr="00036A98" w:rsidP="007B2924">
            <w:pPr>
              <w:jc w:val="center"/>
              <w:rPr>
                <w:noProof w:val="0"/>
                <w:sz w:val="20"/>
                <w:szCs w:val="20"/>
              </w:rPr>
            </w:pPr>
            <w:r w:rsidRPr="00036A98">
              <w:rPr>
                <w:noProof w:val="0"/>
                <w:sz w:val="20"/>
              </w:rPr>
              <w:t>757</w:t>
            </w:r>
          </w:p>
        </w:tc>
        <w:tc>
          <w:tcPr>
            <w:tcW w:w="358" w:type="pct"/>
          </w:tcPr>
          <w:p w:rsidR="004E27D7" w:rsidRPr="00036A98" w:rsidP="007B2924">
            <w:pPr>
              <w:jc w:val="center"/>
              <w:rPr>
                <w:noProof w:val="0"/>
                <w:sz w:val="20"/>
                <w:szCs w:val="20"/>
              </w:rPr>
            </w:pPr>
            <w:r w:rsidRPr="00036A98">
              <w:rPr>
                <w:noProof w:val="0"/>
                <w:sz w:val="20"/>
              </w:rPr>
              <w:t>609</w:t>
            </w:r>
          </w:p>
        </w:tc>
        <w:tc>
          <w:tcPr>
            <w:tcW w:w="645" w:type="pct"/>
          </w:tcPr>
          <w:p w:rsidR="004E27D7" w:rsidRPr="00036A98" w:rsidP="007B2924">
            <w:pPr>
              <w:jc w:val="center"/>
              <w:rPr>
                <w:noProof w:val="0"/>
                <w:sz w:val="20"/>
                <w:szCs w:val="20"/>
              </w:rPr>
            </w:pPr>
            <w:r w:rsidRPr="00036A98">
              <w:rPr>
                <w:noProof w:val="0"/>
                <w:sz w:val="20"/>
              </w:rPr>
              <w:t>265</w:t>
            </w:r>
          </w:p>
        </w:tc>
        <w:tc>
          <w:tcPr>
            <w:tcW w:w="573" w:type="pct"/>
          </w:tcPr>
          <w:p w:rsidR="004E27D7" w:rsidRPr="00036A98" w:rsidP="007B2924">
            <w:pPr>
              <w:jc w:val="center"/>
              <w:rPr>
                <w:noProof w:val="0"/>
                <w:sz w:val="20"/>
                <w:szCs w:val="20"/>
              </w:rPr>
            </w:pPr>
            <w:r w:rsidRPr="00036A98">
              <w:rPr>
                <w:noProof w:val="0"/>
                <w:sz w:val="20"/>
              </w:rPr>
              <w:t>254</w:t>
            </w:r>
          </w:p>
        </w:tc>
        <w:tc>
          <w:tcPr>
            <w:tcW w:w="690" w:type="pct"/>
          </w:tcPr>
          <w:p w:rsidR="004E27D7" w:rsidRPr="00036A98" w:rsidP="007B2924">
            <w:pPr>
              <w:jc w:val="center"/>
              <w:rPr>
                <w:noProof w:val="0"/>
                <w:sz w:val="20"/>
                <w:szCs w:val="20"/>
              </w:rPr>
            </w:pPr>
            <w:r w:rsidRPr="00036A98">
              <w:rPr>
                <w:noProof w:val="0"/>
                <w:sz w:val="20"/>
              </w:rPr>
              <w:t>0</w:t>
            </w:r>
          </w:p>
        </w:tc>
        <w:tc>
          <w:tcPr>
            <w:tcW w:w="661" w:type="pct"/>
          </w:tcPr>
          <w:p w:rsidR="004E27D7" w:rsidRPr="00036A98" w:rsidP="007B2924">
            <w:pPr>
              <w:jc w:val="center"/>
              <w:rPr>
                <w:noProof w:val="0"/>
                <w:sz w:val="20"/>
                <w:szCs w:val="20"/>
              </w:rPr>
            </w:pPr>
            <w:r w:rsidRPr="00036A98">
              <w:rPr>
                <w:noProof w:val="0"/>
                <w:sz w:val="20"/>
              </w:rPr>
              <w:t>80</w:t>
            </w:r>
          </w:p>
        </w:tc>
        <w:tc>
          <w:tcPr>
            <w:tcW w:w="441" w:type="pct"/>
          </w:tcPr>
          <w:p w:rsidR="004E27D7" w:rsidRPr="00036A98" w:rsidP="007B2924">
            <w:pPr>
              <w:jc w:val="center"/>
              <w:rPr>
                <w:noProof w:val="0"/>
                <w:sz w:val="20"/>
                <w:szCs w:val="20"/>
              </w:rPr>
            </w:pPr>
            <w:r w:rsidRPr="00036A98">
              <w:rPr>
                <w:noProof w:val="0"/>
                <w:sz w:val="20"/>
              </w:rPr>
              <w:t>148</w:t>
            </w:r>
          </w:p>
        </w:tc>
      </w:tr>
    </w:tbl>
    <w:p w:rsidR="00745066" w:rsidRPr="00036A98" w:rsidP="00EF1E96">
      <w:pPr>
        <w:numPr>
          <w:ilvl w:val="0"/>
          <w:numId w:val="4"/>
        </w:numPr>
        <w:tabs>
          <w:tab w:val="left" w:pos="993"/>
        </w:tabs>
        <w:spacing w:before="120"/>
        <w:ind w:hanging="11"/>
        <w:jc w:val="both"/>
        <w:rPr>
          <w:rFonts w:eastAsia="Calibri"/>
          <w:noProof w:val="0"/>
          <w:u w:val="single"/>
        </w:rPr>
      </w:pPr>
      <w:r w:rsidRPr="00036A98">
        <w:rPr>
          <w:noProof w:val="0"/>
          <w:u w:val="single"/>
        </w:rPr>
        <w:t xml:space="preserve">Indicators relating to safety management. </w:t>
      </w:r>
    </w:p>
    <w:p w:rsidR="00420442" w:rsidRPr="00036A98" w:rsidP="007B2924">
      <w:pPr>
        <w:ind w:firstLine="720"/>
        <w:jc w:val="both"/>
        <w:rPr>
          <w:rFonts w:eastAsia="Calibri"/>
          <w:noProof w:val="0"/>
        </w:rPr>
      </w:pPr>
      <w:r w:rsidRPr="00036A98">
        <w:t>In 2017, there was an increase in the number of the internal audits (IAs) of SMSs conducted in Bulgaria by RUs certified for freight or passenger transport and supervision, as required by Regulation (EC) No 1078/2012. In 2017, they conducted a total of 11 internal audits on their SMSs, while in 2015 and 2014, they conducted 7 IAs each year.</w:t>
      </w:r>
    </w:p>
    <w:p w:rsidR="00745066" w:rsidRPr="00036A98" w:rsidP="007B2924">
      <w:pPr>
        <w:ind w:firstLine="720"/>
        <w:jc w:val="both"/>
        <w:rPr>
          <w:rFonts w:eastAsia="Calibri"/>
          <w:noProof w:val="0"/>
        </w:rPr>
      </w:pPr>
      <w:r w:rsidRPr="00036A98">
        <w:t xml:space="preserve">The observations by the NSA of Bulgaria indicate that the State Railway Infrastructure Manager (NRIC SE), the ‘large’ and the ‘medium’ RUs conduct an IA of their SMSs once a year. Of these, in 2017, only the Bulgarian Railway Company AD (a large RU) conducted 3 IAs, on certain topics, of the SMS (1 overall IA, 1 IA of the shunting and transport activity and 1 IA of the RS maintenance). Of all 15 RUs holding SCs for freight or passenger transport in Bulgaria, by 31 December 2017, four still were not conducting internal audits and monitoring their SMS as required by Regulation (EC) No 1078/2012 (GASTRADE S.A., Port Rail Ltd., PIMK Rail PLS and CARGO TRANS VAGON BULGARIA). </w:t>
      </w:r>
    </w:p>
    <w:p w:rsidR="005E0F91" w:rsidRPr="00036A98" w:rsidP="00660229">
      <w:pPr>
        <w:pStyle w:val="Caption"/>
        <w:keepNext/>
        <w:spacing w:before="120" w:after="120"/>
        <w:jc w:val="center"/>
        <w:rPr>
          <w:b w:val="0"/>
          <w:color w:val="000000" w:themeColor="text1"/>
        </w:rPr>
      </w:pPr>
      <w:r w:rsidRPr="00036A98">
        <w:rPr>
          <w:color w:val="000000" w:themeColor="text1"/>
          <w:sz w:val="16"/>
        </w:rPr>
        <w:t xml:space="preserve">Table </w:t>
      </w:r>
      <w:r w:rsidRPr="00036A98">
        <w:rPr>
          <w:color w:val="000000" w:themeColor="text1"/>
          <w:sz w:val="16"/>
        </w:rPr>
        <w:fldChar w:fldCharType="begin"/>
      </w:r>
      <w:r w:rsidRPr="00036A98">
        <w:rPr>
          <w:color w:val="000000" w:themeColor="text1"/>
          <w:sz w:val="16"/>
        </w:rPr>
        <w:instrText xml:space="preserve"> SEQ таблица \* ARABIC </w:instrText>
      </w:r>
      <w:r w:rsidRPr="00036A98">
        <w:rPr>
          <w:color w:val="000000" w:themeColor="text1"/>
          <w:sz w:val="16"/>
        </w:rPr>
        <w:fldChar w:fldCharType="separate"/>
      </w:r>
      <w:r w:rsidRPr="00036A98" w:rsidR="00FE2542">
        <w:rPr>
          <w:color w:val="000000" w:themeColor="text1"/>
          <w:sz w:val="16"/>
        </w:rPr>
        <w:t>6</w:t>
      </w:r>
      <w:r w:rsidRPr="00036A98">
        <w:rPr>
          <w:color w:val="000000" w:themeColor="text1"/>
          <w:sz w:val="16"/>
        </w:rPr>
        <w:fldChar w:fldCharType="end"/>
      </w:r>
      <w:r w:rsidRPr="00036A98">
        <w:rPr>
          <w:b w:val="0"/>
          <w:color w:val="000000" w:themeColor="text1"/>
          <w:sz w:val="16"/>
        </w:rPr>
        <w:t>: Total number of internal audits conducted in Bulgaria by RUs and the IM, in the 2013–2017 period</w:t>
      </w:r>
    </w:p>
    <w:tbl>
      <w:tblPr>
        <w:tblStyle w:val="TableGrid"/>
        <w:tblW w:w="5000" w:type="pct"/>
        <w:tblLook w:val="04A0"/>
      </w:tblPr>
      <w:tblGrid>
        <w:gridCol w:w="1471"/>
        <w:gridCol w:w="4031"/>
        <w:gridCol w:w="4127"/>
      </w:tblGrid>
      <w:tr w:rsidTr="00A13C40">
        <w:tblPrEx>
          <w:tblW w:w="5000" w:type="pct"/>
          <w:tblLook w:val="04A0"/>
        </w:tblPrEx>
        <w:trPr>
          <w:trHeight w:val="376"/>
        </w:trPr>
        <w:tc>
          <w:tcPr>
            <w:tcW w:w="764" w:type="pct"/>
            <w:hideMark/>
          </w:tcPr>
          <w:p w:rsidR="004441A2" w:rsidRPr="00036A98" w:rsidP="007B2924">
            <w:pPr>
              <w:spacing w:before="20" w:after="20"/>
              <w:jc w:val="center"/>
              <w:rPr>
                <w:noProof w:val="0"/>
                <w:sz w:val="20"/>
                <w:szCs w:val="20"/>
              </w:rPr>
            </w:pPr>
            <w:r w:rsidRPr="00036A98">
              <w:rPr>
                <w:noProof w:val="0"/>
                <w:sz w:val="20"/>
              </w:rPr>
              <w:t>Year</w:t>
            </w:r>
          </w:p>
        </w:tc>
        <w:tc>
          <w:tcPr>
            <w:tcW w:w="2093" w:type="pct"/>
            <w:hideMark/>
          </w:tcPr>
          <w:p w:rsidR="004441A2" w:rsidRPr="00036A98" w:rsidP="007B2924">
            <w:pPr>
              <w:spacing w:before="20" w:after="20"/>
              <w:jc w:val="center"/>
              <w:rPr>
                <w:noProof w:val="0"/>
                <w:sz w:val="20"/>
                <w:szCs w:val="20"/>
              </w:rPr>
            </w:pPr>
            <w:r w:rsidRPr="00036A98">
              <w:rPr>
                <w:noProof w:val="0"/>
                <w:sz w:val="20"/>
              </w:rPr>
              <w:t>Total number of audits conducted by the IM and RUs</w:t>
            </w:r>
          </w:p>
        </w:tc>
        <w:tc>
          <w:tcPr>
            <w:tcW w:w="2143" w:type="pct"/>
            <w:hideMark/>
          </w:tcPr>
          <w:p w:rsidR="004441A2" w:rsidRPr="00036A98" w:rsidP="007B2924">
            <w:pPr>
              <w:spacing w:before="20" w:after="20"/>
              <w:jc w:val="center"/>
              <w:rPr>
                <w:noProof w:val="0"/>
                <w:sz w:val="20"/>
                <w:szCs w:val="20"/>
              </w:rPr>
            </w:pPr>
            <w:r w:rsidRPr="00036A98">
              <w:rPr>
                <w:noProof w:val="0"/>
                <w:sz w:val="20"/>
              </w:rPr>
              <w:t>Performed audits as a percentage of planned audits (%)</w:t>
            </w:r>
          </w:p>
        </w:tc>
      </w:tr>
      <w:tr w:rsidTr="00A13C40">
        <w:tblPrEx>
          <w:tblW w:w="5000" w:type="pct"/>
          <w:tblLook w:val="04A0"/>
        </w:tblPrEx>
        <w:trPr>
          <w:trHeight w:val="250"/>
        </w:trPr>
        <w:tc>
          <w:tcPr>
            <w:tcW w:w="764" w:type="pct"/>
            <w:noWrap/>
            <w:hideMark/>
          </w:tcPr>
          <w:p w:rsidR="004441A2" w:rsidRPr="00036A98" w:rsidP="007B2924">
            <w:pPr>
              <w:spacing w:before="20" w:after="20"/>
              <w:jc w:val="center"/>
              <w:rPr>
                <w:noProof w:val="0"/>
                <w:sz w:val="22"/>
                <w:szCs w:val="20"/>
              </w:rPr>
            </w:pPr>
            <w:r w:rsidRPr="00036A98">
              <w:rPr>
                <w:noProof w:val="0"/>
                <w:sz w:val="22"/>
              </w:rPr>
              <w:t>2013</w:t>
            </w:r>
          </w:p>
        </w:tc>
        <w:tc>
          <w:tcPr>
            <w:tcW w:w="2093" w:type="pct"/>
            <w:noWrap/>
            <w:hideMark/>
          </w:tcPr>
          <w:p w:rsidR="004441A2" w:rsidRPr="00036A98" w:rsidP="007B2924">
            <w:pPr>
              <w:spacing w:before="20" w:after="20"/>
              <w:jc w:val="center"/>
              <w:rPr>
                <w:noProof w:val="0"/>
                <w:sz w:val="22"/>
                <w:szCs w:val="20"/>
              </w:rPr>
            </w:pPr>
            <w:r w:rsidRPr="00036A98">
              <w:rPr>
                <w:noProof w:val="0"/>
                <w:sz w:val="22"/>
              </w:rPr>
              <w:t>5</w:t>
            </w:r>
          </w:p>
        </w:tc>
        <w:tc>
          <w:tcPr>
            <w:tcW w:w="2143" w:type="pct"/>
            <w:noWrap/>
            <w:hideMark/>
          </w:tcPr>
          <w:p w:rsidR="004441A2" w:rsidRPr="00036A98" w:rsidP="007B2924">
            <w:pPr>
              <w:spacing w:before="20" w:after="20"/>
              <w:jc w:val="center"/>
              <w:rPr>
                <w:noProof w:val="0"/>
                <w:sz w:val="22"/>
                <w:szCs w:val="20"/>
              </w:rPr>
            </w:pPr>
            <w:r w:rsidRPr="00036A98">
              <w:rPr>
                <w:noProof w:val="0"/>
                <w:sz w:val="22"/>
              </w:rPr>
              <w:t>100</w:t>
            </w:r>
          </w:p>
        </w:tc>
      </w:tr>
      <w:tr w:rsidTr="00A13C40">
        <w:tblPrEx>
          <w:tblW w:w="5000" w:type="pct"/>
          <w:tblLook w:val="04A0"/>
        </w:tblPrEx>
        <w:trPr>
          <w:trHeight w:val="250"/>
        </w:trPr>
        <w:tc>
          <w:tcPr>
            <w:tcW w:w="764" w:type="pct"/>
            <w:noWrap/>
            <w:hideMark/>
          </w:tcPr>
          <w:p w:rsidR="004441A2" w:rsidRPr="00036A98" w:rsidP="007B2924">
            <w:pPr>
              <w:spacing w:before="20" w:after="20"/>
              <w:jc w:val="center"/>
              <w:rPr>
                <w:noProof w:val="0"/>
                <w:sz w:val="22"/>
                <w:szCs w:val="20"/>
              </w:rPr>
            </w:pPr>
            <w:r w:rsidRPr="00036A98">
              <w:rPr>
                <w:noProof w:val="0"/>
                <w:sz w:val="22"/>
              </w:rPr>
              <w:t>2014</w:t>
            </w:r>
          </w:p>
        </w:tc>
        <w:tc>
          <w:tcPr>
            <w:tcW w:w="2093" w:type="pct"/>
            <w:noWrap/>
            <w:hideMark/>
          </w:tcPr>
          <w:p w:rsidR="004441A2" w:rsidRPr="00036A98" w:rsidP="007B2924">
            <w:pPr>
              <w:spacing w:before="20" w:after="20"/>
              <w:jc w:val="center"/>
              <w:rPr>
                <w:noProof w:val="0"/>
                <w:sz w:val="22"/>
                <w:szCs w:val="20"/>
              </w:rPr>
            </w:pPr>
            <w:r w:rsidRPr="00036A98">
              <w:rPr>
                <w:noProof w:val="0"/>
                <w:sz w:val="22"/>
              </w:rPr>
              <w:t>7</w:t>
            </w:r>
          </w:p>
        </w:tc>
        <w:tc>
          <w:tcPr>
            <w:tcW w:w="2143" w:type="pct"/>
            <w:noWrap/>
            <w:hideMark/>
          </w:tcPr>
          <w:p w:rsidR="004441A2" w:rsidRPr="00036A98" w:rsidP="007B2924">
            <w:pPr>
              <w:spacing w:before="20" w:after="20"/>
              <w:jc w:val="center"/>
              <w:rPr>
                <w:noProof w:val="0"/>
                <w:sz w:val="22"/>
                <w:szCs w:val="20"/>
              </w:rPr>
            </w:pPr>
            <w:r w:rsidRPr="00036A98">
              <w:rPr>
                <w:noProof w:val="0"/>
                <w:sz w:val="22"/>
              </w:rPr>
              <w:t>100</w:t>
            </w:r>
          </w:p>
        </w:tc>
      </w:tr>
      <w:tr w:rsidTr="00A13C40">
        <w:tblPrEx>
          <w:tblW w:w="5000" w:type="pct"/>
          <w:tblLook w:val="04A0"/>
        </w:tblPrEx>
        <w:trPr>
          <w:trHeight w:val="250"/>
        </w:trPr>
        <w:tc>
          <w:tcPr>
            <w:tcW w:w="764" w:type="pct"/>
            <w:noWrap/>
            <w:hideMark/>
          </w:tcPr>
          <w:p w:rsidR="00430A2B" w:rsidRPr="00036A98" w:rsidP="007B2924">
            <w:pPr>
              <w:spacing w:before="20" w:after="20"/>
              <w:jc w:val="center"/>
              <w:rPr>
                <w:noProof w:val="0"/>
                <w:sz w:val="22"/>
                <w:szCs w:val="20"/>
              </w:rPr>
            </w:pPr>
            <w:r w:rsidRPr="00036A98">
              <w:rPr>
                <w:noProof w:val="0"/>
                <w:sz w:val="22"/>
              </w:rPr>
              <w:t>2015</w:t>
            </w:r>
          </w:p>
        </w:tc>
        <w:tc>
          <w:tcPr>
            <w:tcW w:w="2093" w:type="pct"/>
            <w:noWrap/>
            <w:hideMark/>
          </w:tcPr>
          <w:p w:rsidR="00430A2B" w:rsidRPr="00036A98" w:rsidP="007B2924">
            <w:pPr>
              <w:spacing w:before="20" w:after="20"/>
              <w:jc w:val="center"/>
              <w:rPr>
                <w:noProof w:val="0"/>
                <w:sz w:val="22"/>
                <w:szCs w:val="20"/>
              </w:rPr>
            </w:pPr>
            <w:r w:rsidRPr="00036A98">
              <w:rPr>
                <w:noProof w:val="0"/>
                <w:sz w:val="22"/>
              </w:rPr>
              <w:t>7</w:t>
            </w:r>
          </w:p>
        </w:tc>
        <w:tc>
          <w:tcPr>
            <w:tcW w:w="2143" w:type="pct"/>
            <w:noWrap/>
            <w:hideMark/>
          </w:tcPr>
          <w:p w:rsidR="00430A2B" w:rsidRPr="00036A98" w:rsidP="007B2924">
            <w:pPr>
              <w:spacing w:before="20" w:after="20"/>
              <w:jc w:val="center"/>
              <w:rPr>
                <w:noProof w:val="0"/>
                <w:sz w:val="22"/>
                <w:szCs w:val="20"/>
              </w:rPr>
            </w:pPr>
            <w:r w:rsidRPr="00036A98">
              <w:rPr>
                <w:noProof w:val="0"/>
                <w:sz w:val="22"/>
              </w:rPr>
              <w:t>87,5</w:t>
            </w:r>
          </w:p>
        </w:tc>
      </w:tr>
      <w:tr w:rsidTr="002F5A3F">
        <w:tblPrEx>
          <w:tblW w:w="5000" w:type="pct"/>
          <w:tblLook w:val="04A0"/>
        </w:tblPrEx>
        <w:trPr>
          <w:trHeight w:val="250"/>
        </w:trPr>
        <w:tc>
          <w:tcPr>
            <w:tcW w:w="764" w:type="pct"/>
            <w:tcBorders>
              <w:bottom w:val="single" w:sz="4" w:space="0" w:color="auto"/>
            </w:tcBorders>
            <w:noWrap/>
          </w:tcPr>
          <w:p w:rsidR="00EC70CE" w:rsidRPr="00036A98" w:rsidP="007B2924">
            <w:pPr>
              <w:spacing w:before="20" w:after="20"/>
              <w:jc w:val="center"/>
              <w:rPr>
                <w:noProof w:val="0"/>
                <w:sz w:val="22"/>
                <w:szCs w:val="20"/>
              </w:rPr>
            </w:pPr>
            <w:r w:rsidRPr="00036A98">
              <w:rPr>
                <w:noProof w:val="0"/>
                <w:sz w:val="22"/>
              </w:rPr>
              <w:t>2016</w:t>
            </w:r>
          </w:p>
        </w:tc>
        <w:tc>
          <w:tcPr>
            <w:tcW w:w="2093" w:type="pct"/>
            <w:tcBorders>
              <w:bottom w:val="single" w:sz="4" w:space="0" w:color="auto"/>
            </w:tcBorders>
            <w:noWrap/>
          </w:tcPr>
          <w:p w:rsidR="00EC70CE" w:rsidRPr="00036A98" w:rsidP="007B2924">
            <w:pPr>
              <w:spacing w:before="20" w:after="20"/>
              <w:jc w:val="center"/>
              <w:rPr>
                <w:noProof w:val="0"/>
                <w:sz w:val="22"/>
                <w:szCs w:val="20"/>
              </w:rPr>
            </w:pPr>
            <w:r w:rsidRPr="00036A98">
              <w:rPr>
                <w:noProof w:val="0"/>
                <w:sz w:val="22"/>
              </w:rPr>
              <w:t>11</w:t>
            </w:r>
          </w:p>
        </w:tc>
        <w:tc>
          <w:tcPr>
            <w:tcW w:w="2143" w:type="pct"/>
            <w:tcBorders>
              <w:bottom w:val="single" w:sz="4" w:space="0" w:color="auto"/>
            </w:tcBorders>
            <w:noWrap/>
          </w:tcPr>
          <w:p w:rsidR="00EC70CE" w:rsidRPr="00036A98" w:rsidP="007B2924">
            <w:pPr>
              <w:spacing w:before="20" w:after="20"/>
              <w:jc w:val="center"/>
              <w:rPr>
                <w:noProof w:val="0"/>
                <w:sz w:val="22"/>
                <w:szCs w:val="20"/>
              </w:rPr>
            </w:pPr>
            <w:r w:rsidRPr="00036A98">
              <w:rPr>
                <w:noProof w:val="0"/>
                <w:sz w:val="22"/>
              </w:rPr>
              <w:t>100</w:t>
            </w:r>
          </w:p>
        </w:tc>
      </w:tr>
      <w:tr w:rsidTr="002F5A3F">
        <w:tblPrEx>
          <w:tblW w:w="5000" w:type="pct"/>
          <w:tblLook w:val="04A0"/>
        </w:tblPrEx>
        <w:trPr>
          <w:trHeight w:val="250"/>
        </w:trPr>
        <w:tc>
          <w:tcPr>
            <w:tcW w:w="764" w:type="pct"/>
            <w:tcBorders>
              <w:bottom w:val="nil"/>
            </w:tcBorders>
            <w:noWrap/>
          </w:tcPr>
          <w:p w:rsidR="00EA0DAA" w:rsidRPr="00036A98" w:rsidP="007B2924">
            <w:pPr>
              <w:spacing w:before="20" w:after="20"/>
              <w:jc w:val="center"/>
              <w:rPr>
                <w:noProof w:val="0"/>
                <w:sz w:val="22"/>
                <w:szCs w:val="20"/>
              </w:rPr>
            </w:pPr>
            <w:r w:rsidRPr="00036A98">
              <w:rPr>
                <w:noProof w:val="0"/>
                <w:sz w:val="22"/>
              </w:rPr>
              <w:t>2017</w:t>
            </w:r>
          </w:p>
        </w:tc>
        <w:tc>
          <w:tcPr>
            <w:tcW w:w="2093" w:type="pct"/>
            <w:tcBorders>
              <w:bottom w:val="nil"/>
            </w:tcBorders>
            <w:noWrap/>
          </w:tcPr>
          <w:p w:rsidR="00EA0DAA" w:rsidRPr="00036A98" w:rsidP="007B2924">
            <w:pPr>
              <w:spacing w:before="20" w:after="20"/>
              <w:jc w:val="center"/>
              <w:rPr>
                <w:noProof w:val="0"/>
                <w:sz w:val="22"/>
                <w:szCs w:val="20"/>
              </w:rPr>
            </w:pPr>
            <w:r w:rsidRPr="00036A98">
              <w:rPr>
                <w:noProof w:val="0"/>
                <w:sz w:val="22"/>
              </w:rPr>
              <w:t>17</w:t>
            </w:r>
          </w:p>
        </w:tc>
        <w:tc>
          <w:tcPr>
            <w:tcW w:w="2143" w:type="pct"/>
            <w:tcBorders>
              <w:bottom w:val="nil"/>
            </w:tcBorders>
            <w:noWrap/>
          </w:tcPr>
          <w:p w:rsidR="00EA0DAA" w:rsidRPr="00036A98" w:rsidP="007B2924">
            <w:pPr>
              <w:spacing w:before="20" w:after="20"/>
              <w:jc w:val="center"/>
              <w:rPr>
                <w:noProof w:val="0"/>
                <w:sz w:val="22"/>
                <w:szCs w:val="20"/>
              </w:rPr>
            </w:pPr>
            <w:r w:rsidRPr="00036A98">
              <w:rPr>
                <w:noProof w:val="0"/>
                <w:sz w:val="22"/>
              </w:rPr>
              <w:t>100</w:t>
            </w:r>
          </w:p>
        </w:tc>
      </w:tr>
    </w:tbl>
    <w:p w:rsidR="00084411" w:rsidRPr="00036A98" w:rsidP="00EF1E96">
      <w:pPr>
        <w:pStyle w:val="Heading1"/>
        <w:numPr>
          <w:ilvl w:val="0"/>
          <w:numId w:val="9"/>
        </w:numPr>
        <w:rPr>
          <w:rFonts w:eastAsia="Calibri"/>
        </w:rPr>
      </w:pPr>
      <w:bookmarkStart w:id="101" w:name="_Toc462235804"/>
      <w:bookmarkStart w:id="102" w:name="_Toc462754786"/>
      <w:bookmarkStart w:id="103" w:name="_Toc490231013"/>
      <w:bookmarkStart w:id="104" w:name="_Toc490231905"/>
      <w:bookmarkStart w:id="105" w:name="_Toc490232033"/>
      <w:bookmarkStart w:id="106" w:name="_Toc491352161"/>
      <w:bookmarkStart w:id="107" w:name="_Toc491788093"/>
      <w:bookmarkStart w:id="108" w:name="_Toc491789283"/>
      <w:bookmarkStart w:id="109" w:name="_Toc491791280"/>
      <w:bookmarkStart w:id="110" w:name="_Toc525214760"/>
      <w:r w:rsidRPr="00036A98">
        <w:t>Results of Safety Recommendations</w:t>
      </w:r>
      <w:bookmarkEnd w:id="101"/>
      <w:bookmarkEnd w:id="102"/>
      <w:bookmarkEnd w:id="103"/>
      <w:bookmarkEnd w:id="104"/>
      <w:bookmarkEnd w:id="105"/>
      <w:bookmarkEnd w:id="106"/>
      <w:bookmarkEnd w:id="107"/>
      <w:bookmarkEnd w:id="108"/>
      <w:bookmarkEnd w:id="109"/>
      <w:bookmarkEnd w:id="110"/>
    </w:p>
    <w:p w:rsidR="000D0DDF" w:rsidRPr="00036A98" w:rsidP="007B2924">
      <w:pPr>
        <w:ind w:firstLine="709"/>
        <w:jc w:val="both"/>
        <w:rPr>
          <w:rFonts w:eastAsia="Calibri"/>
          <w:noProof w:val="0"/>
        </w:rPr>
      </w:pPr>
      <w:r w:rsidRPr="00036A98">
        <w:t>The National Investigation Body (NIB) for the railway accidents and incidents in Bulgaria is the Railway Accident and Incident Special Investigation Unit (RAISIU) at the Accident Investigation Unit in Air, Water and Railway Transport Directorate of the Ministry of Transport, Information Technology and Communications (MTITC), which was established by Decree No 250 of 25 November 2005 of the Council of Ministers of the Republic of Bulgaria.</w:t>
      </w:r>
    </w:p>
    <w:p w:rsidR="000D0DDF" w:rsidRPr="00036A98" w:rsidP="00370BD3">
      <w:pPr>
        <w:spacing w:before="120"/>
        <w:ind w:firstLine="709"/>
        <w:jc w:val="both"/>
        <w:rPr>
          <w:rFonts w:eastAsia="Calibri"/>
          <w:noProof w:val="0"/>
        </w:rPr>
      </w:pPr>
      <w:r w:rsidRPr="00036A98">
        <w:t>In 2017, safety recommendations from the NIB of Bulgaria (RAISIU) were received at the RAEA in connection with the following three railway accidents:</w:t>
      </w:r>
    </w:p>
    <w:p w:rsidR="00A279E0" w:rsidRPr="00036A98" w:rsidP="00EF1E96">
      <w:pPr>
        <w:numPr>
          <w:ilvl w:val="0"/>
          <w:numId w:val="2"/>
        </w:numPr>
        <w:tabs>
          <w:tab w:val="left" w:pos="0"/>
        </w:tabs>
        <w:ind w:left="0" w:firstLine="284"/>
        <w:jc w:val="both"/>
        <w:rPr>
          <w:i/>
        </w:rPr>
      </w:pPr>
      <w:r w:rsidRPr="00036A98">
        <w:rPr>
          <w:i/>
          <w:sz w:val="22"/>
          <w:lang w:val="fr-FR" w:eastAsia="fr-FR" w:bidi="ar-SA"/>
        </w:rPr>
        <w:drawing>
          <wp:anchor distT="0" distB="0" distL="114300" distR="114300" simplePos="0" relativeHeight="251664384" behindDoc="1" locked="0" layoutInCell="1" allowOverlap="1">
            <wp:simplePos x="0" y="0"/>
            <wp:positionH relativeFrom="column">
              <wp:posOffset>172720</wp:posOffset>
            </wp:positionH>
            <wp:positionV relativeFrom="paragraph">
              <wp:posOffset>531495</wp:posOffset>
            </wp:positionV>
            <wp:extent cx="5835015" cy="181229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965855" name="Untitled.png"/>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a:xfrm>
                      <a:off x="0" y="0"/>
                      <a:ext cx="5835015" cy="1812290"/>
                    </a:xfrm>
                    <a:prstGeom prst="rect">
                      <a:avLst/>
                    </a:prstGeom>
                  </pic:spPr>
                </pic:pic>
              </a:graphicData>
            </a:graphic>
            <wp14:sizeRelH relativeFrom="page">
              <wp14:pctWidth>0</wp14:pctWidth>
            </wp14:sizeRelH>
            <wp14:sizeRelV relativeFrom="page">
              <wp14:pctHeight>0</wp14:pctHeight>
            </wp14:sizeRelV>
          </wp:anchor>
        </w:drawing>
      </w:r>
      <w:r w:rsidRPr="00036A98">
        <w:t xml:space="preserve">Derailment of a tank wagon of train No 30582 at the Dalgopol–Komunari station-adjacent section, on road No 2, on 9 February 2017 (no employees or persons outside the railway system were injured in this accident). </w:t>
      </w:r>
    </w:p>
    <w:p w:rsidR="008752FD" w:rsidRPr="00036A98" w:rsidP="008752FD">
      <w:pPr>
        <w:tabs>
          <w:tab w:val="left" w:pos="0"/>
        </w:tabs>
        <w:jc w:val="both"/>
        <w:rPr>
          <w:i/>
        </w:rPr>
      </w:pPr>
      <w:r w:rsidRPr="00036A98">
        <w:rPr>
          <w:lang w:val="fr-FR" w:eastAsia="fr-FR" w:bidi="ar-SA"/>
        </w:rPr>
        <mc:AlternateContent>
          <mc:Choice Requires="wps">
            <w:drawing>
              <wp:anchor distT="0" distB="0" distL="114300" distR="114300" simplePos="0" relativeHeight="251685888" behindDoc="0" locked="0" layoutInCell="1" allowOverlap="1">
                <wp:simplePos x="0" y="0"/>
                <wp:positionH relativeFrom="column">
                  <wp:posOffset>4445</wp:posOffset>
                </wp:positionH>
                <wp:positionV relativeFrom="paragraph">
                  <wp:posOffset>1874520</wp:posOffset>
                </wp:positionV>
                <wp:extent cx="6170930" cy="723900"/>
                <wp:effectExtent l="0" t="0" r="1270" b="0"/>
                <wp:wrapNone/>
                <wp:docPr id="9" name="Text Box 9"/>
                <wp:cNvGraphicFramePr/>
                <a:graphic xmlns:a="http://schemas.openxmlformats.org/drawingml/2006/main">
                  <a:graphicData uri="http://schemas.microsoft.com/office/word/2010/wordprocessingShape">
                    <wps:wsp xmlns:wps="http://schemas.microsoft.com/office/word/2010/wordprocessingShape">
                      <wps:cNvSpPr txBox="1"/>
                      <wps:spPr>
                        <a:xfrm>
                          <a:off x="0" y="0"/>
                          <a:ext cx="6170930" cy="723900"/>
                        </a:xfrm>
                        <a:prstGeom prst="rect">
                          <a:avLst/>
                        </a:prstGeom>
                        <a:solidFill>
                          <a:prstClr val="white"/>
                        </a:solidFill>
                        <a:ln>
                          <a:noFill/>
                        </a:ln>
                        <a:effectLst/>
                      </wps:spPr>
                      <wps:txbx>
                        <w:txbxContent>
                          <w:p w:rsidR="002F5A3F" w:rsidRPr="00036A98" w:rsidP="00FE2542">
                            <w:pPr>
                              <w:pStyle w:val="Caption"/>
                              <w:jc w:val="center"/>
                              <w:rPr>
                                <w:b w:val="0"/>
                                <w:i/>
                                <w:color w:val="000000" w:themeColor="text1"/>
                              </w:rPr>
                            </w:pPr>
                            <w:r w:rsidRPr="00036A98">
                              <w:rPr>
                                <w:color w:val="000000" w:themeColor="text1"/>
                              </w:rPr>
                              <w:t xml:space="preserve">Figure 5: </w:t>
                            </w:r>
                            <w:r w:rsidRPr="00036A98">
                              <w:rPr>
                                <w:b w:val="0"/>
                                <w:color w:val="000000" w:themeColor="text1"/>
                              </w:rPr>
                              <w:t>On</w:t>
                            </w:r>
                            <w:r w:rsidRPr="00036A98">
                              <w:rPr>
                                <w:color w:val="000000" w:themeColor="text1"/>
                              </w:rPr>
                              <w:t xml:space="preserve"> </w:t>
                            </w:r>
                            <w:r w:rsidRPr="00036A98">
                              <w:rPr>
                                <w:b w:val="0"/>
                                <w:color w:val="000000" w:themeColor="text1"/>
                              </w:rPr>
                              <w:t>the front, buffer-side view of the wagon standing on a straight, level track, there is a visible tilt of the wagon body and undercarriage to the side (to the left, in this case). It was subsequently established that this was the side with the loosened wheel-axle press assembly at the first axle box of the first wheelset. The detailed inspection of the running gear of the wagon established that the side bearers (supporting the wagon body and undercarriage on the bogie frame) at the side of the loosened wheel were excessively worn out and chipped off, both on the first and the second bogie.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9" o:spid="_x0000_s1036" type="#_x0000_t202" style="width:485.9pt;height:57pt;margin-top:147.6pt;margin-left:0.35pt;mso-height-percent:0;mso-height-relative:margin;mso-width-percent:0;mso-width-relative:margin;mso-wrap-distance-bottom:0;mso-wrap-distance-left:9pt;mso-wrap-distance-right:9pt;mso-wrap-distance-top:0;mso-wrap-style:square;position:absolute;visibility:visible;v-text-anchor:top;z-index:251686912" stroked="f">
                <v:textbox inset="0,0,0,0">
                  <w:txbxContent>
                    <w:p w:rsidR="002F5A3F" w:rsidRPr="00036A98" w:rsidP="00FE2542">
                      <w:pPr>
                        <w:pStyle w:val="Caption"/>
                        <w:jc w:val="center"/>
                        <w:rPr>
                          <w:b w:val="0"/>
                          <w:i/>
                          <w:color w:val="000000" w:themeColor="text1"/>
                        </w:rPr>
                      </w:pPr>
                      <w:r w:rsidRPr="00036A98">
                        <w:rPr>
                          <w:color w:val="000000" w:themeColor="text1"/>
                        </w:rPr>
                        <w:t xml:space="preserve">Figure 5: </w:t>
                      </w:r>
                      <w:r w:rsidRPr="00036A98">
                        <w:rPr>
                          <w:b w:val="0"/>
                          <w:color w:val="000000" w:themeColor="text1"/>
                        </w:rPr>
                        <w:t>On</w:t>
                      </w:r>
                      <w:r w:rsidRPr="00036A98">
                        <w:rPr>
                          <w:color w:val="000000" w:themeColor="text1"/>
                        </w:rPr>
                        <w:t xml:space="preserve"> </w:t>
                      </w:r>
                      <w:r w:rsidRPr="00036A98">
                        <w:rPr>
                          <w:b w:val="0"/>
                          <w:color w:val="000000" w:themeColor="text1"/>
                        </w:rPr>
                        <w:t>the front, buffer-side view of the wagon standing on a straight, level track, there is a visible tilt of the wagon body and undercarriage to the side (to the left, in this case). It was subsequently established that this was the side with the loosened wheel-axle press assembly at the first axle box of the first wheelset. The detailed inspection of the running gear of the wagon established that the side bearers (supporting the wagon body and undercarriage on the bogie frame) at the side of the loosened wheel were excessively worn out and chipped off, both on the first and the second bogie.</w:t>
                      </w:r>
                    </w:p>
                  </w:txbxContent>
                </v:textbox>
              </v:shape>
            </w:pict>
          </mc:Fallback>
        </mc:AlternateContent>
      </w:r>
    </w:p>
    <w:p w:rsidR="008752FD" w:rsidRPr="00036A98" w:rsidP="008752FD">
      <w:pPr>
        <w:tabs>
          <w:tab w:val="left" w:pos="0"/>
        </w:tabs>
        <w:jc w:val="both"/>
        <w:rPr>
          <w:i/>
        </w:rPr>
      </w:pPr>
    </w:p>
    <w:p w:rsidR="00935F60" w:rsidRPr="00036A98" w:rsidP="008752FD">
      <w:pPr>
        <w:tabs>
          <w:tab w:val="left" w:pos="0"/>
        </w:tabs>
        <w:jc w:val="both"/>
        <w:rPr>
          <w:i/>
        </w:rPr>
      </w:pPr>
    </w:p>
    <w:p w:rsidR="008752FD" w:rsidRPr="00036A98" w:rsidP="008752FD">
      <w:pPr>
        <w:tabs>
          <w:tab w:val="left" w:pos="0"/>
        </w:tabs>
        <w:jc w:val="both"/>
        <w:rPr>
          <w:i/>
        </w:rPr>
      </w:pPr>
    </w:p>
    <w:p w:rsidR="008752FD" w:rsidRPr="002F5A3F" w:rsidP="008752FD">
      <w:pPr>
        <w:tabs>
          <w:tab w:val="left" w:pos="0"/>
        </w:tabs>
        <w:jc w:val="both"/>
        <w:rPr>
          <w:i/>
          <w:sz w:val="18"/>
          <w:szCs w:val="18"/>
        </w:rPr>
      </w:pPr>
    </w:p>
    <w:p w:rsidR="00A279E0" w:rsidRPr="00036A98" w:rsidP="00EF1E96">
      <w:pPr>
        <w:pStyle w:val="ListParagraph"/>
        <w:numPr>
          <w:ilvl w:val="0"/>
          <w:numId w:val="2"/>
        </w:numPr>
        <w:tabs>
          <w:tab w:val="left" w:pos="0"/>
        </w:tabs>
        <w:ind w:left="0" w:firstLine="284"/>
        <w:jc w:val="both"/>
        <w:rPr>
          <w:i/>
        </w:rPr>
      </w:pPr>
      <w:r w:rsidRPr="00036A98">
        <w:rPr>
          <w:noProof w:val="0"/>
          <w:color w:val="000000"/>
        </w:rPr>
        <w:t xml:space="preserve">Derailment of electric locomotive No 86018.9 of freight train No 30690 entering the </w:t>
      </w:r>
      <w:r w:rsidRPr="00036A98">
        <w:rPr>
          <w:noProof w:val="0"/>
          <w:color w:val="000000"/>
        </w:rPr>
        <w:t>Pirdop</w:t>
      </w:r>
      <w:r w:rsidRPr="00036A98">
        <w:rPr>
          <w:noProof w:val="0"/>
          <w:color w:val="000000"/>
        </w:rPr>
        <w:t xml:space="preserve"> station on 4 May 2017 </w:t>
      </w:r>
      <w:r w:rsidRPr="00036A98">
        <w:t>(no employees or persons outside the railway system were injured in this accident).</w:t>
      </w:r>
    </w:p>
    <w:p w:rsidR="00660229" w:rsidRPr="00036A98" w:rsidP="002F5A3F">
      <w:pPr>
        <w:tabs>
          <w:tab w:val="left" w:pos="0"/>
        </w:tabs>
        <w:jc w:val="center"/>
        <w:rPr>
          <w:i/>
        </w:rPr>
      </w:pPr>
      <w:r w:rsidRPr="00036A98">
        <w:rPr>
          <w:lang w:val="fr-FR" w:eastAsia="fr-FR" w:bidi="ar-SA"/>
        </w:rPr>
        <mc:AlternateContent>
          <mc:Choice Requires="wps">
            <w:drawing>
              <wp:anchor distT="0" distB="0" distL="114300" distR="114300" simplePos="0" relativeHeight="251703296" behindDoc="0" locked="0" layoutInCell="1" allowOverlap="1">
                <wp:simplePos x="0" y="0"/>
                <wp:positionH relativeFrom="column">
                  <wp:posOffset>212090</wp:posOffset>
                </wp:positionH>
                <wp:positionV relativeFrom="paragraph">
                  <wp:posOffset>1605280</wp:posOffset>
                </wp:positionV>
                <wp:extent cx="6018530" cy="134620"/>
                <wp:effectExtent l="0" t="0" r="1270" b="0"/>
                <wp:wrapSquare wrapText="bothSides"/>
                <wp:docPr id="8" name="Text Box 8"/>
                <wp:cNvGraphicFramePr/>
                <a:graphic xmlns:a="http://schemas.openxmlformats.org/drawingml/2006/main">
                  <a:graphicData uri="http://schemas.microsoft.com/office/word/2010/wordprocessingShape">
                    <wps:wsp xmlns:wps="http://schemas.microsoft.com/office/word/2010/wordprocessingShape">
                      <wps:cNvSpPr txBox="1"/>
                      <wps:spPr>
                        <a:xfrm>
                          <a:off x="0" y="0"/>
                          <a:ext cx="6018530" cy="134620"/>
                        </a:xfrm>
                        <a:prstGeom prst="rect">
                          <a:avLst/>
                        </a:prstGeom>
                        <a:solidFill>
                          <a:prstClr val="white"/>
                        </a:solidFill>
                        <a:ln>
                          <a:noFill/>
                        </a:ln>
                        <a:effectLst/>
                      </wps:spPr>
                      <wps:txbx>
                        <w:txbxContent>
                          <w:p w:rsidR="002F5A3F" w:rsidRPr="00036A98" w:rsidP="00F34E23">
                            <w:pPr>
                              <w:pStyle w:val="Caption"/>
                              <w:jc w:val="center"/>
                              <w:rPr>
                                <w:i/>
                                <w:color w:val="000000" w:themeColor="text1"/>
                                <w:sz w:val="24"/>
                                <w:szCs w:val="24"/>
                              </w:rPr>
                            </w:pPr>
                            <w:r w:rsidRPr="00036A98">
                              <w:rPr>
                                <w:color w:val="000000" w:themeColor="text1"/>
                              </w:rPr>
                              <w:t xml:space="preserve">Figure 6: </w:t>
                            </w:r>
                            <w:r w:rsidRPr="00036A98">
                              <w:rPr>
                                <w:b w:val="0"/>
                                <w:color w:val="000000" w:themeColor="text1"/>
                              </w:rPr>
                              <w:t>Parts chipped off while running, between the time of the axle break and the time of the locomotive stop</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8" o:spid="_x0000_s1037" type="#_x0000_t202" style="width:473.9pt;height:10.6pt;margin-top:126.4pt;margin-left:16.7pt;mso-height-percent:0;mso-height-relative:margin;mso-width-percent:0;mso-width-relative:margin;mso-wrap-distance-bottom:0;mso-wrap-distance-left:9pt;mso-wrap-distance-right:9pt;mso-wrap-distance-top:0;mso-wrap-style:square;position:absolute;visibility:visible;v-text-anchor:top;z-index:251704320" stroked="f">
                <v:textbox inset="0,0,0,0">
                  <w:txbxContent>
                    <w:p w:rsidR="002F5A3F" w:rsidRPr="00036A98" w:rsidP="00F34E23">
                      <w:pPr>
                        <w:pStyle w:val="Caption"/>
                        <w:jc w:val="center"/>
                        <w:rPr>
                          <w:i/>
                          <w:color w:val="000000" w:themeColor="text1"/>
                          <w:sz w:val="24"/>
                          <w:szCs w:val="24"/>
                        </w:rPr>
                      </w:pPr>
                      <w:r w:rsidRPr="00036A98">
                        <w:rPr>
                          <w:color w:val="000000" w:themeColor="text1"/>
                        </w:rPr>
                        <w:t xml:space="preserve">Figure 6: </w:t>
                      </w:r>
                      <w:r w:rsidRPr="00036A98">
                        <w:rPr>
                          <w:b w:val="0"/>
                          <w:color w:val="000000" w:themeColor="text1"/>
                        </w:rPr>
                        <w:t>Parts chipped off while running, between the time of the axle break and the time of the locomotive stop</w:t>
                      </w:r>
                    </w:p>
                  </w:txbxContent>
                </v:textbox>
                <w10:wrap type="square"/>
              </v:shape>
            </w:pict>
          </mc:Fallback>
        </mc:AlternateContent>
      </w:r>
      <w:r w:rsidRPr="00036A98">
        <w:rPr>
          <w:i/>
          <w:lang w:val="fr-FR" w:eastAsia="fr-FR" w:bidi="ar-SA"/>
        </w:rPr>
        <w:drawing>
          <wp:inline distT="0" distB="0" distL="0" distR="0">
            <wp:extent cx="2782570" cy="15424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014856" name="Untitled.png"/>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2782570" cy="1542415"/>
                    </a:xfrm>
                    <a:prstGeom prst="rect">
                      <a:avLst/>
                    </a:prstGeom>
                  </pic:spPr>
                </pic:pic>
              </a:graphicData>
            </a:graphic>
          </wp:inline>
        </w:drawing>
      </w:r>
    </w:p>
    <w:p w:rsidR="002F5A3F" w:rsidRPr="002F5A3F" w:rsidP="002F5A3F">
      <w:pPr>
        <w:pStyle w:val="ListParagraph"/>
        <w:tabs>
          <w:tab w:val="left" w:pos="0"/>
        </w:tabs>
        <w:ind w:left="284"/>
        <w:jc w:val="both"/>
        <w:rPr>
          <w:i/>
          <w:sz w:val="18"/>
          <w:szCs w:val="18"/>
        </w:rPr>
      </w:pPr>
    </w:p>
    <w:p w:rsidR="00FE2542" w:rsidRPr="00036A98" w:rsidP="002F5A3F">
      <w:pPr>
        <w:pStyle w:val="ListParagraph"/>
        <w:numPr>
          <w:ilvl w:val="0"/>
          <w:numId w:val="2"/>
        </w:numPr>
        <w:tabs>
          <w:tab w:val="left" w:pos="0"/>
        </w:tabs>
        <w:ind w:left="0" w:firstLine="284"/>
        <w:jc w:val="both"/>
        <w:rPr>
          <w:i/>
        </w:rPr>
      </w:pPr>
      <w:r w:rsidRPr="00036A98">
        <w:rPr>
          <w:lang w:val="fr-FR" w:eastAsia="fr-FR" w:bidi="ar-SA"/>
        </w:rPr>
        <mc:AlternateContent>
          <mc:Choice Requires="wps">
            <w:drawing>
              <wp:anchor distT="0" distB="0" distL="114300" distR="114300" simplePos="0" relativeHeight="251705344" behindDoc="0" locked="0" layoutInCell="1" allowOverlap="1">
                <wp:simplePos x="0" y="0"/>
                <wp:positionH relativeFrom="column">
                  <wp:posOffset>-128270</wp:posOffset>
                </wp:positionH>
                <wp:positionV relativeFrom="paragraph">
                  <wp:posOffset>2163445</wp:posOffset>
                </wp:positionV>
                <wp:extent cx="6210935" cy="307340"/>
                <wp:effectExtent l="0" t="0" r="0" b="0"/>
                <wp:wrapSquare wrapText="bothSides"/>
                <wp:docPr id="27" name="Text Box 27"/>
                <wp:cNvGraphicFramePr/>
                <a:graphic xmlns:a="http://schemas.openxmlformats.org/drawingml/2006/main">
                  <a:graphicData uri="http://schemas.microsoft.com/office/word/2010/wordprocessingShape">
                    <wps:wsp xmlns:wps="http://schemas.microsoft.com/office/word/2010/wordprocessingShape">
                      <wps:cNvSpPr txBox="1"/>
                      <wps:spPr>
                        <a:xfrm>
                          <a:off x="0" y="0"/>
                          <a:ext cx="6210935" cy="307340"/>
                        </a:xfrm>
                        <a:prstGeom prst="rect">
                          <a:avLst/>
                        </a:prstGeom>
                        <a:solidFill>
                          <a:prstClr val="white"/>
                        </a:solidFill>
                        <a:ln>
                          <a:noFill/>
                        </a:ln>
                        <a:effectLst/>
                      </wps:spPr>
                      <wps:txbx>
                        <w:txbxContent>
                          <w:p w:rsidR="002F5A3F" w:rsidRPr="00036A98" w:rsidP="00F34E23">
                            <w:pPr>
                              <w:pStyle w:val="Caption"/>
                              <w:jc w:val="center"/>
                              <w:rPr>
                                <w:color w:val="000000" w:themeColor="text1"/>
                                <w:sz w:val="24"/>
                                <w:szCs w:val="24"/>
                              </w:rPr>
                            </w:pPr>
                            <w:r w:rsidRPr="00036A98">
                              <w:rPr>
                                <w:color w:val="000000" w:themeColor="text1"/>
                              </w:rPr>
                              <w:t xml:space="preserve">Figure 7: </w:t>
                            </w:r>
                            <w:r w:rsidRPr="00036A98">
                              <w:rPr>
                                <w:b w:val="0"/>
                                <w:color w:val="000000" w:themeColor="text1"/>
                              </w:rPr>
                              <w:t>The molten material of the copper bars dripped down to the cables beneath the bars, melted their insulation causing ignition and engine room fire.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id="Text Box 27" o:spid="_x0000_s1038" type="#_x0000_t202" style="width:489.05pt;height:24.2pt;margin-top:170.35pt;margin-left:-10.1pt;mso-height-percent:0;mso-height-relative:margin;mso-wrap-distance-bottom:0;mso-wrap-distance-left:9pt;mso-wrap-distance-right:9pt;mso-wrap-distance-top:0;mso-wrap-style:square;position:absolute;visibility:visible;v-text-anchor:top;z-index:251706368" stroked="f">
                <v:textbox inset="0,0,0,0">
                  <w:txbxContent>
                    <w:p w:rsidR="002F5A3F" w:rsidRPr="00036A98" w:rsidP="00F34E23">
                      <w:pPr>
                        <w:pStyle w:val="Caption"/>
                        <w:jc w:val="center"/>
                        <w:rPr>
                          <w:color w:val="000000" w:themeColor="text1"/>
                          <w:sz w:val="24"/>
                          <w:szCs w:val="24"/>
                        </w:rPr>
                      </w:pPr>
                      <w:r w:rsidRPr="00036A98">
                        <w:rPr>
                          <w:color w:val="000000" w:themeColor="text1"/>
                        </w:rPr>
                        <w:t xml:space="preserve">Figure 7: </w:t>
                      </w:r>
                      <w:r w:rsidRPr="00036A98">
                        <w:rPr>
                          <w:b w:val="0"/>
                          <w:color w:val="000000" w:themeColor="text1"/>
                        </w:rPr>
                        <w:t>The molten material of the copper bars dripped down to the cables beneath the bars, melted their insulation causing ignition and engine room fire.</w:t>
                      </w:r>
                    </w:p>
                  </w:txbxContent>
                </v:textbox>
                <w10:wrap type="square"/>
              </v:shape>
            </w:pict>
          </mc:Fallback>
        </mc:AlternateContent>
      </w:r>
      <w:r w:rsidRPr="00036A98">
        <w:rPr>
          <w:lang w:val="fr-FR" w:eastAsia="fr-FR" w:bidi="ar-SA"/>
        </w:rPr>
        <w:drawing>
          <wp:anchor distT="0" distB="0" distL="114300" distR="114300" simplePos="0" relativeHeight="251665408" behindDoc="1" locked="0" layoutInCell="1" allowOverlap="1">
            <wp:simplePos x="0" y="0"/>
            <wp:positionH relativeFrom="column">
              <wp:posOffset>-130175</wp:posOffset>
            </wp:positionH>
            <wp:positionV relativeFrom="paragraph">
              <wp:posOffset>375285</wp:posOffset>
            </wp:positionV>
            <wp:extent cx="6210935" cy="19843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606803" name="Untitled.png"/>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210935" cy="1984375"/>
                    </a:xfrm>
                    <a:prstGeom prst="rect">
                      <a:avLst/>
                    </a:prstGeom>
                  </pic:spPr>
                </pic:pic>
              </a:graphicData>
            </a:graphic>
            <wp14:sizeRelH relativeFrom="page">
              <wp14:pctWidth>0</wp14:pctWidth>
            </wp14:sizeRelH>
            <wp14:sizeRelV relativeFrom="page">
              <wp14:pctHeight>0</wp14:pctHeight>
            </wp14:sizeRelV>
          </wp:anchor>
        </w:drawing>
      </w:r>
      <w:r w:rsidRPr="00036A98">
        <w:rPr>
          <w:noProof w:val="0"/>
          <w:color w:val="000000"/>
          <w:sz w:val="22"/>
        </w:rPr>
        <w:t xml:space="preserve">Fire in electric locomotive No 44134.2 of intercity train No 8693, at the </w:t>
      </w:r>
      <w:r w:rsidRPr="00036A98">
        <w:rPr>
          <w:noProof w:val="0"/>
          <w:color w:val="000000"/>
          <w:sz w:val="22"/>
        </w:rPr>
        <w:t>Dimitrovgrad</w:t>
      </w:r>
      <w:r w:rsidRPr="00036A98">
        <w:rPr>
          <w:noProof w:val="0"/>
          <w:color w:val="000000"/>
          <w:sz w:val="22"/>
        </w:rPr>
        <w:t xml:space="preserve"> station on 12 October </w:t>
      </w:r>
      <w:r w:rsidRPr="00036A98">
        <w:rPr>
          <w:noProof w:val="0"/>
          <w:color w:val="000000"/>
          <w:sz w:val="22"/>
        </w:rPr>
        <w:t>2017</w:t>
      </w:r>
      <w:r w:rsidRPr="00036A98">
        <w:rPr>
          <w:noProof w:val="0"/>
          <w:color w:val="000000"/>
          <w:sz w:val="22"/>
        </w:rPr>
        <w:t xml:space="preserve"> </w:t>
      </w:r>
      <w:r w:rsidRPr="00036A98">
        <w:t>(no employees or persons outside the railway system were injured in this accident).</w:t>
      </w:r>
    </w:p>
    <w:tbl>
      <w:tblPr>
        <w:tblStyle w:val="TableGrid"/>
        <w:tblpPr w:leftFromText="141" w:rightFromText="141" w:vertAnchor="page" w:horzAnchor="margin" w:tblpXSpec="center" w:tblpY="527"/>
        <w:tblW w:w="10450" w:type="dxa"/>
        <w:tblLayout w:type="fixed"/>
        <w:tblLook w:val="00A0"/>
      </w:tblPr>
      <w:tblGrid>
        <w:gridCol w:w="4814"/>
        <w:gridCol w:w="4253"/>
        <w:gridCol w:w="1383"/>
      </w:tblGrid>
      <w:tr w:rsidTr="008576E7">
        <w:tblPrEx>
          <w:tblW w:w="10450" w:type="dxa"/>
          <w:tblLayout w:type="fixed"/>
          <w:tblLook w:val="00A0"/>
        </w:tblPrEx>
        <w:tc>
          <w:tcPr>
            <w:tcW w:w="4814" w:type="dxa"/>
          </w:tcPr>
          <w:p w:rsidR="00962D94" w:rsidRPr="00036A98" w:rsidP="001B0B7D">
            <w:pPr>
              <w:jc w:val="center"/>
              <w:rPr>
                <w:noProof w:val="0"/>
                <w:sz w:val="20"/>
                <w:szCs w:val="20"/>
              </w:rPr>
            </w:pPr>
            <w:r w:rsidRPr="00036A98">
              <w:rPr>
                <w:noProof w:val="0"/>
                <w:sz w:val="20"/>
              </w:rPr>
              <w:t>Safety recommendations received from the NIB of Bulgaria in 2017</w:t>
            </w:r>
          </w:p>
        </w:tc>
        <w:tc>
          <w:tcPr>
            <w:tcW w:w="4253" w:type="dxa"/>
          </w:tcPr>
          <w:p w:rsidR="00962D94" w:rsidRPr="00036A98" w:rsidP="001B0B7D">
            <w:pPr>
              <w:jc w:val="center"/>
              <w:rPr>
                <w:noProof w:val="0"/>
                <w:sz w:val="20"/>
                <w:szCs w:val="20"/>
              </w:rPr>
            </w:pPr>
            <w:r w:rsidRPr="00036A98">
              <w:rPr>
                <w:noProof w:val="0"/>
                <w:sz w:val="20"/>
              </w:rPr>
              <w:t>Safety measures taken following the recommendations of Bulgaria’s NIB</w:t>
            </w:r>
          </w:p>
        </w:tc>
        <w:tc>
          <w:tcPr>
            <w:tcW w:w="1383" w:type="dxa"/>
          </w:tcPr>
          <w:p w:rsidR="00962D94" w:rsidRPr="00036A98" w:rsidP="001B0B7D">
            <w:pPr>
              <w:jc w:val="center"/>
              <w:rPr>
                <w:noProof w:val="0"/>
                <w:sz w:val="20"/>
                <w:szCs w:val="20"/>
              </w:rPr>
            </w:pPr>
            <w:r w:rsidRPr="00036A98">
              <w:rPr>
                <w:noProof w:val="0"/>
                <w:sz w:val="20"/>
              </w:rPr>
              <w:t>Status of implementation</w:t>
            </w:r>
          </w:p>
        </w:tc>
      </w:tr>
      <w:tr w:rsidTr="008576E7">
        <w:tblPrEx>
          <w:tblW w:w="10450" w:type="dxa"/>
          <w:tblLayout w:type="fixed"/>
          <w:tblLook w:val="00A0"/>
        </w:tblPrEx>
        <w:trPr>
          <w:trHeight w:val="383"/>
        </w:trPr>
        <w:tc>
          <w:tcPr>
            <w:tcW w:w="10450" w:type="dxa"/>
            <w:gridSpan w:val="3"/>
          </w:tcPr>
          <w:p w:rsidR="00962D94" w:rsidRPr="00036A98" w:rsidP="001B0B7D">
            <w:pPr>
              <w:jc w:val="both"/>
              <w:rPr>
                <w:b/>
                <w:i/>
                <w:noProof w:val="0"/>
                <w:color w:val="000000" w:themeColor="text1"/>
                <w:sz w:val="20"/>
                <w:szCs w:val="20"/>
              </w:rPr>
            </w:pPr>
            <w:r w:rsidRPr="00036A98">
              <w:rPr>
                <w:i/>
                <w:noProof w:val="0"/>
                <w:color w:val="000000" w:themeColor="text1"/>
                <w:sz w:val="20"/>
              </w:rPr>
              <w:t xml:space="preserve">1. </w:t>
            </w:r>
            <w:r w:rsidRPr="00036A98">
              <w:rPr>
                <w:color w:val="000000" w:themeColor="text1"/>
                <w:sz w:val="20"/>
              </w:rPr>
              <w:t xml:space="preserve"> After the derailment of a tank wagon of freight train No 30582 operated by the Bulgarian Railway Company AD, within the Dalgopol–Komunari station-adjacent section, on road No 2 on 9 February 2017</w:t>
            </w:r>
            <w:r w:rsidRPr="00036A98">
              <w:rPr>
                <w:i/>
                <w:noProof w:val="0"/>
                <w:color w:val="000000" w:themeColor="text1"/>
                <w:sz w:val="20"/>
              </w:rPr>
              <w:t>:</w:t>
            </w:r>
          </w:p>
        </w:tc>
      </w:tr>
      <w:tr w:rsidTr="008576E7">
        <w:tblPrEx>
          <w:tblW w:w="10450" w:type="dxa"/>
          <w:tblLayout w:type="fixed"/>
          <w:tblLook w:val="00A0"/>
        </w:tblPrEx>
        <w:tc>
          <w:tcPr>
            <w:tcW w:w="4814" w:type="dxa"/>
          </w:tcPr>
          <w:p w:rsidR="00962D94" w:rsidRPr="00036A98" w:rsidP="0097612F">
            <w:pPr>
              <w:pStyle w:val="ListParagraph"/>
              <w:numPr>
                <w:ilvl w:val="0"/>
                <w:numId w:val="31"/>
              </w:numPr>
              <w:ind w:left="0" w:firstLine="142"/>
              <w:jc w:val="both"/>
              <w:rPr>
                <w:b/>
                <w:noProof w:val="0"/>
                <w:sz w:val="20"/>
                <w:szCs w:val="20"/>
              </w:rPr>
            </w:pPr>
            <w:r w:rsidRPr="00036A98">
              <w:rPr>
                <w:noProof w:val="0"/>
                <w:color w:val="000000"/>
                <w:sz w:val="20"/>
              </w:rPr>
              <w:t>Refresh the knowledge and increase the alertness of the Bulgarian Railway Company AD personnel conducting technical inspections at the boundary transitions upon entry of the RS owned by foreign railway carriers operating on the railway infrastructure of the Republic of Bulgaria.</w:t>
            </w:r>
          </w:p>
          <w:p w:rsidR="00962D94" w:rsidRPr="00036A98" w:rsidP="0097612F">
            <w:pPr>
              <w:pStyle w:val="ListParagraph"/>
              <w:numPr>
                <w:ilvl w:val="0"/>
                <w:numId w:val="31"/>
              </w:numPr>
              <w:ind w:left="0" w:firstLine="142"/>
              <w:jc w:val="both"/>
              <w:rPr>
                <w:b/>
                <w:noProof w:val="0"/>
                <w:color w:val="000000"/>
                <w:sz w:val="20"/>
                <w:szCs w:val="20"/>
              </w:rPr>
            </w:pPr>
            <w:r w:rsidRPr="00036A98">
              <w:rPr>
                <w:noProof w:val="0"/>
                <w:color w:val="000000"/>
                <w:sz w:val="20"/>
              </w:rPr>
              <w:t>Train drivers should be alert for any irregularities occurring during the travel of their operated trains and, upon noticing any faults in the rolling stock, should take timely measures to stop and prevent accidents and incidents.</w:t>
            </w:r>
          </w:p>
          <w:p w:rsidR="00962D94" w:rsidRPr="00036A98" w:rsidP="0097612F">
            <w:pPr>
              <w:pStyle w:val="ListParagraph"/>
              <w:numPr>
                <w:ilvl w:val="0"/>
                <w:numId w:val="31"/>
              </w:numPr>
              <w:ind w:left="0" w:firstLine="142"/>
              <w:jc w:val="both"/>
              <w:rPr>
                <w:sz w:val="20"/>
                <w:szCs w:val="20"/>
              </w:rPr>
            </w:pPr>
            <w:r w:rsidRPr="00036A98">
              <w:rPr>
                <w:noProof w:val="0"/>
                <w:color w:val="000000"/>
                <w:sz w:val="20"/>
              </w:rPr>
              <w:t>Implement an automated monitoring and control system for the rolling stock in motion to alert on any faults occurring in the running gear (wheelsets, axle boxes, suspension and unevenly loaded wagons).</w:t>
            </w:r>
          </w:p>
        </w:tc>
        <w:tc>
          <w:tcPr>
            <w:tcW w:w="4253" w:type="dxa"/>
          </w:tcPr>
          <w:p w:rsidR="001B0B7D" w:rsidRPr="00036A98" w:rsidP="001B0B7D">
            <w:pPr>
              <w:ind w:firstLine="289"/>
              <w:jc w:val="both"/>
              <w:rPr>
                <w:sz w:val="20"/>
              </w:rPr>
            </w:pPr>
            <w:r w:rsidRPr="00036A98">
              <w:rPr>
                <w:sz w:val="20"/>
              </w:rPr>
              <w:t>By letter No 04-15-45/11 August 2017 from the Railway Administration Executive Agency to the Executive Director of the Bulgarian Railway Company AD, in accordance with recommendations 1 and 2 of the Report, and in relation to Article 7(1) and (2) of Ordinance No 56 on the requirements, conditions and procedure for the training of the candidates for the acquisition of qualifications required by the personnel responsible for the railway transport safety, or recognition of such qualifications, and the procedure for conducting examinations of personnel responsible for the transport safety, all persons occupying the following positions: train driver, locomotive; assistant train driver, locomotive, and technician-mechanic/wagon inspector at the Bulgarian Railway Company AD, shall appear at the RRI Sofia, Plovdiv and Gorna Oryahovitsa for a special examination of their knowledge.</w:t>
            </w:r>
          </w:p>
          <w:p w:rsidR="001B0B7D" w:rsidRPr="00036A98" w:rsidP="001B0B7D">
            <w:pPr>
              <w:ind w:firstLine="289"/>
              <w:jc w:val="both"/>
              <w:rPr>
                <w:sz w:val="20"/>
              </w:rPr>
            </w:pPr>
            <w:r w:rsidRPr="00036A98">
              <w:rPr>
                <w:sz w:val="20"/>
              </w:rPr>
              <w:t>By letter No 04-15-45/14 August 2017, the Railway Administration Executive Agency requested from the Chief Executive Officer of the NRIC SE information, by 20 October 2017, on the implementation of recommendation 3 of the Final Report.</w:t>
            </w:r>
          </w:p>
          <w:p w:rsidR="001B0B7D" w:rsidRPr="00036A98" w:rsidP="001B0B7D">
            <w:pPr>
              <w:ind w:firstLine="289"/>
              <w:jc w:val="both"/>
              <w:rPr>
                <w:sz w:val="20"/>
              </w:rPr>
            </w:pPr>
            <w:r w:rsidRPr="00036A98">
              <w:rPr>
                <w:sz w:val="20"/>
              </w:rPr>
              <w:t>For the implementation of recommendations 1 and 2 of the Report, in relation to Article 7(1) and (2) of Ordinance No 56, the RAEA requested all Bulgarian Railway Company AD personnel, occupying the positions of train driver, locomotive; assistant train driver, locomotive, and technician-mechanic/wagon inspector, to appear for a special examination of their knowledge.</w:t>
            </w:r>
          </w:p>
          <w:p w:rsidR="001B0B7D" w:rsidRPr="00036A98" w:rsidP="001B0B7D">
            <w:pPr>
              <w:ind w:firstLine="289"/>
              <w:jc w:val="both"/>
              <w:rPr>
                <w:sz w:val="20"/>
              </w:rPr>
            </w:pPr>
            <w:r w:rsidRPr="00036A98">
              <w:rPr>
                <w:sz w:val="20"/>
              </w:rPr>
              <w:t>By letter Reg. No 04-14-1-36/14 September 2017, the Managing Director of the Bulgarian Railway Company AD sent us a schedule with a list of the names of the personnel, occupying positions subject to special examination. The dates for the examinations to be held on site, in Burgas, Varna, Ruse and Sofia, were endorsed by the managers of the respective RRIs, with the additional option to appear for the examination on Mondays at the respective RRI.  Special examinations were passed by a total of 180 employees whose duties were related to transportation safety.</w:t>
            </w:r>
          </w:p>
          <w:p w:rsidR="00962D94" w:rsidRPr="00036A98" w:rsidP="001B0B7D">
            <w:pPr>
              <w:ind w:firstLine="289"/>
              <w:jc w:val="both"/>
              <w:rPr>
                <w:sz w:val="20"/>
              </w:rPr>
            </w:pPr>
            <w:r w:rsidRPr="00036A98">
              <w:rPr>
                <w:sz w:val="20"/>
              </w:rPr>
              <w:t>By letter Reg. No RI-37336/24 October 2017,  the Chief Executive Officer of the NRIC SE informed us on the action taken to implement recommendation No 3 of the Final Report to deploy, on the railway infrastructure, an automated monitoring and control system for the rolling stock in motion to alert on any faults occurring in the running gear (wheelsets, axle boxes, suspension and unevenly loaded wagons).</w:t>
            </w:r>
          </w:p>
        </w:tc>
        <w:tc>
          <w:tcPr>
            <w:tcW w:w="1383" w:type="dxa"/>
          </w:tcPr>
          <w:p w:rsidR="00962D94" w:rsidRPr="00036A98" w:rsidP="001B0B7D">
            <w:pPr>
              <w:jc w:val="center"/>
              <w:rPr>
                <w:noProof w:val="0"/>
                <w:sz w:val="19"/>
                <w:szCs w:val="19"/>
              </w:rPr>
            </w:pPr>
            <w:r w:rsidRPr="00036A98">
              <w:rPr>
                <w:noProof w:val="0"/>
                <w:sz w:val="19"/>
              </w:rPr>
              <w:t xml:space="preserve">All recommendations </w:t>
            </w:r>
            <w:r w:rsidRPr="00036A98">
              <w:rPr>
                <w:noProof w:val="0"/>
                <w:sz w:val="19"/>
              </w:rPr>
              <w:t>were implemented</w:t>
            </w:r>
            <w:r w:rsidRPr="00036A98">
              <w:rPr>
                <w:noProof w:val="0"/>
                <w:sz w:val="19"/>
              </w:rPr>
              <w:t>.</w:t>
            </w:r>
          </w:p>
        </w:tc>
      </w:tr>
      <w:tr w:rsidTr="008576E7">
        <w:tblPrEx>
          <w:tblW w:w="10450" w:type="dxa"/>
          <w:tblLayout w:type="fixed"/>
          <w:tblLook w:val="00A0"/>
        </w:tblPrEx>
        <w:tc>
          <w:tcPr>
            <w:tcW w:w="10450" w:type="dxa"/>
            <w:gridSpan w:val="3"/>
          </w:tcPr>
          <w:p w:rsidR="00962D94" w:rsidRPr="00036A98" w:rsidP="001B0B7D">
            <w:pPr>
              <w:jc w:val="both"/>
              <w:rPr>
                <w:b/>
                <w:noProof w:val="0"/>
                <w:color w:val="000000" w:themeColor="text1"/>
                <w:sz w:val="20"/>
                <w:szCs w:val="20"/>
              </w:rPr>
            </w:pPr>
            <w:r w:rsidRPr="00036A98">
              <w:rPr>
                <w:noProof w:val="0"/>
                <w:color w:val="000000" w:themeColor="text1"/>
                <w:sz w:val="20"/>
              </w:rPr>
              <w:t xml:space="preserve">2. Following the derailment of electric locomotive No 86018.9 of freight train No 30690 operated by DB Cargo Bulgaria EOOD, entering the </w:t>
            </w:r>
            <w:r w:rsidRPr="00036A98">
              <w:rPr>
                <w:noProof w:val="0"/>
                <w:color w:val="000000" w:themeColor="text1"/>
                <w:sz w:val="20"/>
              </w:rPr>
              <w:t>Pirdop</w:t>
            </w:r>
            <w:r w:rsidRPr="00036A98">
              <w:rPr>
                <w:noProof w:val="0"/>
                <w:color w:val="000000" w:themeColor="text1"/>
                <w:sz w:val="20"/>
              </w:rPr>
              <w:t xml:space="preserve"> station, on 4 May 2017:</w:t>
            </w:r>
          </w:p>
        </w:tc>
      </w:tr>
      <w:tr w:rsidTr="008576E7">
        <w:tblPrEx>
          <w:tblW w:w="10450" w:type="dxa"/>
          <w:tblLayout w:type="fixed"/>
          <w:tblLook w:val="00A0"/>
        </w:tblPrEx>
        <w:tc>
          <w:tcPr>
            <w:tcW w:w="4814" w:type="dxa"/>
          </w:tcPr>
          <w:p w:rsidR="00962D94" w:rsidRPr="00036A98" w:rsidP="001B0B7D">
            <w:pPr>
              <w:pStyle w:val="ListParagraph"/>
              <w:numPr>
                <w:ilvl w:val="0"/>
                <w:numId w:val="15"/>
              </w:numPr>
              <w:ind w:left="0" w:hanging="11"/>
              <w:jc w:val="both"/>
              <w:rPr>
                <w:b/>
                <w:noProof w:val="0"/>
                <w:sz w:val="20"/>
                <w:szCs w:val="20"/>
              </w:rPr>
            </w:pPr>
            <w:r w:rsidRPr="00036A98">
              <w:rPr>
                <w:noProof w:val="0"/>
                <w:color w:val="000000"/>
                <w:sz w:val="20"/>
              </w:rPr>
              <w:t xml:space="preserve">All technical personnel of DB Cargo Bulgaria EOOD involved in railway transport safety of non-tractive </w:t>
            </w:r>
            <w:r w:rsidRPr="00036A98">
              <w:rPr>
                <w:noProof w:val="0"/>
                <w:color w:val="000000"/>
                <w:sz w:val="20"/>
              </w:rPr>
              <w:t>rolling stock must follow strictly and correctly the requirements laid down in Article 243(4) of Ordinance No 58/2006, Article 89(4) and Article 309(1) and (3) of the Rules for the Movement of Trains and Shunting Operations (RMTSO), as well as in the safety management system.</w:t>
            </w:r>
          </w:p>
          <w:p w:rsidR="00962D94" w:rsidRPr="00036A98" w:rsidP="001B0B7D">
            <w:pPr>
              <w:pStyle w:val="ListParagraph"/>
              <w:numPr>
                <w:ilvl w:val="0"/>
                <w:numId w:val="15"/>
              </w:numPr>
              <w:ind w:left="0" w:hanging="11"/>
              <w:jc w:val="both"/>
              <w:rPr>
                <w:b/>
                <w:noProof w:val="0"/>
                <w:sz w:val="20"/>
                <w:szCs w:val="20"/>
              </w:rPr>
            </w:pPr>
            <w:r w:rsidRPr="00036A98">
              <w:rPr>
                <w:noProof w:val="0"/>
                <w:color w:val="000000"/>
                <w:sz w:val="20"/>
              </w:rPr>
              <w:t>The railway carrier, DB Cargo Bulgaria EOOD, must organise training for the locomotive personnel operating the respective locomotive series, at a licensed educational institution, in accordance with the requirements of Article 18, Item 6 of the</w:t>
            </w:r>
            <w:r w:rsidRPr="00036A98">
              <w:rPr>
                <w:sz w:val="20"/>
              </w:rPr>
              <w:t xml:space="preserve"> </w:t>
            </w:r>
            <w:r w:rsidRPr="00036A98">
              <w:rPr>
                <w:noProof w:val="0"/>
                <w:color w:val="000000"/>
                <w:sz w:val="20"/>
              </w:rPr>
              <w:t>Vocational Education and Training Act and have new vocational training certificates issued to them, in accordance with Article 44(1), Item 1 of Ordinance No 56/2003.</w:t>
            </w:r>
          </w:p>
          <w:p w:rsidR="00962D94" w:rsidRPr="00036A98" w:rsidP="001B0B7D">
            <w:pPr>
              <w:pStyle w:val="ListParagraph"/>
              <w:numPr>
                <w:ilvl w:val="0"/>
                <w:numId w:val="15"/>
              </w:numPr>
              <w:ind w:left="0" w:hanging="11"/>
              <w:jc w:val="both"/>
              <w:rPr>
                <w:noProof w:val="0"/>
                <w:sz w:val="20"/>
                <w:szCs w:val="20"/>
              </w:rPr>
            </w:pPr>
            <w:r w:rsidRPr="00036A98">
              <w:rPr>
                <w:noProof w:val="0"/>
                <w:color w:val="000000"/>
                <w:sz w:val="20"/>
              </w:rPr>
              <w:t xml:space="preserve">The management of EXPRESS SERVICE LTD. must take measures to carry out thorough ultrasonic </w:t>
            </w:r>
            <w:r w:rsidRPr="00036A98">
              <w:rPr>
                <w:noProof w:val="0"/>
                <w:color w:val="000000"/>
                <w:sz w:val="20"/>
              </w:rPr>
              <w:t>defectoscopy</w:t>
            </w:r>
            <w:r w:rsidRPr="00036A98">
              <w:rPr>
                <w:noProof w:val="0"/>
                <w:color w:val="000000"/>
                <w:sz w:val="20"/>
              </w:rPr>
              <w:t xml:space="preserve"> of the locomotive wheelsets and axles and ensure the strict application of the locomotive wheelset assembly process.</w:t>
            </w:r>
          </w:p>
        </w:tc>
        <w:tc>
          <w:tcPr>
            <w:tcW w:w="4253" w:type="dxa"/>
          </w:tcPr>
          <w:p w:rsidR="00430F4D" w:rsidRPr="00036A98" w:rsidP="001B0B7D">
            <w:pPr>
              <w:pStyle w:val="ListParagraph"/>
              <w:ind w:left="0" w:firstLine="289"/>
              <w:jc w:val="both"/>
              <w:rPr>
                <w:sz w:val="20"/>
              </w:rPr>
            </w:pPr>
            <w:r w:rsidRPr="00036A98">
              <w:rPr>
                <w:sz w:val="20"/>
              </w:rPr>
              <w:t xml:space="preserve">Sent by letter No 04-05-166/1 September 2017, from the Railway Administration Executive </w:t>
            </w:r>
            <w:r w:rsidRPr="00036A98">
              <w:rPr>
                <w:sz w:val="20"/>
              </w:rPr>
              <w:t>Agency to the Managing Director of DB Cargo Bulgaria EOOD, were recommendations 1 and 2 of the Report with the requirement, by 30 November 2017, to prepare and send to the Air, Water and Railway Transport Accident Investigation Unit (AWRTAIU) Directorate, with a copy to the RAEA, information on the implementation of the recommendations under Item 13 of the Final Report on the investigation of the railway accident.</w:t>
            </w:r>
          </w:p>
          <w:p w:rsidR="00430F4D" w:rsidRPr="00036A98" w:rsidP="001B0B7D">
            <w:pPr>
              <w:pStyle w:val="ListParagraph"/>
              <w:ind w:left="0" w:firstLine="289"/>
              <w:jc w:val="both"/>
              <w:rPr>
                <w:sz w:val="20"/>
              </w:rPr>
            </w:pPr>
            <w:r w:rsidRPr="00036A98">
              <w:rPr>
                <w:sz w:val="20"/>
              </w:rPr>
              <w:t>Sent by letter No 04-05-166/1 September 2017, from the Railway Administration Executive Agency to the Managing Director of EXPRESS SERVICE LTD., was recommendation 3 of the Report with the requirement, by 30 November 2017, to prepare and send to the Air, Water and Railway Transport Accident Investigation Unit (AWRTAIU) Directorate, with a copy to the RAEA, information on the implementation of the recommendation under Item 13 of the Final Report on the investigation of the railway accident.</w:t>
            </w:r>
          </w:p>
          <w:p w:rsidR="00430F4D" w:rsidRPr="00036A98" w:rsidP="001B0B7D">
            <w:pPr>
              <w:pStyle w:val="ListParagraph"/>
              <w:ind w:left="0"/>
              <w:jc w:val="both"/>
              <w:rPr>
                <w:sz w:val="20"/>
              </w:rPr>
            </w:pPr>
            <w:r w:rsidRPr="00036A98">
              <w:rPr>
                <w:sz w:val="20"/>
              </w:rPr>
              <w:t>By letter Reg. No 04-05-166/4 December 2017, the Managing Director of DB Cargo Bulgaria EOOD informed us that:</w:t>
            </w:r>
          </w:p>
          <w:p w:rsidR="00430F4D" w:rsidRPr="00036A98" w:rsidP="001B0B7D">
            <w:pPr>
              <w:pStyle w:val="ListParagraph"/>
              <w:numPr>
                <w:ilvl w:val="0"/>
                <w:numId w:val="16"/>
              </w:numPr>
              <w:ind w:left="391"/>
              <w:jc w:val="both"/>
              <w:rPr>
                <w:sz w:val="20"/>
              </w:rPr>
            </w:pPr>
            <w:r w:rsidRPr="00036A98">
              <w:rPr>
                <w:sz w:val="20"/>
              </w:rPr>
              <w:t>Under recommendation No 1, all employees, occupying the position of Wagon Inspector, received a special briefing and signed a statement for the strict adherence to the referenced rules.</w:t>
            </w:r>
          </w:p>
          <w:p w:rsidR="001B0B7D" w:rsidRPr="00036A98" w:rsidP="001B0B7D">
            <w:pPr>
              <w:pStyle w:val="ListParagraph"/>
              <w:numPr>
                <w:ilvl w:val="0"/>
                <w:numId w:val="16"/>
              </w:numPr>
              <w:ind w:left="391"/>
              <w:jc w:val="both"/>
              <w:rPr>
                <w:sz w:val="20"/>
              </w:rPr>
            </w:pPr>
            <w:r w:rsidRPr="00036A98">
              <w:rPr>
                <w:sz w:val="20"/>
              </w:rPr>
              <w:t>Under recommendation No 2, all locomotive drivers at DB Cargo Bulgaria EOOD are employed upon completing a training at a licensed educational institution and obtaining a Locomotive Driver qualification certificate. They complete additional training and examinations for the specific locomotive series they will operate.</w:t>
            </w:r>
          </w:p>
          <w:p w:rsidR="00430F4D" w:rsidRPr="00036A98" w:rsidP="001B0B7D">
            <w:pPr>
              <w:pStyle w:val="ListParagraph"/>
              <w:ind w:left="391"/>
              <w:jc w:val="both"/>
              <w:rPr>
                <w:sz w:val="20"/>
              </w:rPr>
            </w:pPr>
            <w:r w:rsidRPr="00036A98">
              <w:rPr>
                <w:sz w:val="20"/>
              </w:rPr>
              <w:t>By letter Reg. No 04-05-166/8 December 2017, the Managing Director of EXPRESS SERVICE LTD. informed us that:</w:t>
            </w:r>
          </w:p>
          <w:p w:rsidR="00962D94" w:rsidRPr="00036A98" w:rsidP="001B0B7D">
            <w:pPr>
              <w:pStyle w:val="ListParagraph"/>
              <w:numPr>
                <w:ilvl w:val="0"/>
                <w:numId w:val="16"/>
              </w:numPr>
              <w:ind w:left="391"/>
              <w:jc w:val="both"/>
              <w:rPr>
                <w:sz w:val="20"/>
              </w:rPr>
            </w:pPr>
            <w:r w:rsidRPr="00036A98">
              <w:rPr>
                <w:sz w:val="20"/>
              </w:rPr>
              <w:t>Under recommendation No 3, an order was issued to have the personnel responsible for the Ultrasonic Control (USC) and wheelset assembly read the Final Report of the AWRTAIU and hold a special discussion on the adherence to the instructions. The USC instruction for the series 86 000 locomotive axles was reissued, specifically addressing the correct application of the Krautkramer Branson USN 50 Defectoscope Setting Instruction.</w:t>
            </w:r>
          </w:p>
        </w:tc>
        <w:tc>
          <w:tcPr>
            <w:tcW w:w="1383" w:type="dxa"/>
          </w:tcPr>
          <w:p w:rsidR="00962D94" w:rsidRPr="00036A98" w:rsidP="001B0B7D">
            <w:pPr>
              <w:jc w:val="center"/>
              <w:rPr>
                <w:noProof w:val="0"/>
                <w:sz w:val="20"/>
                <w:szCs w:val="20"/>
              </w:rPr>
            </w:pPr>
            <w:r w:rsidRPr="00036A98">
              <w:rPr>
                <w:noProof w:val="0"/>
                <w:sz w:val="20"/>
              </w:rPr>
              <w:t>All recommendati</w:t>
            </w:r>
            <w:r w:rsidRPr="00036A98">
              <w:rPr>
                <w:noProof w:val="0"/>
                <w:sz w:val="20"/>
              </w:rPr>
              <w:t xml:space="preserve">ons </w:t>
            </w:r>
            <w:r w:rsidRPr="00036A98">
              <w:rPr>
                <w:noProof w:val="0"/>
                <w:sz w:val="20"/>
              </w:rPr>
              <w:t>were implemented</w:t>
            </w:r>
            <w:r w:rsidRPr="00036A98">
              <w:rPr>
                <w:noProof w:val="0"/>
                <w:sz w:val="20"/>
              </w:rPr>
              <w:t>.</w:t>
            </w:r>
          </w:p>
        </w:tc>
      </w:tr>
      <w:tr w:rsidTr="008576E7">
        <w:tblPrEx>
          <w:tblW w:w="10450" w:type="dxa"/>
          <w:tblLayout w:type="fixed"/>
          <w:tblLook w:val="00A0"/>
        </w:tblPrEx>
        <w:tc>
          <w:tcPr>
            <w:tcW w:w="10450" w:type="dxa"/>
            <w:gridSpan w:val="3"/>
          </w:tcPr>
          <w:p w:rsidR="00962D94" w:rsidRPr="00036A98" w:rsidP="001B0B7D">
            <w:pPr>
              <w:jc w:val="both"/>
              <w:rPr>
                <w:b/>
                <w:i/>
                <w:noProof w:val="0"/>
                <w:color w:val="5DEFF6" w:themeColor="accent3" w:themeTint="99"/>
                <w:sz w:val="20"/>
                <w:szCs w:val="20"/>
              </w:rPr>
            </w:pPr>
            <w:r w:rsidRPr="00036A98">
              <w:rPr>
                <w:noProof w:val="0"/>
                <w:color w:val="000000" w:themeColor="text1"/>
                <w:sz w:val="20"/>
              </w:rPr>
              <w:t>3.</w:t>
            </w:r>
            <w:r w:rsidRPr="00036A98">
              <w:rPr>
                <w:i/>
                <w:noProof w:val="0"/>
                <w:color w:val="5DEFF6" w:themeColor="accent3" w:themeTint="99"/>
                <w:sz w:val="20"/>
              </w:rPr>
              <w:t xml:space="preserve"> </w:t>
            </w:r>
            <w:r w:rsidRPr="00036A98">
              <w:rPr>
                <w:noProof w:val="0"/>
                <w:color w:val="000000"/>
                <w:sz w:val="20"/>
              </w:rPr>
              <w:t xml:space="preserve"> Following the fire in electric locomotive No 44134.2 of intercity</w:t>
            </w:r>
            <w:r w:rsidRPr="00036A98">
              <w:rPr>
                <w:noProof w:val="0"/>
                <w:color w:val="000000"/>
                <w:sz w:val="20"/>
              </w:rPr>
              <w:t xml:space="preserve"> train No 8693, at the </w:t>
            </w:r>
            <w:r w:rsidRPr="00036A98">
              <w:rPr>
                <w:noProof w:val="0"/>
                <w:color w:val="000000"/>
                <w:sz w:val="20"/>
              </w:rPr>
              <w:t>Dimitrovgrad</w:t>
            </w:r>
            <w:r w:rsidRPr="00036A98">
              <w:rPr>
                <w:noProof w:val="0"/>
                <w:color w:val="000000"/>
                <w:sz w:val="20"/>
              </w:rPr>
              <w:t xml:space="preserve"> station, on 12 October 2017.</w:t>
            </w:r>
          </w:p>
        </w:tc>
      </w:tr>
      <w:tr w:rsidTr="008576E7">
        <w:tblPrEx>
          <w:tblW w:w="10450" w:type="dxa"/>
          <w:tblLayout w:type="fixed"/>
          <w:tblLook w:val="00A0"/>
        </w:tblPrEx>
        <w:tc>
          <w:tcPr>
            <w:tcW w:w="4814" w:type="dxa"/>
          </w:tcPr>
          <w:p w:rsidR="00962D94" w:rsidRPr="00036A98" w:rsidP="001B0B7D">
            <w:pPr>
              <w:pStyle w:val="ListParagraph"/>
              <w:numPr>
                <w:ilvl w:val="0"/>
                <w:numId w:val="6"/>
              </w:numPr>
              <w:tabs>
                <w:tab w:val="left" w:pos="304"/>
              </w:tabs>
              <w:ind w:left="113" w:hanging="113"/>
              <w:contextualSpacing/>
              <w:jc w:val="both"/>
              <w:rPr>
                <w:b/>
                <w:sz w:val="20"/>
                <w:szCs w:val="20"/>
              </w:rPr>
            </w:pPr>
            <w:r w:rsidRPr="00036A98">
              <w:rPr>
                <w:sz w:val="20"/>
              </w:rPr>
              <w:t>Conduct an inspection of the fire-safety installations and main protection devices of all locomotives.</w:t>
            </w:r>
          </w:p>
        </w:tc>
        <w:tc>
          <w:tcPr>
            <w:tcW w:w="4253" w:type="dxa"/>
          </w:tcPr>
          <w:p w:rsidR="00962D94" w:rsidRPr="00036A98" w:rsidP="001B0B7D">
            <w:pPr>
              <w:pStyle w:val="ListParagraph"/>
              <w:tabs>
                <w:tab w:val="left" w:pos="709"/>
              </w:tabs>
              <w:ind w:left="11" w:firstLine="278"/>
              <w:jc w:val="both"/>
              <w:rPr>
                <w:sz w:val="20"/>
                <w:szCs w:val="20"/>
              </w:rPr>
            </w:pPr>
            <w:r w:rsidRPr="00036A98">
              <w:rPr>
                <w:sz w:val="20"/>
              </w:rPr>
              <w:t xml:space="preserve">Under Item 1. To reduce the fire hazards caused by cables, cable connections and bars, a recommendation on the operation inspections of the locomotives was issued. </w:t>
            </w:r>
          </w:p>
        </w:tc>
        <w:tc>
          <w:tcPr>
            <w:tcW w:w="1383" w:type="dxa"/>
          </w:tcPr>
          <w:p w:rsidR="00962D94" w:rsidRPr="00036A98" w:rsidP="001B0B7D">
            <w:pPr>
              <w:jc w:val="center"/>
              <w:rPr>
                <w:noProof w:val="0"/>
                <w:sz w:val="20"/>
                <w:szCs w:val="20"/>
              </w:rPr>
            </w:pPr>
            <w:r w:rsidRPr="00036A98">
              <w:rPr>
                <w:noProof w:val="0"/>
                <w:sz w:val="20"/>
              </w:rPr>
              <w:t xml:space="preserve">The recommendation </w:t>
            </w:r>
            <w:r w:rsidRPr="00036A98">
              <w:rPr>
                <w:noProof w:val="0"/>
                <w:sz w:val="20"/>
              </w:rPr>
              <w:t>was implemented</w:t>
            </w:r>
            <w:r w:rsidRPr="00036A98">
              <w:rPr>
                <w:noProof w:val="0"/>
                <w:sz w:val="20"/>
              </w:rPr>
              <w:t>.</w:t>
            </w:r>
          </w:p>
        </w:tc>
      </w:tr>
      <w:tr w:rsidTr="008576E7">
        <w:tblPrEx>
          <w:tblW w:w="10450" w:type="dxa"/>
          <w:tblLayout w:type="fixed"/>
          <w:tblLook w:val="00A0"/>
        </w:tblPrEx>
        <w:tc>
          <w:tcPr>
            <w:tcW w:w="10450" w:type="dxa"/>
            <w:gridSpan w:val="3"/>
          </w:tcPr>
          <w:p w:rsidR="00D8665D" w:rsidRPr="00036A98" w:rsidP="001B0B7D">
            <w:pPr>
              <w:pStyle w:val="ListParagraph"/>
              <w:numPr>
                <w:ilvl w:val="0"/>
                <w:numId w:val="15"/>
              </w:numPr>
              <w:ind w:left="284"/>
              <w:rPr>
                <w:b/>
                <w:noProof w:val="0"/>
                <w:color w:val="000000" w:themeColor="text1"/>
                <w:sz w:val="20"/>
                <w:szCs w:val="20"/>
              </w:rPr>
            </w:pPr>
            <w:r w:rsidRPr="00036A98">
              <w:rPr>
                <w:color w:val="000000" w:themeColor="text1"/>
                <w:sz w:val="20"/>
              </w:rPr>
              <w:t>Following the derailment of freight train No 90570, at switch No 5, entering the Hitrino station, on 10 December 2016.</w:t>
            </w:r>
          </w:p>
        </w:tc>
      </w:tr>
      <w:tr w:rsidTr="008576E7">
        <w:tblPrEx>
          <w:tblW w:w="10450" w:type="dxa"/>
          <w:tblLayout w:type="fixed"/>
          <w:tblLook w:val="00A0"/>
        </w:tblPrEx>
        <w:tc>
          <w:tcPr>
            <w:tcW w:w="4814" w:type="dxa"/>
          </w:tcPr>
          <w:p w:rsidR="00F779BF" w:rsidRPr="00036A98" w:rsidP="001B0B7D">
            <w:pPr>
              <w:pStyle w:val="ListParagraph"/>
              <w:tabs>
                <w:tab w:val="left" w:pos="304"/>
              </w:tabs>
              <w:ind w:left="113"/>
              <w:contextualSpacing/>
              <w:jc w:val="both"/>
              <w:rPr>
                <w:b/>
                <w:color w:val="000000" w:themeColor="text1"/>
                <w:sz w:val="20"/>
              </w:rPr>
            </w:pPr>
            <w:r w:rsidRPr="00036A98">
              <w:rPr>
                <w:color w:val="000000" w:themeColor="text1"/>
                <w:sz w:val="20"/>
              </w:rPr>
              <w:t xml:space="preserve">In relation to the requirements of Article 94(1) and (3) of Ordinance No 59 of 5 December 2006 on safety management of railway transport, aiming to improve the safety of railway transport, the Railway Administration Executive Agency, acting as National Safety Authority, should direct BULMARKET RAIL CARGO and the NRIC SE to implement the issued safety recommendations. </w:t>
            </w:r>
          </w:p>
          <w:p w:rsidR="00F779BF" w:rsidRPr="00036A98" w:rsidP="001B0B7D">
            <w:pPr>
              <w:pStyle w:val="ListParagraph"/>
              <w:numPr>
                <w:ilvl w:val="0"/>
                <w:numId w:val="25"/>
              </w:numPr>
              <w:tabs>
                <w:tab w:val="left" w:pos="304"/>
              </w:tabs>
              <w:ind w:left="90" w:firstLine="23"/>
              <w:contextualSpacing/>
              <w:jc w:val="both"/>
              <w:rPr>
                <w:b/>
                <w:color w:val="000000" w:themeColor="text1"/>
                <w:sz w:val="20"/>
              </w:rPr>
            </w:pPr>
            <w:r w:rsidRPr="00036A98">
              <w:rPr>
                <w:color w:val="000000" w:themeColor="text1"/>
                <w:sz w:val="20"/>
              </w:rPr>
              <w:t xml:space="preserve">The Railway Administration Executive Agency should recommend to the managers of the railway carriers and to the Chief Executive Officer of the NRIC to conduct discussions with the personnel involved in transport safety and make sure they have read and understood the contents of the Final Report of the conducted investigation. </w:t>
            </w:r>
          </w:p>
          <w:p w:rsidR="00F779BF" w:rsidRPr="00036A98" w:rsidP="001B0B7D">
            <w:pPr>
              <w:pStyle w:val="ListParagraph"/>
              <w:numPr>
                <w:ilvl w:val="0"/>
                <w:numId w:val="25"/>
              </w:numPr>
              <w:tabs>
                <w:tab w:val="left" w:pos="304"/>
              </w:tabs>
              <w:ind w:left="90" w:firstLine="23"/>
              <w:contextualSpacing/>
              <w:jc w:val="both"/>
              <w:rPr>
                <w:b/>
                <w:color w:val="000000" w:themeColor="text1"/>
                <w:sz w:val="20"/>
              </w:rPr>
            </w:pPr>
            <w:r w:rsidRPr="00036A98">
              <w:rPr>
                <w:color w:val="000000" w:themeColor="text1"/>
                <w:sz w:val="20"/>
              </w:rPr>
              <w:t xml:space="preserve">All tank wagons transporting liquified hydrocarbon gases must be equipped with crashworthy couplers and buffers under the requirements of BDS EN 15227:2008+A1:2010 and must have safety certificates. </w:t>
            </w:r>
          </w:p>
          <w:p w:rsidR="0015624F" w:rsidRPr="00036A98" w:rsidP="001B0B7D">
            <w:pPr>
              <w:pStyle w:val="ListParagraph"/>
              <w:numPr>
                <w:ilvl w:val="0"/>
                <w:numId w:val="25"/>
              </w:numPr>
              <w:tabs>
                <w:tab w:val="left" w:pos="304"/>
              </w:tabs>
              <w:ind w:left="90" w:firstLine="23"/>
              <w:contextualSpacing/>
              <w:jc w:val="both"/>
              <w:rPr>
                <w:b/>
                <w:color w:val="000000" w:themeColor="text1"/>
                <w:sz w:val="20"/>
              </w:rPr>
            </w:pPr>
            <w:r w:rsidRPr="00036A98">
              <w:rPr>
                <w:color w:val="000000" w:themeColor="text1"/>
                <w:sz w:val="20"/>
              </w:rPr>
              <w:t>The Railway Administration Executive Agency must issue an order eliminating the option for the owners of wagons for transport of dangerous goods to decide themselves on the intervals between the repairs of the running gear, undercarriage, couplers and buffers, which currently are 4 or 6 years, thereby setting the repair intervals at strictly 4 years, in line with the requirements for the tanks for transport of dangerous goods, as laid down in the RID Regulations.</w:t>
            </w:r>
          </w:p>
          <w:p w:rsidR="0015624F" w:rsidRPr="00036A98" w:rsidP="001B0B7D">
            <w:pPr>
              <w:pStyle w:val="ListParagraph"/>
              <w:numPr>
                <w:ilvl w:val="0"/>
                <w:numId w:val="25"/>
              </w:numPr>
              <w:tabs>
                <w:tab w:val="left" w:pos="304"/>
              </w:tabs>
              <w:ind w:left="90" w:firstLine="23"/>
              <w:contextualSpacing/>
              <w:jc w:val="both"/>
              <w:rPr>
                <w:b/>
                <w:color w:val="000000" w:themeColor="text1"/>
                <w:sz w:val="20"/>
              </w:rPr>
            </w:pPr>
            <w:r w:rsidRPr="00036A98">
              <w:rPr>
                <w:color w:val="000000" w:themeColor="text1"/>
                <w:sz w:val="20"/>
              </w:rPr>
              <w:t xml:space="preserve">At the border stations, wagons for transport of dangerous goods may be admitted to the country’s railway infrastructure only with documentary proof and guarantee of their good working order by the respective railway carrier. </w:t>
            </w:r>
          </w:p>
          <w:p w:rsidR="00F779BF" w:rsidRPr="00036A98" w:rsidP="001B0B7D">
            <w:pPr>
              <w:pStyle w:val="ListParagraph"/>
              <w:numPr>
                <w:ilvl w:val="0"/>
                <w:numId w:val="25"/>
              </w:numPr>
              <w:tabs>
                <w:tab w:val="left" w:pos="304"/>
              </w:tabs>
              <w:ind w:left="90" w:firstLine="23"/>
              <w:contextualSpacing/>
              <w:jc w:val="both"/>
              <w:rPr>
                <w:b/>
                <w:color w:val="000000" w:themeColor="text1"/>
                <w:sz w:val="20"/>
              </w:rPr>
            </w:pPr>
            <w:r w:rsidRPr="00036A98">
              <w:rPr>
                <w:color w:val="000000" w:themeColor="text1"/>
                <w:sz w:val="20"/>
              </w:rPr>
              <w:t xml:space="preserve">The Railway Administration Executive Agency should organise control examinations for the operating personnel involved in transport safety, in relation to the requirements of Article 6(1) of Ordinance No 56 of 2003, on an ongoing, and not campaign, basis, with mandatory prior trainings, testing not only the theoretical knowledge but also the practical skills of the train drivers on simulators allowing to assess their responses in emergency and stress situations; </w:t>
            </w:r>
          </w:p>
          <w:p w:rsidR="00F779BF" w:rsidRPr="00036A98" w:rsidP="001B0B7D">
            <w:pPr>
              <w:pStyle w:val="ListParagraph"/>
              <w:numPr>
                <w:ilvl w:val="0"/>
                <w:numId w:val="25"/>
              </w:numPr>
              <w:tabs>
                <w:tab w:val="left" w:pos="304"/>
              </w:tabs>
              <w:ind w:left="90" w:firstLine="23"/>
              <w:contextualSpacing/>
              <w:jc w:val="both"/>
              <w:rPr>
                <w:b/>
                <w:color w:val="000000" w:themeColor="text1"/>
                <w:sz w:val="20"/>
              </w:rPr>
            </w:pPr>
            <w:r w:rsidRPr="00036A98">
              <w:rPr>
                <w:color w:val="000000" w:themeColor="text1"/>
                <w:sz w:val="20"/>
              </w:rPr>
              <w:t xml:space="preserve"> The Railway Administration Executive Agency must create the technical conditions to provide a recording device of an approved type and require all railway carriers, the Infrastructure Manager and all owners of tractive rolling stock (TRS) to install the device on their tractive vehicles. The device must be built in a way ensuring the recording of the most important travel parameters of the respective vehicle: </w:t>
            </w:r>
          </w:p>
          <w:p w:rsidR="00F779BF" w:rsidRPr="00036A98" w:rsidP="001B0B7D">
            <w:pPr>
              <w:pStyle w:val="ListParagraph"/>
              <w:tabs>
                <w:tab w:val="left" w:pos="304"/>
              </w:tabs>
              <w:ind w:left="113"/>
              <w:contextualSpacing/>
              <w:jc w:val="both"/>
              <w:rPr>
                <w:b/>
                <w:color w:val="000000" w:themeColor="text1"/>
                <w:sz w:val="20"/>
              </w:rPr>
            </w:pPr>
            <w:r w:rsidRPr="00036A98">
              <w:rPr>
                <w:rFonts w:ascii="Symbol" w:hAnsi="Symbol"/>
                <w:color w:val="000000" w:themeColor="text1"/>
                <w:sz w:val="20"/>
              </w:rPr>
              <w:sym w:font="Symbol" w:char="F0FC"/>
            </w:r>
            <w:r w:rsidRPr="00036A98">
              <w:rPr>
                <w:color w:val="000000" w:themeColor="text1"/>
                <w:sz w:val="20"/>
              </w:rPr>
              <w:t xml:space="preserve"> Travel speed; </w:t>
            </w:r>
          </w:p>
          <w:p w:rsidR="00D8665D" w:rsidRPr="00036A98" w:rsidP="001B0B7D">
            <w:pPr>
              <w:pStyle w:val="ListParagraph"/>
              <w:tabs>
                <w:tab w:val="left" w:pos="304"/>
              </w:tabs>
              <w:ind w:left="113"/>
              <w:contextualSpacing/>
              <w:jc w:val="both"/>
              <w:rPr>
                <w:b/>
                <w:color w:val="000000" w:themeColor="text1"/>
                <w:sz w:val="20"/>
              </w:rPr>
            </w:pPr>
            <w:r w:rsidRPr="00036A98">
              <w:rPr>
                <w:rFonts w:ascii="Symbol" w:hAnsi="Symbol"/>
                <w:color w:val="000000" w:themeColor="text1"/>
                <w:sz w:val="20"/>
              </w:rPr>
              <w:sym w:font="Symbol" w:char="F0FC"/>
            </w:r>
            <w:r w:rsidRPr="00036A98">
              <w:rPr>
                <w:color w:val="000000" w:themeColor="text1"/>
                <w:sz w:val="20"/>
              </w:rPr>
              <w:t xml:space="preserve"> Travel distance;</w:t>
            </w:r>
          </w:p>
          <w:p w:rsidR="00F779BF" w:rsidRPr="00036A98" w:rsidP="001B0B7D">
            <w:pPr>
              <w:pStyle w:val="ListParagraph"/>
              <w:tabs>
                <w:tab w:val="left" w:pos="304"/>
              </w:tabs>
              <w:ind w:left="113"/>
              <w:contextualSpacing/>
              <w:jc w:val="both"/>
              <w:rPr>
                <w:b/>
                <w:color w:val="000000" w:themeColor="text1"/>
                <w:sz w:val="20"/>
              </w:rPr>
            </w:pPr>
            <w:r w:rsidRPr="00036A98">
              <w:rPr>
                <w:color w:val="000000" w:themeColor="text1"/>
                <w:sz w:val="20"/>
              </w:rPr>
              <w:t>Astronomical time;</w:t>
            </w:r>
          </w:p>
          <w:p w:rsidR="00F779BF" w:rsidRPr="00036A98" w:rsidP="001B0B7D">
            <w:pPr>
              <w:pStyle w:val="ListParagraph"/>
              <w:tabs>
                <w:tab w:val="left" w:pos="304"/>
              </w:tabs>
              <w:ind w:left="113"/>
              <w:contextualSpacing/>
              <w:jc w:val="both"/>
              <w:rPr>
                <w:b/>
                <w:color w:val="000000" w:themeColor="text1"/>
                <w:sz w:val="20"/>
              </w:rPr>
            </w:pPr>
            <w:r w:rsidRPr="00036A98">
              <w:rPr>
                <w:rFonts w:ascii="Symbol" w:hAnsi="Symbol"/>
                <w:color w:val="000000" w:themeColor="text1"/>
                <w:sz w:val="20"/>
              </w:rPr>
              <w:sym w:font="Symbol" w:char="F0FC"/>
            </w:r>
            <w:r w:rsidRPr="00036A98">
              <w:rPr>
                <w:color w:val="000000" w:themeColor="text1"/>
                <w:sz w:val="20"/>
              </w:rPr>
              <w:t xml:space="preserve"> Travel and stoppage times; </w:t>
            </w:r>
          </w:p>
          <w:p w:rsidR="00F779BF" w:rsidRPr="00036A98" w:rsidP="001B0B7D">
            <w:pPr>
              <w:pStyle w:val="ListParagraph"/>
              <w:tabs>
                <w:tab w:val="left" w:pos="304"/>
              </w:tabs>
              <w:ind w:left="113"/>
              <w:contextualSpacing/>
              <w:jc w:val="both"/>
              <w:rPr>
                <w:b/>
                <w:color w:val="000000" w:themeColor="text1"/>
                <w:sz w:val="20"/>
              </w:rPr>
            </w:pPr>
            <w:r w:rsidRPr="00036A98">
              <w:rPr>
                <w:rFonts w:ascii="Symbol" w:hAnsi="Symbol"/>
                <w:color w:val="000000" w:themeColor="text1"/>
                <w:sz w:val="20"/>
              </w:rPr>
              <w:sym w:font="Symbol" w:char="F0FC"/>
            </w:r>
            <w:r w:rsidRPr="00036A98">
              <w:rPr>
                <w:color w:val="000000" w:themeColor="text1"/>
                <w:sz w:val="20"/>
              </w:rPr>
              <w:t xml:space="preserve"> Train emergency brake activation and whether it was activated by the train driver or from another location in the train; </w:t>
            </w:r>
          </w:p>
          <w:p w:rsidR="00F779BF" w:rsidRPr="00036A98" w:rsidP="001B0B7D">
            <w:pPr>
              <w:pStyle w:val="ListParagraph"/>
              <w:tabs>
                <w:tab w:val="left" w:pos="304"/>
              </w:tabs>
              <w:ind w:left="113"/>
              <w:contextualSpacing/>
              <w:jc w:val="both"/>
              <w:rPr>
                <w:b/>
                <w:color w:val="000000" w:themeColor="text1"/>
                <w:sz w:val="20"/>
              </w:rPr>
            </w:pPr>
            <w:r w:rsidRPr="00036A98">
              <w:rPr>
                <w:rFonts w:ascii="Symbol" w:hAnsi="Symbol"/>
                <w:color w:val="000000" w:themeColor="text1"/>
                <w:sz w:val="20"/>
              </w:rPr>
              <w:sym w:font="Symbol" w:char="F0FC"/>
            </w:r>
            <w:r w:rsidRPr="00036A98">
              <w:rPr>
                <w:color w:val="000000" w:themeColor="text1"/>
                <w:sz w:val="20"/>
              </w:rPr>
              <w:t xml:space="preserve"> Additional (direct) brake activation; </w:t>
            </w:r>
          </w:p>
          <w:p w:rsidR="00F779BF" w:rsidRPr="00036A98" w:rsidP="001B0B7D">
            <w:pPr>
              <w:pStyle w:val="ListParagraph"/>
              <w:tabs>
                <w:tab w:val="left" w:pos="304"/>
              </w:tabs>
              <w:ind w:left="113"/>
              <w:contextualSpacing/>
              <w:jc w:val="both"/>
              <w:rPr>
                <w:b/>
                <w:color w:val="000000" w:themeColor="text1"/>
                <w:sz w:val="20"/>
              </w:rPr>
            </w:pPr>
            <w:r w:rsidRPr="00036A98">
              <w:rPr>
                <w:rFonts w:ascii="Symbol" w:hAnsi="Symbol"/>
                <w:color w:val="000000" w:themeColor="text1"/>
                <w:sz w:val="20"/>
              </w:rPr>
              <w:sym w:font="Symbol" w:char="F0FC"/>
            </w:r>
            <w:r w:rsidRPr="00036A98">
              <w:rPr>
                <w:color w:val="000000" w:themeColor="text1"/>
                <w:sz w:val="20"/>
              </w:rPr>
              <w:t xml:space="preserve"> Activation of another type of brake installed on the vehicle and effective brake force values; </w:t>
            </w:r>
          </w:p>
          <w:p w:rsidR="00F779BF" w:rsidRPr="00036A98" w:rsidP="001B0B7D">
            <w:pPr>
              <w:pStyle w:val="ListParagraph"/>
              <w:tabs>
                <w:tab w:val="left" w:pos="304"/>
              </w:tabs>
              <w:ind w:left="113"/>
              <w:contextualSpacing/>
              <w:jc w:val="both"/>
              <w:rPr>
                <w:b/>
                <w:color w:val="000000" w:themeColor="text1"/>
                <w:sz w:val="20"/>
              </w:rPr>
            </w:pPr>
            <w:r w:rsidRPr="00036A98">
              <w:rPr>
                <w:rFonts w:ascii="Symbol" w:hAnsi="Symbol"/>
                <w:color w:val="000000" w:themeColor="text1"/>
                <w:sz w:val="20"/>
              </w:rPr>
              <w:sym w:font="Symbol" w:char="F0FC"/>
            </w:r>
            <w:r w:rsidRPr="00036A98">
              <w:rPr>
                <w:color w:val="000000" w:themeColor="text1"/>
                <w:sz w:val="20"/>
              </w:rPr>
              <w:t xml:space="preserve"> Controller position (tractive force value); </w:t>
            </w:r>
          </w:p>
          <w:p w:rsidR="00F779BF" w:rsidRPr="00036A98" w:rsidP="001B0B7D">
            <w:pPr>
              <w:pStyle w:val="ListParagraph"/>
              <w:tabs>
                <w:tab w:val="left" w:pos="304"/>
              </w:tabs>
              <w:ind w:left="113"/>
              <w:contextualSpacing/>
              <w:jc w:val="both"/>
              <w:rPr>
                <w:b/>
                <w:color w:val="000000" w:themeColor="text1"/>
                <w:sz w:val="20"/>
              </w:rPr>
            </w:pPr>
            <w:r w:rsidRPr="00036A98">
              <w:rPr>
                <w:rFonts w:ascii="Symbol" w:hAnsi="Symbol"/>
                <w:color w:val="000000" w:themeColor="text1"/>
                <w:sz w:val="20"/>
              </w:rPr>
              <w:sym w:font="Symbol" w:char="F0FC"/>
            </w:r>
            <w:r w:rsidRPr="00036A98">
              <w:rPr>
                <w:color w:val="000000" w:themeColor="text1"/>
                <w:sz w:val="20"/>
              </w:rPr>
              <w:t xml:space="preserve"> Traction motor currents; </w:t>
            </w:r>
          </w:p>
          <w:p w:rsidR="00F779BF" w:rsidRPr="00036A98" w:rsidP="001B0B7D">
            <w:pPr>
              <w:pStyle w:val="ListParagraph"/>
              <w:tabs>
                <w:tab w:val="left" w:pos="304"/>
              </w:tabs>
              <w:ind w:left="113"/>
              <w:contextualSpacing/>
              <w:jc w:val="both"/>
              <w:rPr>
                <w:b/>
                <w:color w:val="000000" w:themeColor="text1"/>
                <w:sz w:val="20"/>
              </w:rPr>
            </w:pPr>
            <w:r w:rsidRPr="00036A98">
              <w:rPr>
                <w:rFonts w:ascii="Symbol" w:hAnsi="Symbol"/>
                <w:color w:val="000000" w:themeColor="text1"/>
                <w:sz w:val="20"/>
              </w:rPr>
              <w:sym w:font="Symbol" w:char="F0FC"/>
            </w:r>
            <w:r w:rsidRPr="00036A98">
              <w:rPr>
                <w:color w:val="000000" w:themeColor="text1"/>
                <w:sz w:val="20"/>
              </w:rPr>
              <w:t xml:space="preserve"> Contact network voltage; </w:t>
            </w:r>
          </w:p>
          <w:p w:rsidR="00F779BF" w:rsidRPr="00036A98" w:rsidP="001B0B7D">
            <w:pPr>
              <w:pStyle w:val="ListParagraph"/>
              <w:tabs>
                <w:tab w:val="left" w:pos="304"/>
              </w:tabs>
              <w:ind w:left="113"/>
              <w:contextualSpacing/>
              <w:jc w:val="both"/>
              <w:rPr>
                <w:b/>
                <w:color w:val="000000" w:themeColor="text1"/>
                <w:sz w:val="20"/>
              </w:rPr>
            </w:pPr>
            <w:r w:rsidRPr="00036A98">
              <w:rPr>
                <w:rFonts w:ascii="Symbol" w:hAnsi="Symbol"/>
                <w:color w:val="000000" w:themeColor="text1"/>
                <w:sz w:val="20"/>
              </w:rPr>
              <w:sym w:font="Symbol" w:char="F0FC"/>
            </w:r>
            <w:r w:rsidRPr="00036A98">
              <w:rPr>
                <w:color w:val="000000" w:themeColor="text1"/>
                <w:sz w:val="20"/>
              </w:rPr>
              <w:t xml:space="preserve"> Diesel (or other) engine speed; </w:t>
            </w:r>
          </w:p>
          <w:p w:rsidR="00F779BF" w:rsidRPr="00036A98" w:rsidP="001B0B7D">
            <w:pPr>
              <w:pStyle w:val="ListParagraph"/>
              <w:tabs>
                <w:tab w:val="left" w:pos="304"/>
              </w:tabs>
              <w:ind w:left="113"/>
              <w:contextualSpacing/>
              <w:jc w:val="both"/>
              <w:rPr>
                <w:b/>
                <w:color w:val="000000" w:themeColor="text1"/>
                <w:sz w:val="20"/>
              </w:rPr>
            </w:pPr>
            <w:r w:rsidRPr="00036A98">
              <w:rPr>
                <w:rFonts w:ascii="Symbol" w:hAnsi="Symbol"/>
                <w:color w:val="000000" w:themeColor="text1"/>
                <w:sz w:val="20"/>
              </w:rPr>
              <w:sym w:font="Symbol" w:char="F0FC"/>
            </w:r>
            <w:r w:rsidRPr="00036A98">
              <w:rPr>
                <w:color w:val="000000" w:themeColor="text1"/>
                <w:sz w:val="20"/>
              </w:rPr>
              <w:t xml:space="preserve"> Vigilance device readiness maintained by the train driver; </w:t>
            </w:r>
          </w:p>
          <w:p w:rsidR="00F779BF" w:rsidRPr="00036A98" w:rsidP="001B0B7D">
            <w:pPr>
              <w:pStyle w:val="ListParagraph"/>
              <w:tabs>
                <w:tab w:val="left" w:pos="304"/>
              </w:tabs>
              <w:ind w:left="113"/>
              <w:contextualSpacing/>
              <w:jc w:val="both"/>
              <w:rPr>
                <w:b/>
                <w:color w:val="000000" w:themeColor="text1"/>
                <w:sz w:val="20"/>
              </w:rPr>
            </w:pPr>
            <w:r w:rsidRPr="00036A98">
              <w:rPr>
                <w:rFonts w:ascii="Symbol" w:hAnsi="Symbol"/>
                <w:color w:val="000000" w:themeColor="text1"/>
                <w:sz w:val="20"/>
              </w:rPr>
              <w:sym w:font="Symbol" w:char="F0FC"/>
            </w:r>
            <w:r w:rsidRPr="00036A98">
              <w:rPr>
                <w:color w:val="000000" w:themeColor="text1"/>
                <w:sz w:val="20"/>
              </w:rPr>
              <w:t xml:space="preserve"> Vigilance device state (on/off); </w:t>
            </w:r>
          </w:p>
          <w:p w:rsidR="00F779BF" w:rsidRPr="00036A98" w:rsidP="001B0B7D">
            <w:pPr>
              <w:pStyle w:val="ListParagraph"/>
              <w:tabs>
                <w:tab w:val="left" w:pos="304"/>
              </w:tabs>
              <w:ind w:left="113"/>
              <w:contextualSpacing/>
              <w:jc w:val="both"/>
              <w:rPr>
                <w:b/>
                <w:color w:val="000000" w:themeColor="text1"/>
                <w:sz w:val="20"/>
              </w:rPr>
            </w:pPr>
            <w:r w:rsidRPr="00036A98">
              <w:rPr>
                <w:rFonts w:ascii="Symbol" w:hAnsi="Symbol"/>
                <w:color w:val="000000" w:themeColor="text1"/>
                <w:sz w:val="20"/>
              </w:rPr>
              <w:sym w:font="Symbol" w:char="F0FC"/>
            </w:r>
            <w:r w:rsidRPr="00036A98">
              <w:rPr>
                <w:color w:val="000000" w:themeColor="text1"/>
                <w:sz w:val="20"/>
              </w:rPr>
              <w:t xml:space="preserve"> Audible alerts activated using the whistle of the tractive vehicle; </w:t>
            </w:r>
          </w:p>
          <w:p w:rsidR="00F779BF" w:rsidRPr="00036A98" w:rsidP="001B0B7D">
            <w:pPr>
              <w:pStyle w:val="ListParagraph"/>
              <w:tabs>
                <w:tab w:val="left" w:pos="304"/>
              </w:tabs>
              <w:ind w:left="113"/>
              <w:contextualSpacing/>
              <w:jc w:val="both"/>
              <w:rPr>
                <w:b/>
                <w:color w:val="000000" w:themeColor="text1"/>
                <w:sz w:val="20"/>
              </w:rPr>
            </w:pPr>
            <w:r w:rsidRPr="00036A98">
              <w:rPr>
                <w:rFonts w:ascii="Symbol" w:hAnsi="Symbol"/>
                <w:color w:val="000000" w:themeColor="text1"/>
                <w:sz w:val="20"/>
              </w:rPr>
              <w:sym w:font="Symbol" w:char="F0FC"/>
            </w:r>
            <w:r w:rsidRPr="00036A98">
              <w:rPr>
                <w:color w:val="000000" w:themeColor="text1"/>
                <w:sz w:val="20"/>
              </w:rPr>
              <w:t xml:space="preserve"> Personalised vehicle operation by means of an IC, magnetic card or other appropriate identification means </w:t>
            </w:r>
            <w:r w:rsidRPr="00036A98">
              <w:rPr>
                <w:color w:val="000000" w:themeColor="text1"/>
                <w:sz w:val="20"/>
              </w:rPr>
              <w:t xml:space="preserve">and, respectively, preventing its operation without personal identification of the operating personnel; </w:t>
            </w:r>
          </w:p>
          <w:p w:rsidR="00F779BF" w:rsidRPr="00036A98" w:rsidP="001B0B7D">
            <w:pPr>
              <w:pStyle w:val="ListParagraph"/>
              <w:tabs>
                <w:tab w:val="left" w:pos="304"/>
              </w:tabs>
              <w:ind w:left="113"/>
              <w:contextualSpacing/>
              <w:jc w:val="both"/>
              <w:rPr>
                <w:b/>
                <w:color w:val="000000" w:themeColor="text1"/>
                <w:sz w:val="20"/>
              </w:rPr>
            </w:pPr>
            <w:r w:rsidRPr="00036A98">
              <w:rPr>
                <w:rFonts w:ascii="Symbol" w:hAnsi="Symbol"/>
                <w:color w:val="000000" w:themeColor="text1"/>
                <w:sz w:val="20"/>
              </w:rPr>
              <w:sym w:font="Symbol" w:char="F0FC"/>
            </w:r>
            <w:r w:rsidRPr="00036A98">
              <w:rPr>
                <w:color w:val="000000" w:themeColor="text1"/>
                <w:sz w:val="20"/>
              </w:rPr>
              <w:t xml:space="preserve"> The devices must be designed in a way allowing the transport safety (NSA and institutional) authorities and the investigation bodies to download immediately the information they need without any required conversion or processing; </w:t>
            </w:r>
          </w:p>
          <w:p w:rsidR="00F779BF" w:rsidRPr="00036A98" w:rsidP="001B0B7D">
            <w:pPr>
              <w:pStyle w:val="ListParagraph"/>
              <w:numPr>
                <w:ilvl w:val="0"/>
                <w:numId w:val="25"/>
              </w:numPr>
              <w:tabs>
                <w:tab w:val="left" w:pos="304"/>
              </w:tabs>
              <w:ind w:left="90" w:firstLine="23"/>
              <w:contextualSpacing/>
              <w:jc w:val="both"/>
              <w:rPr>
                <w:b/>
                <w:color w:val="000000" w:themeColor="text1"/>
                <w:sz w:val="20"/>
              </w:rPr>
            </w:pPr>
            <w:r w:rsidRPr="00036A98">
              <w:rPr>
                <w:color w:val="000000" w:themeColor="text1"/>
                <w:sz w:val="20"/>
              </w:rPr>
              <w:t xml:space="preserve">Before any rolling stock moves off to travel on the railway infrastructure, its good working order must be inspected by a wagon inspector, an employee of the railway infrastructure, and certified appropriately in the train records; </w:t>
            </w:r>
          </w:p>
          <w:p w:rsidR="00F779BF" w:rsidRPr="00036A98" w:rsidP="001B0B7D">
            <w:pPr>
              <w:pStyle w:val="ListParagraph"/>
              <w:numPr>
                <w:ilvl w:val="0"/>
                <w:numId w:val="25"/>
              </w:numPr>
              <w:tabs>
                <w:tab w:val="left" w:pos="304"/>
              </w:tabs>
              <w:ind w:left="90" w:firstLine="23"/>
              <w:contextualSpacing/>
              <w:jc w:val="both"/>
              <w:rPr>
                <w:b/>
                <w:color w:val="000000" w:themeColor="text1"/>
                <w:sz w:val="20"/>
              </w:rPr>
            </w:pPr>
            <w:r w:rsidRPr="00036A98">
              <w:rPr>
                <w:color w:val="000000" w:themeColor="text1"/>
                <w:sz w:val="20"/>
              </w:rPr>
              <w:t xml:space="preserve">The Railway Administration Executive Agency must require all carriers to install, on their tractive rolling stock, vigilance devices with variable activation times to avoid monotony for the operating personnel; </w:t>
            </w:r>
          </w:p>
          <w:p w:rsidR="00F779BF" w:rsidRPr="00036A98" w:rsidP="001B0B7D">
            <w:pPr>
              <w:pStyle w:val="ListParagraph"/>
              <w:numPr>
                <w:ilvl w:val="0"/>
                <w:numId w:val="25"/>
              </w:numPr>
              <w:tabs>
                <w:tab w:val="left" w:pos="304"/>
              </w:tabs>
              <w:ind w:left="90" w:firstLine="23"/>
              <w:contextualSpacing/>
              <w:jc w:val="both"/>
              <w:rPr>
                <w:b/>
                <w:color w:val="000000" w:themeColor="text1"/>
                <w:sz w:val="20"/>
              </w:rPr>
            </w:pPr>
            <w:r w:rsidRPr="00036A98">
              <w:rPr>
                <w:color w:val="000000" w:themeColor="text1"/>
                <w:sz w:val="20"/>
              </w:rPr>
              <w:t xml:space="preserve">The management of BULMARKET RAIL CARGO must organise training to obtain professional qualification, for a part of a profession, at a licensed organisation, pursuant to Article 9(5) of the Vocational Education and Training Act (VETA); </w:t>
            </w:r>
          </w:p>
          <w:p w:rsidR="00F779BF" w:rsidRPr="00036A98" w:rsidP="001B0B7D">
            <w:pPr>
              <w:pStyle w:val="ListParagraph"/>
              <w:numPr>
                <w:ilvl w:val="0"/>
                <w:numId w:val="25"/>
              </w:numPr>
              <w:tabs>
                <w:tab w:val="left" w:pos="304"/>
              </w:tabs>
              <w:ind w:left="90" w:firstLine="23"/>
              <w:contextualSpacing/>
              <w:jc w:val="both"/>
              <w:rPr>
                <w:b/>
                <w:color w:val="000000" w:themeColor="text1"/>
                <w:sz w:val="20"/>
              </w:rPr>
            </w:pPr>
            <w:r w:rsidRPr="00036A98">
              <w:rPr>
                <w:color w:val="000000" w:themeColor="text1"/>
                <w:sz w:val="20"/>
              </w:rPr>
              <w:t xml:space="preserve">BULMARKET RAIL CARGO must strengthen its control over the issuance of the travel sheets for its locomotives, the pre-shift briefings to the personnel and the breaks provided under the requirements of the legislation. </w:t>
            </w:r>
          </w:p>
          <w:p w:rsidR="00F779BF" w:rsidRPr="00036A98" w:rsidP="001B0B7D">
            <w:pPr>
              <w:pStyle w:val="ListParagraph"/>
              <w:numPr>
                <w:ilvl w:val="0"/>
                <w:numId w:val="25"/>
              </w:numPr>
              <w:tabs>
                <w:tab w:val="left" w:pos="304"/>
              </w:tabs>
              <w:ind w:left="90" w:firstLine="23"/>
              <w:contextualSpacing/>
              <w:jc w:val="both"/>
              <w:rPr>
                <w:b/>
                <w:color w:val="000000" w:themeColor="text1"/>
                <w:sz w:val="20"/>
              </w:rPr>
            </w:pPr>
            <w:r w:rsidRPr="00036A98">
              <w:rPr>
                <w:color w:val="000000" w:themeColor="text1"/>
                <w:sz w:val="20"/>
              </w:rPr>
              <w:t xml:space="preserve">BULMARKET RAIL CARGO must strengthen its control during the control authorities’ inspections of the good working order of the rolling stock and the personnel involved in transport safety; </w:t>
            </w:r>
          </w:p>
          <w:p w:rsidR="00F779BF" w:rsidRPr="00036A98" w:rsidP="001B0B7D">
            <w:pPr>
              <w:pStyle w:val="ListParagraph"/>
              <w:numPr>
                <w:ilvl w:val="0"/>
                <w:numId w:val="25"/>
              </w:numPr>
              <w:tabs>
                <w:tab w:val="left" w:pos="304"/>
              </w:tabs>
              <w:ind w:left="90" w:firstLine="23"/>
              <w:contextualSpacing/>
              <w:jc w:val="both"/>
              <w:rPr>
                <w:b/>
                <w:color w:val="000000" w:themeColor="text1"/>
                <w:sz w:val="20"/>
              </w:rPr>
            </w:pPr>
            <w:r w:rsidRPr="00036A98">
              <w:rPr>
                <w:color w:val="000000" w:themeColor="text1"/>
                <w:sz w:val="20"/>
              </w:rPr>
              <w:t xml:space="preserve">BULMARKET RAIL CARGO must further detail the requirements for the employment at the company of locomotive drivers, entitled to pension based on social security service and age for the respective occupational category. </w:t>
            </w:r>
          </w:p>
          <w:p w:rsidR="00F779BF" w:rsidRPr="00036A98" w:rsidP="001B0B7D">
            <w:pPr>
              <w:pStyle w:val="ListParagraph"/>
              <w:numPr>
                <w:ilvl w:val="0"/>
                <w:numId w:val="25"/>
              </w:numPr>
              <w:tabs>
                <w:tab w:val="left" w:pos="304"/>
              </w:tabs>
              <w:ind w:left="90" w:firstLine="23"/>
              <w:contextualSpacing/>
              <w:jc w:val="both"/>
              <w:rPr>
                <w:b/>
                <w:color w:val="000000" w:themeColor="text1"/>
                <w:sz w:val="20"/>
              </w:rPr>
            </w:pPr>
            <w:r w:rsidRPr="00036A98">
              <w:rPr>
                <w:color w:val="000000" w:themeColor="text1"/>
                <w:sz w:val="20"/>
              </w:rPr>
              <w:t xml:space="preserve">The NRIC must organise and conduct, for the station personnel at all stations, trainings on the required personnel response upon occurrence of railway accidents. </w:t>
            </w:r>
          </w:p>
          <w:p w:rsidR="00F779BF" w:rsidRPr="00036A98" w:rsidP="001B0B7D">
            <w:pPr>
              <w:pStyle w:val="ListParagraph"/>
              <w:numPr>
                <w:ilvl w:val="0"/>
                <w:numId w:val="25"/>
              </w:numPr>
              <w:tabs>
                <w:tab w:val="left" w:pos="304"/>
              </w:tabs>
              <w:ind w:left="90" w:firstLine="23"/>
              <w:contextualSpacing/>
              <w:jc w:val="both"/>
              <w:rPr>
                <w:b/>
                <w:color w:val="000000" w:themeColor="text1"/>
                <w:sz w:val="20"/>
              </w:rPr>
            </w:pPr>
            <w:r w:rsidRPr="00036A98">
              <w:rPr>
                <w:color w:val="000000" w:themeColor="text1"/>
                <w:sz w:val="20"/>
              </w:rPr>
              <w:t xml:space="preserve">The train schedule for the freight trains carrying dangerous goods must be adjusted to allow transit on the main tracks at the stations, at speeds near the allowable speed for the respective railway sections, with the respective travel time allowances. </w:t>
            </w:r>
          </w:p>
          <w:p w:rsidR="00F779BF" w:rsidRPr="00036A98" w:rsidP="001B0B7D">
            <w:pPr>
              <w:pStyle w:val="ListParagraph"/>
              <w:numPr>
                <w:ilvl w:val="0"/>
                <w:numId w:val="25"/>
              </w:numPr>
              <w:tabs>
                <w:tab w:val="left" w:pos="304"/>
              </w:tabs>
              <w:ind w:left="90" w:firstLine="23"/>
              <w:contextualSpacing/>
              <w:jc w:val="both"/>
              <w:rPr>
                <w:b/>
                <w:color w:val="000000" w:themeColor="text1"/>
                <w:sz w:val="20"/>
              </w:rPr>
            </w:pPr>
            <w:r w:rsidRPr="00036A98">
              <w:rPr>
                <w:color w:val="000000" w:themeColor="text1"/>
                <w:sz w:val="20"/>
              </w:rPr>
              <w:t xml:space="preserve">The NRIC must organise the urgent deployment of the monitoring system for the rolling stock in motion (Check Point) on the railway network of the Republic of Bulgaria. 39 </w:t>
            </w:r>
          </w:p>
          <w:p w:rsidR="00F779BF" w:rsidRPr="00036A98" w:rsidP="001B0B7D">
            <w:pPr>
              <w:pStyle w:val="ListParagraph"/>
              <w:numPr>
                <w:ilvl w:val="0"/>
                <w:numId w:val="25"/>
              </w:numPr>
              <w:tabs>
                <w:tab w:val="left" w:pos="304"/>
              </w:tabs>
              <w:ind w:left="90" w:firstLine="23"/>
              <w:contextualSpacing/>
              <w:jc w:val="both"/>
              <w:rPr>
                <w:sz w:val="20"/>
                <w:szCs w:val="20"/>
              </w:rPr>
            </w:pPr>
            <w:r w:rsidRPr="00036A98">
              <w:rPr>
                <w:color w:val="000000" w:themeColor="text1"/>
                <w:sz w:val="20"/>
              </w:rPr>
              <w:t>The NRIC, jointly with the railway undertakings providing transport with own tractive rolling stock, must organise the urgent deployment of automatic locomotive signalling/road equipment on the main railway network of the Republic of Bulgaria and on-board equipment for the locomotives and multiple units.</w:t>
            </w:r>
          </w:p>
        </w:tc>
        <w:tc>
          <w:tcPr>
            <w:tcW w:w="4253" w:type="dxa"/>
          </w:tcPr>
          <w:p w:rsidR="001B0B7D" w:rsidRPr="00036A98" w:rsidP="001B0B7D">
            <w:pPr>
              <w:pStyle w:val="ListParagraph"/>
              <w:ind w:left="0" w:firstLine="289"/>
              <w:jc w:val="both"/>
              <w:rPr>
                <w:sz w:val="20"/>
              </w:rPr>
            </w:pPr>
            <w:r w:rsidRPr="00036A98">
              <w:rPr>
                <w:sz w:val="20"/>
              </w:rPr>
              <w:t xml:space="preserve">Sent by letter No 04-05-292/11 September 2017, from the Railway Administration Executive Agency to the NRIC SE and all carriers, was recommendation No 1 of the Report with the requirement, by 29 December 2017, to prepare and send to the Air, Water and Railway Transport Accident Investigation Unit (AWRTAIU) Directorate, with a copy to the RAEA, information </w:t>
            </w:r>
            <w:r w:rsidRPr="00036A98">
              <w:rPr>
                <w:sz w:val="20"/>
              </w:rPr>
              <w:t>on the implementation of the recommendation under Item 16 of the Final Report of the investigation of the railway accident.</w:t>
            </w:r>
          </w:p>
          <w:p w:rsidR="00D8665D" w:rsidRPr="00036A98" w:rsidP="001B0B7D">
            <w:pPr>
              <w:pStyle w:val="ListParagraph"/>
              <w:ind w:left="0" w:firstLine="289"/>
              <w:jc w:val="both"/>
              <w:rPr>
                <w:sz w:val="20"/>
              </w:rPr>
            </w:pPr>
            <w:r w:rsidRPr="00036A98">
              <w:rPr>
                <w:sz w:val="20"/>
              </w:rPr>
              <w:t>The NRIC SE and all carriers sent responses stating that their personnel involved in transport safety has been briefed, at company discussions, on the contents of the Final Report of the conducted investigation.</w:t>
            </w:r>
          </w:p>
        </w:tc>
        <w:tc>
          <w:tcPr>
            <w:tcW w:w="1383" w:type="dxa"/>
          </w:tcPr>
          <w:p w:rsidR="00D8665D" w:rsidRPr="00036A98" w:rsidP="001B0B7D">
            <w:pPr>
              <w:jc w:val="center"/>
              <w:rPr>
                <w:noProof w:val="0"/>
                <w:sz w:val="20"/>
                <w:szCs w:val="20"/>
              </w:rPr>
            </w:pPr>
            <w:r w:rsidRPr="00036A98">
              <w:rPr>
                <w:noProof w:val="0"/>
                <w:sz w:val="20"/>
              </w:rPr>
              <w:t xml:space="preserve">Recommendation No 16 </w:t>
            </w:r>
            <w:r w:rsidRPr="00036A98">
              <w:rPr>
                <w:noProof w:val="0"/>
                <w:sz w:val="20"/>
              </w:rPr>
              <w:t>was implemented</w:t>
            </w:r>
            <w:r w:rsidRPr="00036A98">
              <w:rPr>
                <w:noProof w:val="0"/>
                <w:sz w:val="20"/>
              </w:rPr>
              <w:t xml:space="preserve">. </w:t>
            </w:r>
          </w:p>
        </w:tc>
      </w:tr>
    </w:tbl>
    <w:p w:rsidR="00A74D5A" w:rsidRPr="00036A98" w:rsidP="00B56A68">
      <w:pPr>
        <w:rPr>
          <w:rStyle w:val="Strong"/>
          <w:b w:val="0"/>
          <w:sz w:val="16"/>
        </w:rPr>
      </w:pPr>
      <w:r w:rsidRPr="00036A98">
        <w:rPr>
          <w:rStyle w:val="Strong"/>
          <w:b w:val="0"/>
          <w:sz w:val="16"/>
        </w:rPr>
        <w:t>Table 7: Measures taken by RUs and the IM in Bulgaria following safety recommendations made by the NIB to the NSA in 2017</w:t>
      </w:r>
    </w:p>
    <w:p w:rsidR="00084411" w:rsidRPr="00036A98" w:rsidP="00EF1E96">
      <w:pPr>
        <w:pStyle w:val="Heading1"/>
        <w:numPr>
          <w:ilvl w:val="0"/>
          <w:numId w:val="9"/>
        </w:numPr>
        <w:rPr>
          <w:rFonts w:eastAsia="Calibri"/>
        </w:rPr>
      </w:pPr>
      <w:bookmarkStart w:id="111" w:name="_Toc462235805"/>
      <w:bookmarkStart w:id="112" w:name="_Toc462754787"/>
      <w:bookmarkStart w:id="113" w:name="_Toc490231014"/>
      <w:bookmarkStart w:id="114" w:name="_Toc490231906"/>
      <w:bookmarkStart w:id="115" w:name="_Toc490232034"/>
      <w:bookmarkStart w:id="116" w:name="_Toc491352162"/>
      <w:bookmarkStart w:id="117" w:name="_Toc491788094"/>
      <w:bookmarkStart w:id="118" w:name="_Toc491789284"/>
      <w:bookmarkStart w:id="119" w:name="_Toc491791281"/>
      <w:bookmarkStart w:id="120" w:name="_Toc525214761"/>
      <w:r w:rsidRPr="00036A98">
        <w:t>Measures implemented not in relation to safety recommendations.</w:t>
      </w:r>
      <w:bookmarkEnd w:id="111"/>
      <w:bookmarkEnd w:id="112"/>
      <w:bookmarkEnd w:id="113"/>
      <w:bookmarkEnd w:id="114"/>
      <w:bookmarkEnd w:id="115"/>
      <w:bookmarkEnd w:id="116"/>
      <w:bookmarkEnd w:id="117"/>
      <w:bookmarkEnd w:id="118"/>
      <w:bookmarkEnd w:id="119"/>
      <w:bookmarkEnd w:id="120"/>
    </w:p>
    <w:p w:rsidR="00217BED" w:rsidRPr="00036A98" w:rsidP="00EF1E96">
      <w:pPr>
        <w:pStyle w:val="ListParagraph"/>
        <w:numPr>
          <w:ilvl w:val="1"/>
          <w:numId w:val="3"/>
        </w:numPr>
        <w:tabs>
          <w:tab w:val="num" w:pos="0"/>
          <w:tab w:val="left" w:pos="709"/>
          <w:tab w:val="clear" w:pos="1440"/>
        </w:tabs>
        <w:spacing w:before="120"/>
        <w:ind w:left="0" w:firstLine="425"/>
        <w:jc w:val="both"/>
        <w:rPr>
          <w:b/>
          <w:noProof w:val="0"/>
        </w:rPr>
      </w:pPr>
      <w:r w:rsidRPr="00036A98">
        <w:rPr>
          <w:b/>
          <w:noProof w:val="0"/>
        </w:rPr>
        <w:t xml:space="preserve">Safety measures taken </w:t>
      </w:r>
      <w:r w:rsidRPr="00036A98">
        <w:rPr>
          <w:b/>
          <w:noProof w:val="0"/>
        </w:rPr>
        <w:t>as a result</w:t>
      </w:r>
      <w:r w:rsidRPr="00036A98">
        <w:rPr>
          <w:b/>
          <w:noProof w:val="0"/>
        </w:rPr>
        <w:t xml:space="preserve"> of investigated railway accidents and incidents by the NSA and the District Investigation Committees (DICs).</w:t>
      </w:r>
    </w:p>
    <w:p w:rsidR="0031446B" w:rsidRPr="00036A98" w:rsidP="007B2924">
      <w:pPr>
        <w:ind w:firstLine="709"/>
        <w:jc w:val="both"/>
        <w:rPr>
          <w:noProof w:val="0"/>
        </w:rPr>
      </w:pPr>
      <w:r w:rsidRPr="00036A98">
        <w:t xml:space="preserve">In 2017, employees of the Regional Rail Inspectorates (RRI) at the RAEA chaired meetings of the District Investigative Committees (DICs) in Sofia, Plovdiv and Gorna Oryahovitsa, where a total of 514 accidents and incidents (precursors of accidents) were investigated as required under Article 78 (3) of Ordinance No 59. For all investigations of accidents and incidents, final reports were created, wherein, as appropriate, instructions and recommendations were given to avoid any </w:t>
      </w:r>
      <w:r w:rsidRPr="00036A98">
        <w:t xml:space="preserve">recurrence of the violations or invoking the liability of the officials for the train traffic safety violations they have allowed to occur. </w:t>
      </w:r>
    </w:p>
    <w:p w:rsidR="00F55C8A" w:rsidRPr="00036A98" w:rsidP="007B2924">
      <w:pPr>
        <w:spacing w:before="120"/>
        <w:ind w:firstLine="709"/>
        <w:jc w:val="both"/>
        <w:rPr>
          <w:b/>
          <w:noProof w:val="0"/>
          <w:u w:val="single"/>
        </w:rPr>
      </w:pPr>
      <w:r w:rsidRPr="00036A98">
        <w:rPr>
          <w:b/>
          <w:noProof w:val="0"/>
          <w:u w:val="single"/>
        </w:rPr>
        <w:t>Instructions issued by the ED of the RAEA:</w:t>
      </w:r>
    </w:p>
    <w:p w:rsidR="001A2D93" w:rsidRPr="00036A98" w:rsidP="001A2D93">
      <w:pPr>
        <w:spacing w:after="60"/>
        <w:ind w:firstLine="709"/>
        <w:jc w:val="both"/>
        <w:rPr>
          <w:noProof w:val="0"/>
        </w:rPr>
      </w:pPr>
      <w:r w:rsidRPr="00036A98">
        <w:t>In 2017, the ED of the RAEA issued eleven instructions, the most significant of which were 2 instructions to the BDZ Passengers and 3 instructions to the NRIC SE.</w:t>
      </w:r>
    </w:p>
    <w:p w:rsidR="00714855" w:rsidRPr="00036A98" w:rsidP="00916963">
      <w:pPr>
        <w:pStyle w:val="ListParagraph"/>
        <w:numPr>
          <w:ilvl w:val="0"/>
          <w:numId w:val="16"/>
        </w:numPr>
        <w:spacing w:after="60"/>
        <w:ind w:left="0" w:firstLine="0"/>
        <w:jc w:val="both"/>
        <w:rPr>
          <w:noProof w:val="0"/>
        </w:rPr>
      </w:pPr>
      <w:r w:rsidRPr="00036A98">
        <w:t xml:space="preserve">The instructions to the BDZ Passengers, in 2017, were related to: 1) Providing information on passengers’ rights, in all stations and passenger wagons, including contact details of the carrier in an appropriate font and placement of stickers with the MTITC hotline; 2) Provision, at all stations, of the ‘Rules of action of the BDZ Passengers and NRIC SE officials in case of violation of the traffic schedule’; 3) Providing the passengers at the Sofia station with accessible information regarding the discontinuation of the services under the Contract for the Public Services Provided within the Railway Transport in Bulgaria. </w:t>
      </w:r>
    </w:p>
    <w:p w:rsidR="00AB10B3" w:rsidRPr="00036A98" w:rsidP="001A2D93">
      <w:pPr>
        <w:pStyle w:val="ListParagraph"/>
        <w:numPr>
          <w:ilvl w:val="0"/>
          <w:numId w:val="16"/>
        </w:numPr>
        <w:spacing w:after="60"/>
        <w:ind w:left="0" w:firstLine="0"/>
        <w:jc w:val="both"/>
        <w:rPr>
          <w:noProof w:val="0"/>
        </w:rPr>
      </w:pPr>
      <w:r w:rsidRPr="00036A98">
        <w:t xml:space="preserve">In 2017, the instructions to the NRIC SE were related to: 1) Removal of irregularities related to the flooded pedestrian underpass at the Skobelevo stop. Construction of platform shelters for passenger protection and temporary pedestrian bridges at both ends of the platforms to be used by the passengers to cross the tracks until the pedestrian underpass is drained and restored; 2) Providing access for the PRM at the Dragichevo station; 3) Creation of a procedure regulating the expedient introduction, cancellation and adjustment of a train schedule in the event of unforeseen situations occurring during the train travel or immediately prior to its departure, which is agreed with the railway carriers and included in the RD of the network, Annex 4, VII ‘Operational Interaction in Planning and Management of Transport and Operation of the Railway Infrastructure’. </w:t>
      </w:r>
    </w:p>
    <w:p w:rsidR="00F55C8A" w:rsidRPr="00036A98" w:rsidP="007B2924">
      <w:pPr>
        <w:spacing w:before="120"/>
        <w:ind w:firstLine="709"/>
        <w:jc w:val="both"/>
        <w:rPr>
          <w:b/>
          <w:noProof w:val="0"/>
          <w:u w:val="single"/>
        </w:rPr>
      </w:pPr>
      <w:r w:rsidRPr="00036A98">
        <w:rPr>
          <w:b/>
          <w:noProof w:val="0"/>
          <w:u w:val="single"/>
        </w:rPr>
        <w:t>Instructions issued by RRI employees to the RAEA:</w:t>
      </w:r>
    </w:p>
    <w:p w:rsidR="00014A70" w:rsidRPr="00036A98" w:rsidP="00014A70">
      <w:pPr>
        <w:ind w:firstLine="709"/>
        <w:jc w:val="both"/>
        <w:rPr>
          <w:noProof w:val="0"/>
        </w:rPr>
      </w:pPr>
      <w:r w:rsidRPr="00036A98">
        <w:t>The inspections conducted, in 2017, by employees (inspectors) of the RRI to the RAEA on sites of RUs and the IM, identified irregularities regarding the observance of the National Safety Rules (NSR) in accordance with the RTA, Ordinance No 58, Ordinance No 56</w:t>
      </w:r>
      <w:r>
        <w:rPr>
          <w:rStyle w:val="FootnoteReference"/>
          <w:noProof w:val="0"/>
        </w:rPr>
        <w:footnoteReference w:id="31"/>
      </w:r>
      <w:r w:rsidRPr="00036A98">
        <w:t>, TOR</w:t>
      </w:r>
      <w:r>
        <w:rPr>
          <w:rStyle w:val="FootnoteReference"/>
          <w:noProof w:val="0"/>
        </w:rPr>
        <w:footnoteReference w:id="32"/>
      </w:r>
      <w:r w:rsidRPr="00036A98">
        <w:t>, RMTSO</w:t>
      </w:r>
      <w:r>
        <w:rPr>
          <w:rStyle w:val="FootnoteReference"/>
          <w:noProof w:val="0"/>
        </w:rPr>
        <w:footnoteReference w:id="33"/>
      </w:r>
      <w:r w:rsidRPr="00036A98">
        <w:t>, etc., whereon 36 statements of railway employee violations and 54 instructions were drawn up (including 27 by RRI Plovdiv, 14 by RRI Sofia and 13 by RRI Gorna Oryahovitsa).</w:t>
      </w:r>
      <w:r w:rsidRPr="00036A98">
        <w:t xml:space="preserve"> </w:t>
      </w:r>
    </w:p>
    <w:p w:rsidR="006C749A" w:rsidRPr="00036A98" w:rsidP="00014A70">
      <w:pPr>
        <w:spacing w:before="120"/>
        <w:ind w:firstLine="709"/>
        <w:jc w:val="both"/>
        <w:rPr>
          <w:b/>
          <w:noProof w:val="0"/>
        </w:rPr>
      </w:pPr>
      <w:r w:rsidRPr="00036A98">
        <w:rPr>
          <w:b/>
          <w:noProof w:val="0"/>
        </w:rPr>
        <w:t xml:space="preserve">Safety measures taken by the NSA of Bulgaria </w:t>
      </w:r>
      <w:r w:rsidRPr="00036A98">
        <w:rPr>
          <w:b/>
          <w:noProof w:val="0"/>
        </w:rPr>
        <w:t>as a result</w:t>
      </w:r>
      <w:r w:rsidRPr="00036A98">
        <w:rPr>
          <w:b/>
          <w:noProof w:val="0"/>
        </w:rPr>
        <w:t xml:space="preserve"> of inspections of the IM and RUs conducted in 2017:</w:t>
      </w:r>
    </w:p>
    <w:p w:rsidR="006B7A02" w:rsidRPr="00036A98" w:rsidP="007B2924">
      <w:pPr>
        <w:ind w:firstLine="709"/>
        <w:jc w:val="both"/>
        <w:rPr>
          <w:noProof w:val="0"/>
        </w:rPr>
      </w:pPr>
      <w:r w:rsidRPr="00036A98">
        <w:t>In 2017, employees of the RRI at the RAEA inspected a total of 837 sites and employees and conducted a total of 1224 inspections of the NRIC SE, BDZ Passenger Services Ltd., BDZ Freight Services, private carriers, railway stations, RS (trains, locomotives, DMUs</w:t>
      </w:r>
      <w:r>
        <w:rPr>
          <w:rStyle w:val="FootnoteReference"/>
          <w:noProof w:val="0"/>
        </w:rPr>
        <w:footnoteReference w:id="34"/>
      </w:r>
      <w:r w:rsidRPr="00036A98">
        <w:t>/EMUs</w:t>
      </w:r>
      <w:r>
        <w:rPr>
          <w:rStyle w:val="FootnoteReference"/>
          <w:noProof w:val="0"/>
        </w:rPr>
        <w:footnoteReference w:id="35"/>
      </w:r>
      <w:r w:rsidRPr="00036A98">
        <w:t>, self-propelled specialised rail vehicles (SPSRVs), motor-powered draisines), WISs</w:t>
      </w:r>
      <w:r>
        <w:rPr>
          <w:rStyle w:val="FootnoteReference"/>
          <w:noProof w:val="0"/>
        </w:rPr>
        <w:footnoteReference w:id="36"/>
      </w:r>
      <w:r w:rsidRPr="00036A98">
        <w:t>, level crossings, railway sections, contact network maintenance sub-areas, EPUs</w:t>
      </w:r>
      <w:r>
        <w:rPr>
          <w:rStyle w:val="FootnoteReference"/>
          <w:noProof w:val="0"/>
        </w:rPr>
        <w:footnoteReference w:id="37"/>
      </w:r>
      <w:r w:rsidRPr="00036A98">
        <w:t>, SE</w:t>
      </w:r>
      <w:r>
        <w:rPr>
          <w:rStyle w:val="FootnoteReference"/>
          <w:noProof w:val="0"/>
        </w:rPr>
        <w:footnoteReference w:id="38"/>
      </w:r>
      <w:r w:rsidRPr="00036A98">
        <w:t xml:space="preserve"> sections, passenger and freight centres, locomotive depots, intermodal terminals, construction companies performing RI repairs, licensed carriers and other employees (train and locomotive crews, train traffic controllers of the IM and traffic controllers of RUs).</w:t>
      </w:r>
    </w:p>
    <w:p w:rsidR="0092428B" w:rsidRPr="00036A98" w:rsidP="007B2924">
      <w:pPr>
        <w:ind w:firstLine="709"/>
        <w:jc w:val="both"/>
        <w:rPr>
          <w:noProof w:val="0"/>
        </w:rPr>
      </w:pPr>
      <w:r w:rsidRPr="00036A98">
        <w:t>In 2017, RAEA employees from the RRIs tested a total of 482 employees, occupying positions related to the safety of railway transport, for the use of alcohol and other intoxicating substances.</w:t>
      </w:r>
    </w:p>
    <w:p w:rsidR="006229E1" w:rsidRPr="00036A98" w:rsidP="007B2924">
      <w:pPr>
        <w:jc w:val="both"/>
        <w:rPr>
          <w:noProof w:val="0"/>
        </w:rPr>
      </w:pPr>
      <w:r w:rsidRPr="00036A98">
        <w:tab/>
        <w:t>Implementing the requirements of Article 5 of Ordinance No 56, in 2017, RAEA employees conducted control examinations of 1310 IM and RU employees, occupying positions related to the safety of railway transport, including: RRI Sofia—520, RRI Plovdiv—559 and RRI Gorna Oryahovitsa—231.</w:t>
      </w:r>
    </w:p>
    <w:p w:rsidR="00EC5C89" w:rsidRPr="00036A98" w:rsidP="00EF1E96">
      <w:pPr>
        <w:pStyle w:val="Heading2"/>
        <w:numPr>
          <w:ilvl w:val="0"/>
          <w:numId w:val="7"/>
        </w:numPr>
        <w:rPr>
          <w:rFonts w:eastAsia="Calibri"/>
          <w:spacing w:val="0"/>
        </w:rPr>
      </w:pPr>
      <w:bookmarkStart w:id="121" w:name="_Toc525214762"/>
      <w:r w:rsidRPr="00036A98">
        <w:t>Supervision</w:t>
      </w:r>
      <w:bookmarkEnd w:id="121"/>
    </w:p>
    <w:p w:rsidR="00EC5C89" w:rsidRPr="00036A98" w:rsidP="00EF1E96">
      <w:pPr>
        <w:pStyle w:val="Heading2"/>
        <w:numPr>
          <w:ilvl w:val="0"/>
          <w:numId w:val="10"/>
        </w:numPr>
        <w:rPr>
          <w:rFonts w:eastAsia="Calibri"/>
          <w:spacing w:val="0"/>
        </w:rPr>
      </w:pPr>
      <w:bookmarkStart w:id="122" w:name="_Toc462235807"/>
      <w:bookmarkStart w:id="123" w:name="_Toc462754789"/>
      <w:bookmarkStart w:id="124" w:name="_Toc490231016"/>
      <w:bookmarkStart w:id="125" w:name="_Toc490231908"/>
      <w:bookmarkStart w:id="126" w:name="_Toc490232036"/>
      <w:bookmarkStart w:id="127" w:name="_Toc491352164"/>
      <w:bookmarkStart w:id="128" w:name="_Toc491788096"/>
      <w:bookmarkStart w:id="129" w:name="_Toc491789286"/>
      <w:bookmarkStart w:id="130" w:name="_Toc491791283"/>
      <w:bookmarkStart w:id="131" w:name="_Toc525214763"/>
      <w:r w:rsidRPr="00036A98">
        <w:t>Strategy and Plan(s)</w:t>
      </w:r>
      <w:bookmarkEnd w:id="122"/>
      <w:bookmarkEnd w:id="123"/>
      <w:bookmarkEnd w:id="124"/>
      <w:bookmarkEnd w:id="125"/>
      <w:bookmarkEnd w:id="126"/>
      <w:bookmarkEnd w:id="127"/>
      <w:bookmarkEnd w:id="128"/>
      <w:bookmarkEnd w:id="129"/>
      <w:bookmarkEnd w:id="130"/>
      <w:bookmarkEnd w:id="131"/>
    </w:p>
    <w:p w:rsidR="00EC5C89" w:rsidRPr="00036A98" w:rsidP="007B2924">
      <w:pPr>
        <w:pStyle w:val="ListParagraph"/>
        <w:spacing w:after="60"/>
        <w:ind w:left="0" w:firstLine="709"/>
        <w:jc w:val="both"/>
        <w:rPr>
          <w:rFonts w:eastAsia="Calibri"/>
          <w:noProof w:val="0"/>
        </w:rPr>
      </w:pPr>
      <w:r w:rsidRPr="00036A98">
        <w:rPr>
          <w:rFonts w:eastAsia="Calibri"/>
          <w:lang w:val="fr-FR" w:eastAsia="fr-FR" w:bidi="ar-SA"/>
        </w:rPr>
        <w:drawing>
          <wp:anchor distT="0" distB="0" distL="114300" distR="114300" simplePos="0" relativeHeight="251699200" behindDoc="0" locked="0" layoutInCell="1" allowOverlap="1">
            <wp:simplePos x="0" y="0"/>
            <wp:positionH relativeFrom="column">
              <wp:posOffset>-41910</wp:posOffset>
            </wp:positionH>
            <wp:positionV relativeFrom="paragraph">
              <wp:posOffset>67310</wp:posOffset>
            </wp:positionV>
            <wp:extent cx="1899920" cy="1152525"/>
            <wp:effectExtent l="0" t="0" r="5080" b="9525"/>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323916" name="supervision.jpg"/>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1899920" cy="1152525"/>
                    </a:xfrm>
                    <a:prstGeom prst="rect">
                      <a:avLst/>
                    </a:prstGeom>
                  </pic:spPr>
                </pic:pic>
              </a:graphicData>
            </a:graphic>
            <wp14:sizeRelH relativeFrom="page">
              <wp14:pctWidth>0</wp14:pctWidth>
            </wp14:sizeRelH>
            <wp14:sizeRelV relativeFrom="page">
              <wp14:pctHeight>0</wp14:pctHeight>
            </wp14:sizeRelV>
          </wp:anchor>
        </w:drawing>
      </w:r>
      <w:r w:rsidRPr="00036A98">
        <w:t>The essential safety requirements are defined in the Railway Transport Act and the statutory instruments. The requirements of the RSD are implemented mainly in Ordinance No 59 on safety management of railway transport, issued by the Minister for Transport, Information Technology and Communications. It introduces the principles of the CSM on the supervision exercised by the NSA after the issuance of the SCs and SAs to PCMs as provided for under Regulation (EU) No 1077/2012.</w:t>
      </w:r>
    </w:p>
    <w:p w:rsidR="00EC5C89" w:rsidRPr="00036A98" w:rsidP="007B2924">
      <w:pPr>
        <w:pStyle w:val="ListParagraph"/>
        <w:spacing w:after="60"/>
        <w:ind w:left="0" w:firstLine="709"/>
        <w:jc w:val="both"/>
        <w:rPr>
          <w:rFonts w:eastAsia="Calibri"/>
          <w:noProof w:val="0"/>
        </w:rPr>
      </w:pPr>
      <w:r w:rsidRPr="00036A98">
        <w:t>When defining the supervision strategy and supervision plans of the NSA of Bulgaria, at least the following sources of information are used:</w:t>
      </w:r>
    </w:p>
    <w:p w:rsidR="00EC5C89" w:rsidRPr="00036A98" w:rsidP="00EF1E96">
      <w:pPr>
        <w:numPr>
          <w:ilvl w:val="0"/>
          <w:numId w:val="21"/>
        </w:numPr>
        <w:tabs>
          <w:tab w:val="left" w:pos="993"/>
        </w:tabs>
        <w:jc w:val="both"/>
        <w:rPr>
          <w:rFonts w:eastAsia="Calibri"/>
          <w:noProof w:val="0"/>
        </w:rPr>
      </w:pPr>
      <w:r w:rsidRPr="00036A98">
        <w:t>Monthly and annual information on the state of safety, submitted by the certified railway undertakings and the national RI manager (NRIC SE);</w:t>
      </w:r>
    </w:p>
    <w:p w:rsidR="004C6AD2" w:rsidRPr="00036A98" w:rsidP="00EF1E96">
      <w:pPr>
        <w:numPr>
          <w:ilvl w:val="0"/>
          <w:numId w:val="21"/>
        </w:numPr>
        <w:tabs>
          <w:tab w:val="left" w:pos="993"/>
        </w:tabs>
        <w:jc w:val="both"/>
        <w:rPr>
          <w:rFonts w:eastAsia="Calibri"/>
          <w:noProof w:val="0"/>
        </w:rPr>
      </w:pPr>
      <w:r w:rsidRPr="00036A98">
        <w:t>Daily information from the bulletin on the irregularities on the railway network of Bulgaria, created by the national RI manager (NRIC SE)’s traffic controllers on duty;</w:t>
      </w:r>
    </w:p>
    <w:p w:rsidR="002A6C85" w:rsidRPr="00036A98" w:rsidP="00EF1E96">
      <w:pPr>
        <w:numPr>
          <w:ilvl w:val="0"/>
          <w:numId w:val="21"/>
        </w:numPr>
        <w:tabs>
          <w:tab w:val="left" w:pos="993"/>
        </w:tabs>
        <w:jc w:val="both"/>
        <w:rPr>
          <w:rFonts w:eastAsia="Calibri"/>
          <w:noProof w:val="0"/>
        </w:rPr>
      </w:pPr>
      <w:r w:rsidRPr="00036A98">
        <w:t>Review of the safety management system documentation and records of the RUs and the IM;</w:t>
      </w:r>
    </w:p>
    <w:p w:rsidR="002A6C85" w:rsidRPr="00036A98" w:rsidP="00EF1E96">
      <w:pPr>
        <w:numPr>
          <w:ilvl w:val="0"/>
          <w:numId w:val="21"/>
        </w:numPr>
        <w:tabs>
          <w:tab w:val="left" w:pos="993"/>
        </w:tabs>
        <w:jc w:val="both"/>
        <w:rPr>
          <w:rFonts w:eastAsia="Calibri"/>
          <w:noProof w:val="0"/>
        </w:rPr>
      </w:pPr>
      <w:r w:rsidRPr="00036A98">
        <w:t>Review of the system performance results observed during supervisory audits, checks and inspections or other similar activities;</w:t>
      </w:r>
    </w:p>
    <w:p w:rsidR="00EC5C89" w:rsidRPr="00036A98" w:rsidP="00EF1E96">
      <w:pPr>
        <w:numPr>
          <w:ilvl w:val="0"/>
          <w:numId w:val="21"/>
        </w:numPr>
        <w:tabs>
          <w:tab w:val="left" w:pos="993"/>
        </w:tabs>
        <w:jc w:val="both"/>
        <w:rPr>
          <w:rFonts w:eastAsia="Calibri"/>
          <w:noProof w:val="0"/>
        </w:rPr>
      </w:pPr>
      <w:r w:rsidRPr="00036A98">
        <w:t>Results of the accident, incident and NM</w:t>
      </w:r>
      <w:r>
        <w:rPr>
          <w:rStyle w:val="FootnoteReference"/>
          <w:noProof w:val="0"/>
        </w:rPr>
        <w:footnoteReference w:id="39"/>
      </w:r>
      <w:r w:rsidRPr="00036A98">
        <w:t xml:space="preserve"> investigations;</w:t>
      </w:r>
    </w:p>
    <w:p w:rsidR="00EC5C89" w:rsidRPr="00036A98" w:rsidP="00EF1E96">
      <w:pPr>
        <w:numPr>
          <w:ilvl w:val="0"/>
          <w:numId w:val="21"/>
        </w:numPr>
        <w:tabs>
          <w:tab w:val="left" w:pos="993"/>
        </w:tabs>
        <w:jc w:val="both"/>
        <w:rPr>
          <w:rFonts w:eastAsia="Calibri"/>
          <w:noProof w:val="0"/>
        </w:rPr>
      </w:pPr>
      <w:r w:rsidRPr="00036A98">
        <w:t>Received signals and complaints from the IM, RUs, etc.</w:t>
      </w:r>
    </w:p>
    <w:p w:rsidR="00EC5C89" w:rsidRPr="00036A98" w:rsidP="007B2924">
      <w:pPr>
        <w:ind w:firstLine="708"/>
        <w:jc w:val="both"/>
        <w:rPr>
          <w:rFonts w:eastAsia="Calibri"/>
          <w:noProof w:val="0"/>
        </w:rPr>
      </w:pPr>
      <w:r w:rsidRPr="00036A98">
        <w:t>The annual inspection plans may be revised based on the information received from the monthly analyses, checks and inspections. The main inspection changes are related to the scope and purpose of the inspection in the presence of alarming safety-related information. They are approved by the Executive Director of RAEA and are sent for information to the respective railway undertakings and infrastructure managers. The Annual Supervision Schedule is developed by an Inspector General at the DGRI, endorsed by the Director General of DGRI and approved by the ED of the RAEA.</w:t>
      </w:r>
    </w:p>
    <w:p w:rsidR="00EC5C89" w:rsidRPr="00036A98" w:rsidP="00EF1E96">
      <w:pPr>
        <w:pStyle w:val="Heading1"/>
        <w:numPr>
          <w:ilvl w:val="0"/>
          <w:numId w:val="10"/>
        </w:numPr>
        <w:rPr>
          <w:rFonts w:eastAsia="Calibri"/>
        </w:rPr>
      </w:pPr>
      <w:bookmarkStart w:id="132" w:name="_Toc491788097"/>
      <w:bookmarkStart w:id="133" w:name="_Toc491789287"/>
      <w:bookmarkStart w:id="134" w:name="_Toc491791284"/>
      <w:bookmarkStart w:id="135" w:name="_Toc525214764"/>
      <w:r w:rsidRPr="00036A98">
        <w:t>Human Resources</w:t>
      </w:r>
      <w:bookmarkEnd w:id="132"/>
      <w:bookmarkEnd w:id="133"/>
      <w:bookmarkEnd w:id="134"/>
      <w:bookmarkEnd w:id="135"/>
    </w:p>
    <w:p w:rsidR="00EC5C89" w:rsidRPr="00036A98" w:rsidP="007B2924">
      <w:pPr>
        <w:ind w:firstLine="709"/>
        <w:jc w:val="both"/>
        <w:rPr>
          <w:rFonts w:eastAsia="Calibri"/>
          <w:noProof w:val="0"/>
        </w:rPr>
      </w:pPr>
      <w:r w:rsidRPr="00036A98">
        <w:t xml:space="preserve">The RAEA, through its Directorate General Railway Inspectorate (DGRI), performs its functions as the NSA for the railway transport of the Republic of Bulgaria. Some of its main functions are related to the supervision of the Safety Management Systems (SMSs) of the RUs and IM, as well as the control over the management systems for the PCMs/ECMs of freight wagons and other rail vehicles. </w:t>
      </w:r>
    </w:p>
    <w:p w:rsidR="00EC5C89" w:rsidRPr="00036A98" w:rsidP="007B2924">
      <w:pPr>
        <w:ind w:firstLine="709"/>
        <w:jc w:val="both"/>
        <w:rPr>
          <w:rFonts w:eastAsia="Calibri"/>
          <w:noProof w:val="0"/>
        </w:rPr>
      </w:pPr>
      <w:r w:rsidRPr="00036A98">
        <w:t xml:space="preserve">As of 31 December 2017, the DGRI had 30 employees, including 15 inspectors at its territorial units—Regional Railway Inspectorates in Sofia, Plovdiv and Gorna Oryahovitsa. The administrative, legal and financial services for the DGRI are provided, within the RAEA, by the Administrative-Legal and Financial-Economic Management Directorate having a staff of 7 employees. </w:t>
      </w:r>
    </w:p>
    <w:p w:rsidR="008F293D" w:rsidRPr="00036A98" w:rsidP="00495602">
      <w:pPr>
        <w:spacing w:after="120"/>
        <w:ind w:firstLine="709"/>
        <w:jc w:val="both"/>
        <w:rPr>
          <w:rFonts w:eastAsia="Calibri"/>
          <w:noProof w:val="0"/>
        </w:rPr>
      </w:pPr>
      <w:r w:rsidRPr="00036A98">
        <w:t>In 2017, the NSA of Bulgaria conducted 27 SMS audits of RUs certified for freight (11) and passenger (1) transport in Bulgaria, as well as of the State IM (NRIC SE) (1 audit). Eleven of those were scheduled supervisory audits, four were related to safety certificate renewals, three were related to initial certifications, eight were unscheduled and one was related to an amendment. More information on the supervisory audits conducted, in 2017, by the NSA of Bulgaria of the IM and RUs for passenger or freight transport is provided in Table 8 below.</w:t>
      </w:r>
    </w:p>
    <w:p w:rsidR="00C602E8" w:rsidRPr="00036A98" w:rsidP="00BC4485">
      <w:pPr>
        <w:pStyle w:val="Caption"/>
        <w:jc w:val="center"/>
        <w:rPr>
          <w:b w:val="0"/>
          <w:color w:val="000000" w:themeColor="text1"/>
          <w:sz w:val="16"/>
        </w:rPr>
      </w:pPr>
      <w:r w:rsidRPr="00036A98">
        <w:rPr>
          <w:color w:val="000000" w:themeColor="text1"/>
          <w:sz w:val="16"/>
        </w:rPr>
        <w:t>Table 8</w:t>
      </w:r>
      <w:r w:rsidRPr="00036A98">
        <w:rPr>
          <w:b w:val="0"/>
          <w:color w:val="000000" w:themeColor="text1"/>
          <w:sz w:val="16"/>
        </w:rPr>
        <w:t>: Supervisory SMS audits of certified RUs and the IM conducted by the NSA of Bulgaria in 2017</w:t>
      </w:r>
    </w:p>
    <w:tbl>
      <w:tblPr>
        <w:tblStyle w:val="TableGrid"/>
        <w:tblpPr w:leftFromText="141" w:rightFromText="141" w:vertAnchor="text" w:horzAnchor="margin" w:tblpXSpec="center" w:tblpY="21"/>
        <w:tblW w:w="5000" w:type="pct"/>
        <w:tblLook w:val="04A0"/>
      </w:tblPr>
      <w:tblGrid>
        <w:gridCol w:w="437"/>
        <w:gridCol w:w="3811"/>
        <w:gridCol w:w="1984"/>
        <w:gridCol w:w="3397"/>
      </w:tblGrid>
      <w:tr w:rsidTr="00BC4485">
        <w:tblPrEx>
          <w:tblW w:w="5000" w:type="pct"/>
          <w:tblLook w:val="04A0"/>
        </w:tblPrEx>
        <w:trPr>
          <w:trHeight w:val="270"/>
        </w:trPr>
        <w:tc>
          <w:tcPr>
            <w:tcW w:w="227" w:type="pct"/>
            <w:hideMark/>
          </w:tcPr>
          <w:p w:rsidR="00F22344" w:rsidRPr="00036A98" w:rsidP="00BC4485">
            <w:pPr>
              <w:jc w:val="center"/>
              <w:rPr>
                <w:sz w:val="20"/>
                <w:szCs w:val="20"/>
              </w:rPr>
            </w:pPr>
            <w:r w:rsidRPr="00036A98">
              <w:rPr>
                <w:sz w:val="20"/>
              </w:rPr>
              <w:t>№</w:t>
            </w:r>
          </w:p>
        </w:tc>
        <w:tc>
          <w:tcPr>
            <w:tcW w:w="1979" w:type="pct"/>
            <w:hideMark/>
          </w:tcPr>
          <w:p w:rsidR="00F22344" w:rsidRPr="00036A98" w:rsidP="00BC4485">
            <w:pPr>
              <w:jc w:val="center"/>
              <w:rPr>
                <w:sz w:val="20"/>
                <w:szCs w:val="20"/>
              </w:rPr>
            </w:pPr>
            <w:r w:rsidRPr="00036A98">
              <w:rPr>
                <w:sz w:val="20"/>
              </w:rPr>
              <w:t>Name of the certified company (IM or RU)</w:t>
            </w:r>
          </w:p>
        </w:tc>
        <w:tc>
          <w:tcPr>
            <w:tcW w:w="1030" w:type="pct"/>
            <w:hideMark/>
          </w:tcPr>
          <w:p w:rsidR="00F22344" w:rsidRPr="00036A98" w:rsidP="00BC4485">
            <w:pPr>
              <w:jc w:val="center"/>
              <w:rPr>
                <w:sz w:val="20"/>
                <w:szCs w:val="20"/>
              </w:rPr>
            </w:pPr>
            <w:r w:rsidRPr="00036A98">
              <w:rPr>
                <w:sz w:val="20"/>
              </w:rPr>
              <w:t>Type of activity</w:t>
            </w:r>
          </w:p>
        </w:tc>
        <w:tc>
          <w:tcPr>
            <w:tcW w:w="1764" w:type="pct"/>
          </w:tcPr>
          <w:p w:rsidR="00F22344" w:rsidRPr="00036A98" w:rsidP="00BC4485">
            <w:pPr>
              <w:jc w:val="center"/>
              <w:rPr>
                <w:bCs/>
                <w:sz w:val="20"/>
                <w:szCs w:val="20"/>
              </w:rPr>
            </w:pPr>
            <w:r w:rsidRPr="00036A98">
              <w:rPr>
                <w:sz w:val="20"/>
              </w:rPr>
              <w:t xml:space="preserve">Audit period </w:t>
            </w:r>
          </w:p>
        </w:tc>
      </w:tr>
      <w:tr w:rsidTr="00BC4485">
        <w:tblPrEx>
          <w:tblW w:w="5000" w:type="pct"/>
          <w:tblLook w:val="04A0"/>
        </w:tblPrEx>
        <w:trPr>
          <w:trHeight w:val="340"/>
        </w:trPr>
        <w:tc>
          <w:tcPr>
            <w:tcW w:w="227" w:type="pct"/>
          </w:tcPr>
          <w:p w:rsidR="00F22344" w:rsidRPr="00036A98" w:rsidP="00BC4485">
            <w:pPr>
              <w:pStyle w:val="ListParagraph"/>
              <w:numPr>
                <w:ilvl w:val="0"/>
                <w:numId w:val="22"/>
              </w:numPr>
              <w:rPr>
                <w:color w:val="000000"/>
                <w:sz w:val="20"/>
                <w:szCs w:val="20"/>
              </w:rPr>
            </w:pPr>
          </w:p>
        </w:tc>
        <w:tc>
          <w:tcPr>
            <w:tcW w:w="1979" w:type="pct"/>
          </w:tcPr>
          <w:p w:rsidR="00F22344" w:rsidRPr="00036A98" w:rsidP="00BC4485">
            <w:pPr>
              <w:rPr>
                <w:bCs/>
                <w:color w:val="000000"/>
                <w:sz w:val="20"/>
                <w:szCs w:val="19"/>
              </w:rPr>
            </w:pPr>
            <w:r w:rsidRPr="00036A98">
              <w:rPr>
                <w:color w:val="000000"/>
                <w:sz w:val="20"/>
              </w:rPr>
              <w:t>NRIC SE</w:t>
            </w:r>
          </w:p>
        </w:tc>
        <w:tc>
          <w:tcPr>
            <w:tcW w:w="1030" w:type="pct"/>
          </w:tcPr>
          <w:p w:rsidR="00F22344" w:rsidRPr="00036A98" w:rsidP="00BC4485">
            <w:pPr>
              <w:jc w:val="center"/>
              <w:rPr>
                <w:color w:val="000000"/>
                <w:sz w:val="14"/>
                <w:szCs w:val="15"/>
              </w:rPr>
            </w:pPr>
            <w:r w:rsidRPr="00036A98">
              <w:rPr>
                <w:color w:val="000000"/>
                <w:sz w:val="14"/>
              </w:rPr>
              <w:t>Infrastructure Manager</w:t>
            </w:r>
          </w:p>
        </w:tc>
        <w:tc>
          <w:tcPr>
            <w:tcW w:w="1764" w:type="pct"/>
          </w:tcPr>
          <w:p w:rsidR="00F22344" w:rsidRPr="00036A98" w:rsidP="00BC4485">
            <w:pPr>
              <w:jc w:val="center"/>
              <w:rPr>
                <w:bCs/>
                <w:sz w:val="18"/>
                <w:szCs w:val="17"/>
              </w:rPr>
            </w:pPr>
            <w:r w:rsidRPr="00036A98">
              <w:rPr>
                <w:sz w:val="18"/>
              </w:rPr>
              <w:t>between 16 January 2017 and 20 January 2017</w:t>
            </w:r>
          </w:p>
        </w:tc>
      </w:tr>
      <w:tr w:rsidTr="00BC4485">
        <w:tblPrEx>
          <w:tblW w:w="5000" w:type="pct"/>
          <w:tblLook w:val="04A0"/>
        </w:tblPrEx>
        <w:trPr>
          <w:trHeight w:val="340"/>
        </w:trPr>
        <w:tc>
          <w:tcPr>
            <w:tcW w:w="227" w:type="pct"/>
          </w:tcPr>
          <w:p w:rsidR="00F22344" w:rsidRPr="00036A98" w:rsidP="00BC4485">
            <w:pPr>
              <w:pStyle w:val="ListParagraph"/>
              <w:numPr>
                <w:ilvl w:val="0"/>
                <w:numId w:val="22"/>
              </w:numPr>
              <w:jc w:val="center"/>
              <w:rPr>
                <w:color w:val="000000"/>
                <w:sz w:val="20"/>
                <w:szCs w:val="20"/>
              </w:rPr>
            </w:pPr>
          </w:p>
        </w:tc>
        <w:tc>
          <w:tcPr>
            <w:tcW w:w="1979" w:type="pct"/>
          </w:tcPr>
          <w:p w:rsidR="00F22344" w:rsidRPr="00036A98" w:rsidP="00BC4485">
            <w:pPr>
              <w:rPr>
                <w:bCs/>
                <w:color w:val="000000"/>
                <w:sz w:val="20"/>
                <w:szCs w:val="20"/>
              </w:rPr>
            </w:pPr>
            <w:r w:rsidRPr="00036A98">
              <w:rPr>
                <w:color w:val="000000"/>
                <w:sz w:val="20"/>
              </w:rPr>
              <w:t>Bulgarian Railway Company AD (BRC)</w:t>
            </w:r>
          </w:p>
        </w:tc>
        <w:tc>
          <w:tcPr>
            <w:tcW w:w="1030" w:type="pct"/>
          </w:tcPr>
          <w:p w:rsidR="00F22344" w:rsidRPr="00036A98" w:rsidP="00BC4485">
            <w:pPr>
              <w:jc w:val="center"/>
              <w:rPr>
                <w:sz w:val="16"/>
                <w:szCs w:val="18"/>
              </w:rPr>
            </w:pPr>
            <w:r w:rsidRPr="00036A98">
              <w:rPr>
                <w:color w:val="000000"/>
                <w:sz w:val="16"/>
              </w:rPr>
              <w:t>RU for freight transport</w:t>
            </w:r>
          </w:p>
        </w:tc>
        <w:tc>
          <w:tcPr>
            <w:tcW w:w="1764" w:type="pct"/>
          </w:tcPr>
          <w:p w:rsidR="00004383" w:rsidRPr="00036A98" w:rsidP="00BC4485">
            <w:pPr>
              <w:jc w:val="center"/>
              <w:rPr>
                <w:sz w:val="12"/>
              </w:rPr>
            </w:pPr>
            <w:r w:rsidRPr="00036A98">
              <w:rPr>
                <w:sz w:val="18"/>
              </w:rPr>
              <w:t>between 13 February 2017 and 24 February 2017</w:t>
            </w:r>
          </w:p>
          <w:p w:rsidR="00F22344" w:rsidRPr="00036A98" w:rsidP="00BC4485">
            <w:pPr>
              <w:jc w:val="center"/>
              <w:rPr>
                <w:bCs/>
                <w:sz w:val="18"/>
                <w:szCs w:val="17"/>
              </w:rPr>
            </w:pPr>
            <w:r w:rsidRPr="00036A98">
              <w:rPr>
                <w:sz w:val="18"/>
              </w:rPr>
              <w:t>between 21 August 2017 and 31 August 2017</w:t>
            </w:r>
          </w:p>
        </w:tc>
      </w:tr>
      <w:tr w:rsidTr="00BC4485">
        <w:tblPrEx>
          <w:tblW w:w="5000" w:type="pct"/>
          <w:tblLook w:val="04A0"/>
        </w:tblPrEx>
        <w:trPr>
          <w:trHeight w:val="340"/>
        </w:trPr>
        <w:tc>
          <w:tcPr>
            <w:tcW w:w="227" w:type="pct"/>
          </w:tcPr>
          <w:p w:rsidR="00F22344" w:rsidRPr="00036A98" w:rsidP="00EF1E96">
            <w:pPr>
              <w:pStyle w:val="ListParagraph"/>
              <w:numPr>
                <w:ilvl w:val="0"/>
                <w:numId w:val="22"/>
              </w:numPr>
              <w:jc w:val="center"/>
              <w:rPr>
                <w:color w:val="000000"/>
                <w:sz w:val="20"/>
                <w:szCs w:val="20"/>
              </w:rPr>
            </w:pPr>
          </w:p>
        </w:tc>
        <w:tc>
          <w:tcPr>
            <w:tcW w:w="1979" w:type="pct"/>
          </w:tcPr>
          <w:p w:rsidR="00F22344" w:rsidRPr="00036A98" w:rsidP="007B2924">
            <w:pPr>
              <w:rPr>
                <w:bCs/>
                <w:color w:val="000000"/>
                <w:sz w:val="20"/>
                <w:szCs w:val="20"/>
              </w:rPr>
            </w:pPr>
            <w:r w:rsidRPr="00036A98">
              <w:rPr>
                <w:color w:val="000000"/>
                <w:sz w:val="20"/>
              </w:rPr>
              <w:t>‘BDZ Freight Services‘ Ltd. (BDZ-FS)</w:t>
            </w:r>
          </w:p>
        </w:tc>
        <w:tc>
          <w:tcPr>
            <w:tcW w:w="1030" w:type="pct"/>
          </w:tcPr>
          <w:p w:rsidR="00F22344" w:rsidRPr="00036A98" w:rsidP="007B2924">
            <w:pPr>
              <w:jc w:val="center"/>
              <w:rPr>
                <w:sz w:val="16"/>
                <w:szCs w:val="18"/>
              </w:rPr>
            </w:pPr>
            <w:r w:rsidRPr="00036A98">
              <w:rPr>
                <w:color w:val="000000"/>
                <w:sz w:val="16"/>
              </w:rPr>
              <w:t>RU for freight transport</w:t>
            </w:r>
          </w:p>
        </w:tc>
        <w:tc>
          <w:tcPr>
            <w:tcW w:w="1764" w:type="pct"/>
          </w:tcPr>
          <w:p w:rsidR="00F22344" w:rsidRPr="00036A98" w:rsidP="00495602">
            <w:pPr>
              <w:jc w:val="center"/>
              <w:rPr>
                <w:sz w:val="18"/>
              </w:rPr>
            </w:pPr>
            <w:r w:rsidRPr="00036A98">
              <w:rPr>
                <w:sz w:val="18"/>
              </w:rPr>
              <w:t>between 23 January 2017 and 3 February 2017</w:t>
            </w:r>
          </w:p>
          <w:p w:rsidR="003A3611" w:rsidRPr="00036A98" w:rsidP="00495602">
            <w:pPr>
              <w:jc w:val="center"/>
              <w:rPr>
                <w:bCs/>
                <w:sz w:val="18"/>
                <w:szCs w:val="17"/>
              </w:rPr>
            </w:pPr>
            <w:r w:rsidRPr="00036A98">
              <w:rPr>
                <w:sz w:val="18"/>
              </w:rPr>
              <w:t>between 6 November 2017 and 30 November 2017</w:t>
            </w:r>
          </w:p>
        </w:tc>
      </w:tr>
      <w:tr w:rsidTr="00BC4485">
        <w:tblPrEx>
          <w:tblW w:w="5000" w:type="pct"/>
          <w:tblLook w:val="04A0"/>
        </w:tblPrEx>
        <w:trPr>
          <w:trHeight w:val="340"/>
        </w:trPr>
        <w:tc>
          <w:tcPr>
            <w:tcW w:w="227" w:type="pct"/>
          </w:tcPr>
          <w:p w:rsidR="00F22344" w:rsidRPr="00036A98" w:rsidP="00EF1E96">
            <w:pPr>
              <w:pStyle w:val="ListParagraph"/>
              <w:numPr>
                <w:ilvl w:val="0"/>
                <w:numId w:val="22"/>
              </w:numPr>
              <w:jc w:val="center"/>
              <w:rPr>
                <w:color w:val="000000"/>
                <w:sz w:val="20"/>
                <w:szCs w:val="20"/>
              </w:rPr>
            </w:pPr>
          </w:p>
        </w:tc>
        <w:tc>
          <w:tcPr>
            <w:tcW w:w="1979" w:type="pct"/>
          </w:tcPr>
          <w:p w:rsidR="00F22344" w:rsidRPr="00036A98" w:rsidP="007B2924">
            <w:pPr>
              <w:rPr>
                <w:bCs/>
                <w:color w:val="000000"/>
                <w:sz w:val="20"/>
                <w:szCs w:val="20"/>
              </w:rPr>
            </w:pPr>
            <w:r w:rsidRPr="00036A98">
              <w:rPr>
                <w:color w:val="000000"/>
                <w:sz w:val="20"/>
              </w:rPr>
              <w:t>PIMK Rail PLS</w:t>
            </w:r>
          </w:p>
        </w:tc>
        <w:tc>
          <w:tcPr>
            <w:tcW w:w="1030" w:type="pct"/>
          </w:tcPr>
          <w:p w:rsidR="00F22344" w:rsidRPr="00036A98" w:rsidP="007B2924">
            <w:pPr>
              <w:jc w:val="center"/>
              <w:rPr>
                <w:sz w:val="16"/>
                <w:szCs w:val="18"/>
              </w:rPr>
            </w:pPr>
            <w:r w:rsidRPr="00036A98">
              <w:rPr>
                <w:color w:val="000000"/>
                <w:sz w:val="16"/>
              </w:rPr>
              <w:t>RU for freight transport</w:t>
            </w:r>
          </w:p>
        </w:tc>
        <w:tc>
          <w:tcPr>
            <w:tcW w:w="1764" w:type="pct"/>
          </w:tcPr>
          <w:p w:rsidR="009069A9" w:rsidRPr="00036A98" w:rsidP="00495602">
            <w:pPr>
              <w:jc w:val="center"/>
              <w:rPr>
                <w:sz w:val="18"/>
              </w:rPr>
            </w:pPr>
            <w:r w:rsidRPr="00036A98">
              <w:rPr>
                <w:sz w:val="18"/>
              </w:rPr>
              <w:t>between 13 March 2017 and 24 March 2017</w:t>
            </w:r>
          </w:p>
          <w:p w:rsidR="00F22344" w:rsidRPr="00036A98" w:rsidP="00495602">
            <w:pPr>
              <w:jc w:val="center"/>
              <w:rPr>
                <w:sz w:val="18"/>
              </w:rPr>
            </w:pPr>
            <w:r w:rsidRPr="00036A98">
              <w:rPr>
                <w:sz w:val="18"/>
              </w:rPr>
              <w:t>between 18 September 2017 and 21 September 2017</w:t>
            </w:r>
          </w:p>
        </w:tc>
      </w:tr>
      <w:tr w:rsidTr="00BC4485">
        <w:tblPrEx>
          <w:tblW w:w="5000" w:type="pct"/>
          <w:tblLook w:val="04A0"/>
        </w:tblPrEx>
        <w:trPr>
          <w:trHeight w:val="340"/>
        </w:trPr>
        <w:tc>
          <w:tcPr>
            <w:tcW w:w="227" w:type="pct"/>
          </w:tcPr>
          <w:p w:rsidR="00F22344" w:rsidRPr="00036A98" w:rsidP="00EF1E96">
            <w:pPr>
              <w:pStyle w:val="ListParagraph"/>
              <w:numPr>
                <w:ilvl w:val="0"/>
                <w:numId w:val="22"/>
              </w:numPr>
              <w:jc w:val="center"/>
              <w:rPr>
                <w:color w:val="000000"/>
                <w:sz w:val="20"/>
                <w:szCs w:val="20"/>
              </w:rPr>
            </w:pPr>
          </w:p>
        </w:tc>
        <w:tc>
          <w:tcPr>
            <w:tcW w:w="1979" w:type="pct"/>
            <w:hideMark/>
          </w:tcPr>
          <w:p w:rsidR="00F22344" w:rsidRPr="00036A98" w:rsidP="007B2924">
            <w:pPr>
              <w:rPr>
                <w:bCs/>
                <w:color w:val="000000"/>
                <w:sz w:val="20"/>
                <w:szCs w:val="20"/>
              </w:rPr>
            </w:pPr>
            <w:r w:rsidRPr="00036A98">
              <w:rPr>
                <w:color w:val="000000"/>
                <w:sz w:val="20"/>
              </w:rPr>
              <w:t>DB Cargo Bulgaria EOOD</w:t>
            </w:r>
          </w:p>
        </w:tc>
        <w:tc>
          <w:tcPr>
            <w:tcW w:w="1030" w:type="pct"/>
            <w:hideMark/>
          </w:tcPr>
          <w:p w:rsidR="00F22344" w:rsidRPr="00036A98" w:rsidP="007B2924">
            <w:pPr>
              <w:jc w:val="center"/>
              <w:rPr>
                <w:sz w:val="16"/>
                <w:szCs w:val="18"/>
              </w:rPr>
            </w:pPr>
            <w:r w:rsidRPr="00036A98">
              <w:rPr>
                <w:color w:val="000000"/>
                <w:sz w:val="16"/>
              </w:rPr>
              <w:t>RU for freight transport</w:t>
            </w:r>
          </w:p>
        </w:tc>
        <w:tc>
          <w:tcPr>
            <w:tcW w:w="1764" w:type="pct"/>
          </w:tcPr>
          <w:p w:rsidR="00D93FE2" w:rsidRPr="00036A98" w:rsidP="00495602">
            <w:pPr>
              <w:jc w:val="center"/>
              <w:rPr>
                <w:sz w:val="18"/>
              </w:rPr>
            </w:pPr>
            <w:r w:rsidRPr="00036A98">
              <w:rPr>
                <w:sz w:val="18"/>
              </w:rPr>
              <w:t>between 13 February 2017 and 24 February 2017</w:t>
            </w:r>
          </w:p>
          <w:p w:rsidR="00D93FE2" w:rsidRPr="00036A98" w:rsidP="00495602">
            <w:pPr>
              <w:jc w:val="center"/>
              <w:rPr>
                <w:sz w:val="18"/>
              </w:rPr>
            </w:pPr>
            <w:r w:rsidRPr="00036A98">
              <w:rPr>
                <w:sz w:val="18"/>
              </w:rPr>
              <w:t>between 14 August 2017 and 18 August 2017</w:t>
            </w:r>
          </w:p>
        </w:tc>
      </w:tr>
      <w:tr w:rsidTr="00BC4485">
        <w:tblPrEx>
          <w:tblW w:w="5000" w:type="pct"/>
          <w:tblLook w:val="04A0"/>
        </w:tblPrEx>
        <w:trPr>
          <w:trHeight w:val="340"/>
        </w:trPr>
        <w:tc>
          <w:tcPr>
            <w:tcW w:w="227" w:type="pct"/>
          </w:tcPr>
          <w:p w:rsidR="00F22344" w:rsidRPr="00036A98" w:rsidP="00EF1E96">
            <w:pPr>
              <w:pStyle w:val="ListParagraph"/>
              <w:numPr>
                <w:ilvl w:val="0"/>
                <w:numId w:val="22"/>
              </w:numPr>
              <w:jc w:val="center"/>
              <w:rPr>
                <w:color w:val="000000"/>
                <w:sz w:val="20"/>
                <w:szCs w:val="20"/>
              </w:rPr>
            </w:pPr>
          </w:p>
        </w:tc>
        <w:tc>
          <w:tcPr>
            <w:tcW w:w="1979" w:type="pct"/>
            <w:hideMark/>
          </w:tcPr>
          <w:p w:rsidR="00F22344" w:rsidRPr="00036A98" w:rsidP="007B2924">
            <w:pPr>
              <w:rPr>
                <w:bCs/>
                <w:color w:val="000000"/>
                <w:sz w:val="20"/>
                <w:szCs w:val="20"/>
              </w:rPr>
            </w:pPr>
            <w:r w:rsidRPr="00036A98">
              <w:rPr>
                <w:color w:val="000000"/>
                <w:sz w:val="20"/>
              </w:rPr>
              <w:t>BULMARKET RAIL CARGO</w:t>
            </w:r>
          </w:p>
        </w:tc>
        <w:tc>
          <w:tcPr>
            <w:tcW w:w="1030" w:type="pct"/>
            <w:hideMark/>
          </w:tcPr>
          <w:p w:rsidR="00F22344" w:rsidRPr="00036A98" w:rsidP="007B2924">
            <w:pPr>
              <w:jc w:val="center"/>
              <w:rPr>
                <w:sz w:val="16"/>
                <w:szCs w:val="18"/>
              </w:rPr>
            </w:pPr>
            <w:r w:rsidRPr="00036A98">
              <w:rPr>
                <w:color w:val="000000"/>
                <w:sz w:val="16"/>
              </w:rPr>
              <w:t>RU for freight transport</w:t>
            </w:r>
          </w:p>
        </w:tc>
        <w:tc>
          <w:tcPr>
            <w:tcW w:w="1764" w:type="pct"/>
          </w:tcPr>
          <w:p w:rsidR="00F22344" w:rsidRPr="00036A98" w:rsidP="00495602">
            <w:pPr>
              <w:jc w:val="center"/>
              <w:rPr>
                <w:sz w:val="18"/>
              </w:rPr>
            </w:pPr>
            <w:r w:rsidRPr="00036A98">
              <w:rPr>
                <w:sz w:val="18"/>
              </w:rPr>
              <w:t>between 13 February 2017 and 24 February 2017</w:t>
            </w:r>
          </w:p>
          <w:p w:rsidR="00D93FE2" w:rsidRPr="00036A98" w:rsidP="00495602">
            <w:pPr>
              <w:jc w:val="center"/>
              <w:rPr>
                <w:sz w:val="18"/>
              </w:rPr>
            </w:pPr>
            <w:r w:rsidRPr="00036A98">
              <w:rPr>
                <w:sz w:val="18"/>
              </w:rPr>
              <w:t>between 10 April 2017 and 21 April 2017</w:t>
            </w:r>
          </w:p>
          <w:p w:rsidR="00D93FE2" w:rsidRPr="00036A98" w:rsidP="00495602">
            <w:pPr>
              <w:jc w:val="center"/>
              <w:rPr>
                <w:sz w:val="18"/>
              </w:rPr>
            </w:pPr>
            <w:r w:rsidRPr="00036A98">
              <w:rPr>
                <w:sz w:val="18"/>
              </w:rPr>
              <w:t>between 1 September 2017 and 8 September 2017</w:t>
            </w:r>
          </w:p>
        </w:tc>
      </w:tr>
      <w:tr w:rsidTr="00BC4485">
        <w:tblPrEx>
          <w:tblW w:w="5000" w:type="pct"/>
          <w:tblLook w:val="04A0"/>
        </w:tblPrEx>
        <w:trPr>
          <w:trHeight w:val="340"/>
        </w:trPr>
        <w:tc>
          <w:tcPr>
            <w:tcW w:w="227" w:type="pct"/>
          </w:tcPr>
          <w:p w:rsidR="00F22344" w:rsidRPr="00036A98" w:rsidP="00EF1E96">
            <w:pPr>
              <w:pStyle w:val="ListParagraph"/>
              <w:numPr>
                <w:ilvl w:val="0"/>
                <w:numId w:val="22"/>
              </w:numPr>
              <w:jc w:val="center"/>
              <w:rPr>
                <w:color w:val="000000"/>
                <w:sz w:val="20"/>
                <w:szCs w:val="20"/>
              </w:rPr>
            </w:pPr>
          </w:p>
        </w:tc>
        <w:tc>
          <w:tcPr>
            <w:tcW w:w="1979" w:type="pct"/>
            <w:hideMark/>
          </w:tcPr>
          <w:p w:rsidR="00F22344" w:rsidRPr="00036A98" w:rsidP="007B2924">
            <w:pPr>
              <w:rPr>
                <w:bCs/>
                <w:color w:val="000000"/>
                <w:sz w:val="20"/>
                <w:szCs w:val="20"/>
              </w:rPr>
            </w:pPr>
            <w:r w:rsidRPr="00036A98">
              <w:rPr>
                <w:color w:val="000000"/>
                <w:sz w:val="20"/>
              </w:rPr>
              <w:t>Port Rail Ltd.</w:t>
            </w:r>
          </w:p>
        </w:tc>
        <w:tc>
          <w:tcPr>
            <w:tcW w:w="1030" w:type="pct"/>
            <w:hideMark/>
          </w:tcPr>
          <w:p w:rsidR="00F22344" w:rsidRPr="00036A98" w:rsidP="007B2924">
            <w:pPr>
              <w:jc w:val="center"/>
              <w:rPr>
                <w:sz w:val="16"/>
                <w:szCs w:val="18"/>
              </w:rPr>
            </w:pPr>
            <w:r w:rsidRPr="00036A98">
              <w:rPr>
                <w:color w:val="000000"/>
                <w:sz w:val="16"/>
              </w:rPr>
              <w:t>RU for freight transport</w:t>
            </w:r>
          </w:p>
        </w:tc>
        <w:tc>
          <w:tcPr>
            <w:tcW w:w="1764" w:type="pct"/>
          </w:tcPr>
          <w:p w:rsidR="00D93FE2" w:rsidRPr="00036A98" w:rsidP="00495602">
            <w:pPr>
              <w:jc w:val="center"/>
              <w:rPr>
                <w:sz w:val="18"/>
              </w:rPr>
            </w:pPr>
            <w:r w:rsidRPr="00036A98">
              <w:rPr>
                <w:sz w:val="18"/>
              </w:rPr>
              <w:t>between 24 April 2017 and 28 April 2017</w:t>
            </w:r>
          </w:p>
          <w:p w:rsidR="00F22344" w:rsidRPr="00036A98" w:rsidP="00495602">
            <w:pPr>
              <w:jc w:val="center"/>
              <w:rPr>
                <w:sz w:val="18"/>
              </w:rPr>
            </w:pPr>
            <w:r w:rsidRPr="00036A98">
              <w:rPr>
                <w:sz w:val="18"/>
              </w:rPr>
              <w:t>between 25 September 2017 and 29 September 2017</w:t>
            </w:r>
          </w:p>
        </w:tc>
      </w:tr>
      <w:tr w:rsidTr="00BC4485">
        <w:tblPrEx>
          <w:tblW w:w="5000" w:type="pct"/>
          <w:tblLook w:val="04A0"/>
        </w:tblPrEx>
        <w:trPr>
          <w:trHeight w:val="340"/>
        </w:trPr>
        <w:tc>
          <w:tcPr>
            <w:tcW w:w="227" w:type="pct"/>
          </w:tcPr>
          <w:p w:rsidR="00F22344" w:rsidRPr="00036A98" w:rsidP="00EF1E96">
            <w:pPr>
              <w:pStyle w:val="ListParagraph"/>
              <w:numPr>
                <w:ilvl w:val="0"/>
                <w:numId w:val="22"/>
              </w:numPr>
              <w:jc w:val="center"/>
              <w:rPr>
                <w:color w:val="000000"/>
                <w:sz w:val="20"/>
                <w:szCs w:val="20"/>
              </w:rPr>
            </w:pPr>
          </w:p>
        </w:tc>
        <w:tc>
          <w:tcPr>
            <w:tcW w:w="1979" w:type="pct"/>
          </w:tcPr>
          <w:p w:rsidR="00F22344" w:rsidRPr="00036A98" w:rsidP="007B2924">
            <w:pPr>
              <w:rPr>
                <w:bCs/>
                <w:color w:val="000000"/>
                <w:sz w:val="20"/>
                <w:szCs w:val="20"/>
              </w:rPr>
            </w:pPr>
            <w:r w:rsidRPr="00036A98">
              <w:rPr>
                <w:color w:val="000000"/>
                <w:sz w:val="20"/>
              </w:rPr>
              <w:t>TBD–TOVARNI PREVOZI JSC (TBD-TP)</w:t>
            </w:r>
          </w:p>
        </w:tc>
        <w:tc>
          <w:tcPr>
            <w:tcW w:w="1030" w:type="pct"/>
          </w:tcPr>
          <w:p w:rsidR="00F22344" w:rsidRPr="00036A98" w:rsidP="007B2924">
            <w:pPr>
              <w:jc w:val="center"/>
              <w:rPr>
                <w:sz w:val="16"/>
                <w:szCs w:val="18"/>
              </w:rPr>
            </w:pPr>
            <w:r w:rsidRPr="00036A98">
              <w:rPr>
                <w:color w:val="000000"/>
                <w:sz w:val="16"/>
              </w:rPr>
              <w:t>RU for freight transport</w:t>
            </w:r>
          </w:p>
        </w:tc>
        <w:tc>
          <w:tcPr>
            <w:tcW w:w="1764" w:type="pct"/>
          </w:tcPr>
          <w:p w:rsidR="00F22344" w:rsidRPr="00036A98" w:rsidP="00495602">
            <w:pPr>
              <w:jc w:val="center"/>
              <w:rPr>
                <w:sz w:val="18"/>
              </w:rPr>
            </w:pPr>
            <w:r w:rsidRPr="00036A98">
              <w:rPr>
                <w:sz w:val="18"/>
              </w:rPr>
              <w:t>between 13 February 2017 and 24 February 2017</w:t>
            </w:r>
          </w:p>
          <w:p w:rsidR="00D93FE2" w:rsidRPr="00036A98" w:rsidP="00495602">
            <w:pPr>
              <w:jc w:val="center"/>
              <w:rPr>
                <w:bCs/>
                <w:sz w:val="18"/>
                <w:szCs w:val="17"/>
              </w:rPr>
            </w:pPr>
            <w:r w:rsidRPr="00036A98">
              <w:rPr>
                <w:sz w:val="18"/>
              </w:rPr>
              <w:t>between 11 September 2017 and 15 September 2017</w:t>
            </w:r>
          </w:p>
        </w:tc>
      </w:tr>
      <w:tr w:rsidTr="00BC4485">
        <w:tblPrEx>
          <w:tblW w:w="5000" w:type="pct"/>
          <w:tblLook w:val="04A0"/>
        </w:tblPrEx>
        <w:trPr>
          <w:trHeight w:val="155"/>
        </w:trPr>
        <w:tc>
          <w:tcPr>
            <w:tcW w:w="227" w:type="pct"/>
          </w:tcPr>
          <w:p w:rsidR="00F22344" w:rsidRPr="00036A98" w:rsidP="00EF1E96">
            <w:pPr>
              <w:pStyle w:val="ListParagraph"/>
              <w:numPr>
                <w:ilvl w:val="0"/>
                <w:numId w:val="22"/>
              </w:numPr>
              <w:jc w:val="center"/>
              <w:rPr>
                <w:color w:val="000000"/>
                <w:sz w:val="20"/>
                <w:szCs w:val="20"/>
              </w:rPr>
            </w:pPr>
          </w:p>
        </w:tc>
        <w:tc>
          <w:tcPr>
            <w:tcW w:w="1979" w:type="pct"/>
          </w:tcPr>
          <w:p w:rsidR="00F22344" w:rsidRPr="00036A98" w:rsidP="007B2924">
            <w:pPr>
              <w:rPr>
                <w:bCs/>
                <w:color w:val="000000"/>
                <w:sz w:val="20"/>
                <w:szCs w:val="20"/>
              </w:rPr>
            </w:pPr>
            <w:r w:rsidRPr="00036A98">
              <w:rPr>
                <w:color w:val="000000"/>
                <w:sz w:val="20"/>
              </w:rPr>
              <w:t>Rail Cargo Carrier–Bulgaria EOOD</w:t>
            </w:r>
          </w:p>
        </w:tc>
        <w:tc>
          <w:tcPr>
            <w:tcW w:w="1030" w:type="pct"/>
          </w:tcPr>
          <w:p w:rsidR="00F22344" w:rsidRPr="00036A98" w:rsidP="007B2924">
            <w:pPr>
              <w:jc w:val="center"/>
              <w:rPr>
                <w:sz w:val="16"/>
                <w:szCs w:val="18"/>
              </w:rPr>
            </w:pPr>
            <w:r w:rsidRPr="00036A98">
              <w:rPr>
                <w:color w:val="000000"/>
                <w:sz w:val="16"/>
              </w:rPr>
              <w:t>RU for freight transport</w:t>
            </w:r>
          </w:p>
        </w:tc>
        <w:tc>
          <w:tcPr>
            <w:tcW w:w="1764" w:type="pct"/>
          </w:tcPr>
          <w:p w:rsidR="00F22344" w:rsidRPr="00036A98" w:rsidP="00495602">
            <w:pPr>
              <w:jc w:val="center"/>
              <w:rPr>
                <w:bCs/>
                <w:sz w:val="18"/>
                <w:szCs w:val="17"/>
              </w:rPr>
            </w:pPr>
            <w:r w:rsidRPr="00036A98">
              <w:rPr>
                <w:sz w:val="18"/>
              </w:rPr>
              <w:t>between 28 August 2017 and 1 September 2017</w:t>
            </w:r>
          </w:p>
        </w:tc>
      </w:tr>
      <w:tr w:rsidTr="00BC4485">
        <w:tblPrEx>
          <w:tblW w:w="5000" w:type="pct"/>
          <w:tblLook w:val="04A0"/>
        </w:tblPrEx>
        <w:trPr>
          <w:trHeight w:val="216"/>
        </w:trPr>
        <w:tc>
          <w:tcPr>
            <w:tcW w:w="227" w:type="pct"/>
          </w:tcPr>
          <w:p w:rsidR="00F22344" w:rsidRPr="00036A98" w:rsidP="00EF1E96">
            <w:pPr>
              <w:pStyle w:val="ListParagraph"/>
              <w:numPr>
                <w:ilvl w:val="0"/>
                <w:numId w:val="22"/>
              </w:numPr>
              <w:jc w:val="center"/>
              <w:rPr>
                <w:color w:val="000000"/>
                <w:sz w:val="20"/>
                <w:szCs w:val="20"/>
              </w:rPr>
            </w:pPr>
          </w:p>
        </w:tc>
        <w:tc>
          <w:tcPr>
            <w:tcW w:w="1979" w:type="pct"/>
          </w:tcPr>
          <w:p w:rsidR="00F22344" w:rsidRPr="00036A98" w:rsidP="007B2924">
            <w:pPr>
              <w:rPr>
                <w:bCs/>
                <w:color w:val="000000"/>
                <w:sz w:val="20"/>
                <w:szCs w:val="20"/>
              </w:rPr>
            </w:pPr>
            <w:r w:rsidRPr="00036A98">
              <w:rPr>
                <w:color w:val="000000"/>
                <w:sz w:val="20"/>
              </w:rPr>
              <w:t>EXPRESS SERVICE LTD.</w:t>
            </w:r>
          </w:p>
        </w:tc>
        <w:tc>
          <w:tcPr>
            <w:tcW w:w="1030" w:type="pct"/>
          </w:tcPr>
          <w:p w:rsidR="00F22344" w:rsidRPr="00036A98" w:rsidP="007B2924">
            <w:pPr>
              <w:jc w:val="center"/>
              <w:rPr>
                <w:sz w:val="16"/>
                <w:szCs w:val="18"/>
              </w:rPr>
            </w:pPr>
            <w:r w:rsidRPr="00036A98">
              <w:rPr>
                <w:color w:val="000000"/>
                <w:sz w:val="16"/>
              </w:rPr>
              <w:t>RU for freight transport</w:t>
            </w:r>
          </w:p>
        </w:tc>
        <w:tc>
          <w:tcPr>
            <w:tcW w:w="1764" w:type="pct"/>
          </w:tcPr>
          <w:p w:rsidR="00F22344" w:rsidRPr="00036A98" w:rsidP="00495602">
            <w:pPr>
              <w:jc w:val="center"/>
              <w:rPr>
                <w:bCs/>
                <w:sz w:val="18"/>
                <w:szCs w:val="17"/>
              </w:rPr>
            </w:pPr>
            <w:r w:rsidRPr="00036A98">
              <w:rPr>
                <w:sz w:val="18"/>
              </w:rPr>
              <w:t>between 13 February 2017 and 24 February 2017</w:t>
            </w:r>
          </w:p>
        </w:tc>
      </w:tr>
      <w:tr w:rsidTr="00BC4485">
        <w:tblPrEx>
          <w:tblW w:w="5000" w:type="pct"/>
          <w:tblLook w:val="04A0"/>
        </w:tblPrEx>
        <w:trPr>
          <w:trHeight w:val="149"/>
        </w:trPr>
        <w:tc>
          <w:tcPr>
            <w:tcW w:w="227" w:type="pct"/>
          </w:tcPr>
          <w:p w:rsidR="00F22344" w:rsidRPr="00036A98" w:rsidP="00EF1E96">
            <w:pPr>
              <w:pStyle w:val="ListParagraph"/>
              <w:numPr>
                <w:ilvl w:val="0"/>
                <w:numId w:val="22"/>
              </w:numPr>
              <w:jc w:val="center"/>
              <w:rPr>
                <w:color w:val="000000"/>
                <w:sz w:val="20"/>
                <w:szCs w:val="20"/>
              </w:rPr>
            </w:pPr>
          </w:p>
        </w:tc>
        <w:tc>
          <w:tcPr>
            <w:tcW w:w="1979" w:type="pct"/>
          </w:tcPr>
          <w:p w:rsidR="00F22344" w:rsidRPr="00036A98" w:rsidP="007B2924">
            <w:pPr>
              <w:rPr>
                <w:bCs/>
                <w:color w:val="000000"/>
                <w:sz w:val="20"/>
                <w:szCs w:val="20"/>
              </w:rPr>
            </w:pPr>
            <w:r w:rsidRPr="00036A98">
              <w:rPr>
                <w:color w:val="000000"/>
                <w:sz w:val="20"/>
              </w:rPr>
              <w:t>’BDZ Passenger Services’ Ltd. (BDZ-PS)</w:t>
            </w:r>
          </w:p>
        </w:tc>
        <w:tc>
          <w:tcPr>
            <w:tcW w:w="1030" w:type="pct"/>
          </w:tcPr>
          <w:p w:rsidR="00F22344" w:rsidRPr="00036A98" w:rsidP="007B2924">
            <w:pPr>
              <w:jc w:val="center"/>
              <w:rPr>
                <w:sz w:val="16"/>
                <w:szCs w:val="18"/>
              </w:rPr>
            </w:pPr>
            <w:r w:rsidRPr="00036A98">
              <w:rPr>
                <w:color w:val="000000"/>
                <w:sz w:val="16"/>
              </w:rPr>
              <w:t>RU for passenger transport</w:t>
            </w:r>
          </w:p>
        </w:tc>
        <w:tc>
          <w:tcPr>
            <w:tcW w:w="1764" w:type="pct"/>
          </w:tcPr>
          <w:p w:rsidR="00F22344" w:rsidRPr="00036A98" w:rsidP="00495602">
            <w:pPr>
              <w:jc w:val="center"/>
              <w:rPr>
                <w:sz w:val="18"/>
                <w:szCs w:val="17"/>
              </w:rPr>
            </w:pPr>
            <w:r w:rsidRPr="00036A98">
              <w:rPr>
                <w:sz w:val="18"/>
              </w:rPr>
              <w:t>between 14 November 2017 and 30 November 2017</w:t>
            </w:r>
          </w:p>
        </w:tc>
      </w:tr>
    </w:tbl>
    <w:p w:rsidR="00C602E8" w:rsidRPr="00036A98" w:rsidP="007B2924">
      <w:pPr>
        <w:ind w:firstLine="567"/>
        <w:jc w:val="both"/>
        <w:rPr>
          <w:rFonts w:eastAsia="Calibri"/>
          <w:noProof w:val="0"/>
          <w:highlight w:val="yellow"/>
        </w:rPr>
      </w:pPr>
    </w:p>
    <w:p w:rsidR="00F25C33" w:rsidRPr="00036A98" w:rsidP="007B2924">
      <w:pPr>
        <w:ind w:firstLine="567"/>
        <w:jc w:val="both"/>
        <w:rPr>
          <w:rFonts w:eastAsia="Calibri"/>
          <w:noProof w:val="0"/>
        </w:rPr>
      </w:pPr>
      <w:r w:rsidRPr="00036A98">
        <w:t xml:space="preserve">The SMS audits of the NRIC SE, Bulgarian Railway Company AD, BDZ Freight Services, DB Cargo Bulgaria EOOD, BULMARKET RAIL CARGO, GASTRADE S.A., TBD–TOVARNI PREVOZI JSC, Rail Cargo Carrier–Bulgaria EOOD and BDZ Passenger Services, in 2017, were conducted implementing the 2017 Annual Supervision Plan of the NSA of Bulgaria, while those of SE TRANSPORT CONSTRUCTION AND REHABILITATION, Port Rail Ltd., CARGO TRANS VAGON BULGARIA and EXPRESS SERVICE LTD. were related to freight transport SC renewal applications. Of these, only the SE TRANSPORT CONSTRUCTION AND REHABILITATION was not transporting, and, respectively, did not apply for transport of, dangerous goods (the previous SC included transport of dangerous goods). Only the audit of PIMK Rail PLS was related to an application for the issue of a new SC </w:t>
      </w:r>
      <w:r w:rsidRPr="00036A98">
        <w:rPr>
          <w:i/>
          <w:noProof w:val="0"/>
        </w:rPr>
        <w:t xml:space="preserve">(for more information, please </w:t>
      </w:r>
      <w:r w:rsidRPr="00036A98">
        <w:rPr>
          <w:i/>
          <w:noProof w:val="0"/>
        </w:rPr>
        <w:t>see</w:t>
      </w:r>
      <w:r w:rsidRPr="00036A98">
        <w:rPr>
          <w:b/>
          <w:i/>
          <w:noProof w:val="0"/>
        </w:rPr>
        <w:t>Section</w:t>
      </w:r>
      <w:r w:rsidRPr="00036A98">
        <w:rPr>
          <w:b/>
          <w:i/>
          <w:noProof w:val="0"/>
        </w:rPr>
        <w:t xml:space="preserve"> E.1</w:t>
      </w:r>
      <w:r w:rsidRPr="00036A98">
        <w:rPr>
          <w:i/>
          <w:noProof w:val="0"/>
        </w:rPr>
        <w:t>of the Report</w:t>
      </w:r>
      <w:r w:rsidRPr="00036A98">
        <w:t>).</w:t>
      </w:r>
    </w:p>
    <w:p w:rsidR="005B5772" w:rsidRPr="00036A98" w:rsidP="007B2924">
      <w:pPr>
        <w:ind w:firstLine="709"/>
        <w:jc w:val="both"/>
        <w:rPr>
          <w:rFonts w:eastAsia="Calibri"/>
          <w:noProof w:val="0"/>
        </w:rPr>
      </w:pPr>
    </w:p>
    <w:p w:rsidR="00EC5C89" w:rsidRPr="00036A98" w:rsidP="007B2924">
      <w:pPr>
        <w:ind w:firstLine="709"/>
        <w:jc w:val="both"/>
        <w:rPr>
          <w:rFonts w:eastAsia="Calibri"/>
          <w:noProof w:val="0"/>
        </w:rPr>
      </w:pPr>
      <w:r w:rsidRPr="00036A98">
        <w:t xml:space="preserve">In 2017, about 16–18 employees on the average took part in the supervisory SMS audits of the large and medium-sized RUs and the IM (NRIC SE) in Bulgaria, while, for the small RUs, between 6 and 12 RAEA DGRI employees were involved in this activity, for a total of about 3650 hours. So far, the NSA of Bulgaria has not used the services of external experts to exercise supervision of the SMSs of the certified RUs and the IM. </w:t>
      </w:r>
    </w:p>
    <w:p w:rsidR="00E325A6" w:rsidRPr="00036A98" w:rsidP="007B2924">
      <w:pPr>
        <w:ind w:firstLine="708"/>
        <w:jc w:val="both"/>
        <w:rPr>
          <w:rFonts w:eastAsia="Calibri"/>
          <w:noProof w:val="0"/>
        </w:rPr>
      </w:pPr>
      <w:r w:rsidRPr="00036A98">
        <w:t xml:space="preserve">In 2017, the NSA of Bulgaria, as certification authority for the PCMs of freight wagons and tractive rail vehicles (locomotives, EMUs/DMUs, SPSRVs, etc.), conducted a total of 22 audits of RUs holding RS PCM or maintenance function (MF) certificates or applying for new such certificates. Of these, 5 initial certification audits were conducted, including 1 of persons certified to perform the MF and 4 of certified persons in charge of the maintenance. </w:t>
      </w:r>
    </w:p>
    <w:p w:rsidR="00E325A6" w:rsidRPr="00036A98" w:rsidP="007B2924">
      <w:pPr>
        <w:ind w:firstLine="708"/>
        <w:jc w:val="both"/>
        <w:rPr>
          <w:rFonts w:eastAsia="Calibri"/>
          <w:noProof w:val="0"/>
        </w:rPr>
      </w:pPr>
      <w:r w:rsidRPr="00036A98">
        <w:t>4 certificate renewal audits were conducted, including 1 MF performance certificate renewal audit and 3 PCM certificate renewal audits. 1 certificate update audit was conducted—1 audit of a person performing a maintenance function and 0 audits of persons in charge of the maintenance.</w:t>
      </w:r>
    </w:p>
    <w:p w:rsidR="00E325A6" w:rsidRPr="00036A98" w:rsidP="007B2924">
      <w:pPr>
        <w:ind w:firstLine="708"/>
        <w:jc w:val="both"/>
        <w:rPr>
          <w:rFonts w:eastAsia="Calibri"/>
          <w:noProof w:val="0"/>
        </w:rPr>
      </w:pPr>
      <w:r w:rsidRPr="00036A98">
        <w:t xml:space="preserve">In 2017, implementing the Annual Supervision Plan of the RAEA, as certification authority of PCMs, a total of 17 annual audits of PCMs of vehicles were conducted. Between 4 and 9 auditors (DGRI employees) took part in these audits and were involved in this activity for a total of about 2750 hours. So far, the NSA of Bulgaria, as certification authority of PCMs, has not used the services of external experts to exercise supervision of PCMs. </w:t>
      </w:r>
    </w:p>
    <w:p w:rsidR="00EC5C89" w:rsidRPr="00036A98" w:rsidP="007B2924">
      <w:pPr>
        <w:ind w:firstLine="708"/>
        <w:jc w:val="both"/>
        <w:rPr>
          <w:rFonts w:eastAsia="Calibri"/>
          <w:noProof w:val="0"/>
        </w:rPr>
      </w:pPr>
      <w:r w:rsidRPr="00036A98">
        <w:t>In 2017, checks and inspections of railway undertakings and the Infrastructure Manager, related to their transport safety activities, were conducted, involving 14 inspectors from the Regional Railway Inspectorates working for about 9100 hours.</w:t>
      </w:r>
    </w:p>
    <w:p w:rsidR="00EC5C89" w:rsidRPr="00036A98" w:rsidP="00EF1E96">
      <w:pPr>
        <w:pStyle w:val="Heading1"/>
        <w:numPr>
          <w:ilvl w:val="0"/>
          <w:numId w:val="10"/>
        </w:numPr>
        <w:rPr>
          <w:rFonts w:eastAsia="Calibri"/>
        </w:rPr>
      </w:pPr>
      <w:bookmarkStart w:id="136" w:name="_Toc462235808"/>
      <w:bookmarkStart w:id="137" w:name="_Toc462754790"/>
      <w:bookmarkStart w:id="138" w:name="_Toc490231017"/>
      <w:bookmarkStart w:id="139" w:name="_Toc490231909"/>
      <w:bookmarkStart w:id="140" w:name="_Toc490232037"/>
      <w:bookmarkStart w:id="141" w:name="_Toc491352165"/>
      <w:bookmarkStart w:id="142" w:name="_Toc491788098"/>
      <w:bookmarkStart w:id="143" w:name="_Toc491789288"/>
      <w:bookmarkStart w:id="144" w:name="_Toc491791285"/>
      <w:bookmarkStart w:id="145" w:name="_Toc525214765"/>
      <w:r w:rsidRPr="00036A98">
        <w:t>Competence</w:t>
      </w:r>
      <w:bookmarkEnd w:id="136"/>
      <w:bookmarkEnd w:id="137"/>
      <w:bookmarkEnd w:id="138"/>
      <w:bookmarkEnd w:id="139"/>
      <w:bookmarkEnd w:id="140"/>
      <w:bookmarkEnd w:id="141"/>
      <w:bookmarkEnd w:id="142"/>
      <w:bookmarkEnd w:id="143"/>
      <w:bookmarkEnd w:id="144"/>
      <w:bookmarkEnd w:id="145"/>
    </w:p>
    <w:p w:rsidR="00EC5C89" w:rsidRPr="00036A98" w:rsidP="007B2924">
      <w:pPr>
        <w:ind w:firstLine="708"/>
        <w:jc w:val="both"/>
        <w:rPr>
          <w:rFonts w:eastAsia="Calibri"/>
          <w:noProof w:val="0"/>
        </w:rPr>
      </w:pPr>
      <w:r w:rsidRPr="00036A98">
        <w:t xml:space="preserve">The employees of the NSA of Bulgaria exercising control and supervision of RUs and the IM must have the required qualifications, related to the railway transport safety, in accordance with the requirements of Ordinance No 56 of 14 February 2003 on the requirements, conditions and procedure for the training of the candidates for the acquisition of qualifications required by the personnel responsible for the railway transport safety, or recognition of such qualifications, and the procedure for conducting examinations of personnel responsible for the transport safety. </w:t>
      </w:r>
    </w:p>
    <w:p w:rsidR="00D97CAE" w:rsidRPr="00036A98" w:rsidP="007B2924">
      <w:pPr>
        <w:ind w:firstLine="708"/>
        <w:jc w:val="both"/>
        <w:rPr>
          <w:rFonts w:eastAsia="Calibri"/>
          <w:noProof w:val="0"/>
        </w:rPr>
      </w:pPr>
      <w:r w:rsidRPr="00036A98">
        <w:t>In 2017, no trainings to enhance the supervisory competence and qualifications of the employees of the NSA were conducted.</w:t>
      </w:r>
    </w:p>
    <w:p w:rsidR="00EC5C89" w:rsidRPr="00036A98" w:rsidP="00EF1E96">
      <w:pPr>
        <w:pStyle w:val="Heading1"/>
        <w:numPr>
          <w:ilvl w:val="0"/>
          <w:numId w:val="10"/>
        </w:numPr>
        <w:rPr>
          <w:rFonts w:eastAsia="Calibri"/>
        </w:rPr>
      </w:pPr>
      <w:bookmarkStart w:id="146" w:name="_Toc462235809"/>
      <w:bookmarkStart w:id="147" w:name="_Toc462754791"/>
      <w:bookmarkStart w:id="148" w:name="_Toc490231018"/>
      <w:bookmarkStart w:id="149" w:name="_Toc490231910"/>
      <w:bookmarkStart w:id="150" w:name="_Toc490232038"/>
      <w:bookmarkStart w:id="151" w:name="_Toc491352166"/>
      <w:bookmarkStart w:id="152" w:name="_Toc491788099"/>
      <w:bookmarkStart w:id="153" w:name="_Toc491789289"/>
      <w:bookmarkStart w:id="154" w:name="_Toc491791286"/>
      <w:bookmarkStart w:id="155" w:name="_Toc525214766"/>
      <w:r w:rsidRPr="00036A98">
        <w:t>Decision-making</w:t>
      </w:r>
      <w:bookmarkEnd w:id="146"/>
      <w:bookmarkEnd w:id="147"/>
      <w:bookmarkEnd w:id="148"/>
      <w:bookmarkEnd w:id="149"/>
      <w:bookmarkEnd w:id="150"/>
      <w:bookmarkEnd w:id="151"/>
      <w:bookmarkEnd w:id="152"/>
      <w:bookmarkEnd w:id="153"/>
      <w:bookmarkEnd w:id="154"/>
      <w:bookmarkEnd w:id="155"/>
    </w:p>
    <w:p w:rsidR="00EC5C89" w:rsidRPr="00036A98" w:rsidP="007B2924">
      <w:pPr>
        <w:tabs>
          <w:tab w:val="left" w:pos="709"/>
        </w:tabs>
        <w:ind w:firstLine="360"/>
        <w:jc w:val="both"/>
        <w:rPr>
          <w:rFonts w:eastAsia="Calibri"/>
          <w:noProof w:val="0"/>
        </w:rPr>
      </w:pPr>
      <w:r w:rsidRPr="00036A98">
        <w:tab/>
        <w:t>Ordinance No 59 introduced the following supervision principles in accordance with Regulation (EU) No 1078/2012: 1) proportionality; 2) coordination; 3) purposefulness; 4) transparency; 5) priorities for efficient resource utilisation and 6) management responsibility and cooperation.</w:t>
      </w:r>
    </w:p>
    <w:p w:rsidR="00EC5C89" w:rsidRPr="00036A98" w:rsidP="007B2924">
      <w:pPr>
        <w:ind w:firstLine="708"/>
        <w:jc w:val="both"/>
        <w:rPr>
          <w:rFonts w:eastAsia="Calibri"/>
          <w:noProof w:val="0"/>
        </w:rPr>
      </w:pPr>
      <w:r w:rsidRPr="00036A98">
        <w:t>The audits conducted were focused on the verification of the operation of the Safety Management Systems of the railway undertakings and the Infrastructure Manager, as well as of rail vehicle maintenance management systems of the PCMs. For any identified non-conformities, recommendations are created with the respective time limits for implementation.</w:t>
      </w:r>
    </w:p>
    <w:p w:rsidR="00EC5C89" w:rsidRPr="00036A98" w:rsidP="007B2924">
      <w:pPr>
        <w:autoSpaceDE w:val="0"/>
        <w:autoSpaceDN w:val="0"/>
        <w:adjustRightInd w:val="0"/>
        <w:ind w:firstLine="708"/>
        <w:jc w:val="both"/>
        <w:rPr>
          <w:noProof w:val="0"/>
        </w:rPr>
      </w:pPr>
      <w:r w:rsidRPr="00036A98">
        <w:t xml:space="preserve">In the conducted checks/inspections of the railway infrastructure and carriers, the NSA issued instructions and actions were taken to bring sites of the railway infrastructure and rolling stock in conformity with the safety requirements. Upon identifying any faults endangering the transport safety, the NSA inspectors take the respective elements of the RI or RS out of service until the faults are cleared. The IM and the RUs were required to implement the instructions within the specified time limit. The implementation of the instructions and the removal of the non-conformities with the safety requirements are subject to follow-up control by the NSA. </w:t>
      </w:r>
    </w:p>
    <w:p w:rsidR="00EC5C89" w:rsidRPr="00036A98" w:rsidP="007B2924">
      <w:pPr>
        <w:autoSpaceDE w:val="0"/>
        <w:autoSpaceDN w:val="0"/>
        <w:adjustRightInd w:val="0"/>
        <w:ind w:firstLine="709"/>
        <w:jc w:val="both"/>
        <w:rPr>
          <w:noProof w:val="0"/>
        </w:rPr>
      </w:pPr>
      <w:r w:rsidRPr="00036A98">
        <w:t>Upon identifying any violations related to the transport safety, the NSA employees draw up administrative violation statements, in accordance with the Railway Transport Act. In 2017, 165 punitive orders were issued by the Executive Director of the RAEA, based on RTA violation statements drawn up by inspectors of the RAEA and employees of the Ministry of Interior.</w:t>
      </w:r>
    </w:p>
    <w:p w:rsidR="00EC5C89" w:rsidRPr="00036A98" w:rsidP="007B2924">
      <w:pPr>
        <w:ind w:firstLine="708"/>
        <w:jc w:val="both"/>
        <w:rPr>
          <w:rFonts w:eastAsia="Calibri"/>
          <w:noProof w:val="0"/>
        </w:rPr>
      </w:pPr>
      <w:r w:rsidRPr="00036A98">
        <w:t>In 2017, no complaints, submitted by RUs and the IM against decisions made by the NSA of Bulgaria in the course of its supervisory activities, were received.</w:t>
      </w:r>
    </w:p>
    <w:p w:rsidR="00EC5C89" w:rsidRPr="00036A98" w:rsidP="00EF1E96">
      <w:pPr>
        <w:pStyle w:val="Heading1"/>
        <w:numPr>
          <w:ilvl w:val="0"/>
          <w:numId w:val="10"/>
        </w:numPr>
        <w:rPr>
          <w:rFonts w:eastAsia="Calibri"/>
        </w:rPr>
      </w:pPr>
      <w:bookmarkStart w:id="156" w:name="_Toc462235810"/>
      <w:bookmarkStart w:id="157" w:name="_Toc462754792"/>
      <w:bookmarkStart w:id="158" w:name="_Toc490231019"/>
      <w:bookmarkStart w:id="159" w:name="_Toc490231911"/>
      <w:bookmarkStart w:id="160" w:name="_Toc490232039"/>
      <w:bookmarkStart w:id="161" w:name="_Toc491352167"/>
      <w:bookmarkStart w:id="162" w:name="_Toc491788100"/>
      <w:bookmarkStart w:id="163" w:name="_Toc491789290"/>
      <w:bookmarkStart w:id="164" w:name="_Toc491791287"/>
      <w:bookmarkStart w:id="165" w:name="_Toc525214767"/>
      <w:r w:rsidRPr="00036A98">
        <w:t>Coordination and Cooperation</w:t>
      </w:r>
      <w:bookmarkEnd w:id="156"/>
      <w:bookmarkEnd w:id="157"/>
      <w:bookmarkEnd w:id="158"/>
      <w:bookmarkEnd w:id="159"/>
      <w:bookmarkEnd w:id="160"/>
      <w:bookmarkEnd w:id="161"/>
      <w:bookmarkEnd w:id="162"/>
      <w:bookmarkEnd w:id="163"/>
      <w:bookmarkEnd w:id="164"/>
      <w:bookmarkEnd w:id="165"/>
    </w:p>
    <w:p w:rsidR="00D97CAE" w:rsidRPr="00036A98" w:rsidP="007B2924">
      <w:pPr>
        <w:ind w:firstLine="708"/>
        <w:jc w:val="both"/>
        <w:rPr>
          <w:rFonts w:eastAsia="Calibri"/>
          <w:noProof w:val="0"/>
        </w:rPr>
      </w:pPr>
      <w:r w:rsidRPr="00036A98">
        <w:t>In 2017, the NSA of Bulgaria did not execute any agreements with NSAs from other EU Member States for any joint supervision of RUs and the IM.</w:t>
      </w:r>
    </w:p>
    <w:p w:rsidR="00EC5C89" w:rsidRPr="00036A98" w:rsidP="00EF1E96">
      <w:pPr>
        <w:pStyle w:val="Heading1"/>
        <w:numPr>
          <w:ilvl w:val="0"/>
          <w:numId w:val="10"/>
        </w:numPr>
        <w:rPr>
          <w:rFonts w:eastAsia="Calibri"/>
        </w:rPr>
      </w:pPr>
      <w:bookmarkStart w:id="166" w:name="_Toc462235811"/>
      <w:bookmarkStart w:id="167" w:name="_Toc462754793"/>
      <w:bookmarkStart w:id="168" w:name="_Toc490231020"/>
      <w:bookmarkStart w:id="169" w:name="_Toc490231912"/>
      <w:bookmarkStart w:id="170" w:name="_Toc490232040"/>
      <w:bookmarkStart w:id="171" w:name="_Toc491352168"/>
      <w:bookmarkStart w:id="172" w:name="_Toc491788101"/>
      <w:bookmarkStart w:id="173" w:name="_Toc491789291"/>
      <w:bookmarkStart w:id="174" w:name="_Toc491791288"/>
      <w:bookmarkStart w:id="175" w:name="_Toc525214768"/>
      <w:r w:rsidRPr="00036A98">
        <w:t>Findings from Measures Taken</w:t>
      </w:r>
      <w:bookmarkEnd w:id="166"/>
      <w:bookmarkEnd w:id="167"/>
      <w:bookmarkEnd w:id="168"/>
      <w:bookmarkEnd w:id="169"/>
      <w:bookmarkEnd w:id="170"/>
      <w:bookmarkEnd w:id="171"/>
      <w:bookmarkEnd w:id="172"/>
      <w:bookmarkEnd w:id="173"/>
      <w:bookmarkEnd w:id="174"/>
      <w:bookmarkEnd w:id="175"/>
    </w:p>
    <w:p w:rsidR="00EC5C89" w:rsidRPr="00036A98" w:rsidP="007B2924">
      <w:pPr>
        <w:ind w:firstLine="708"/>
        <w:jc w:val="both"/>
        <w:rPr>
          <w:rFonts w:eastAsia="Calibri"/>
          <w:noProof w:val="0"/>
        </w:rPr>
      </w:pPr>
      <w:r w:rsidRPr="00036A98">
        <w:t xml:space="preserve">The results of the audits of the SMSs of RUs and the IM, holders of SCs and SAs, conducted in 2017, lead to the conclusion that they comply with the requirements of the European and the national legislation relating to the CSM and CST and maintain functioning SMSs. Certain gaps in the implementation of Regulation (EU) No 1078/2012 and Regulation (EU) No 402/2013 were identified. The railway undertakings, as a result of NSA’s recommendations and instructions, take timely action to remedy the identified non-conformities in their SMS implementations. </w:t>
      </w:r>
    </w:p>
    <w:p w:rsidR="00084411" w:rsidRPr="00036A98" w:rsidP="00EF1E96">
      <w:pPr>
        <w:pStyle w:val="Heading2"/>
        <w:numPr>
          <w:ilvl w:val="0"/>
          <w:numId w:val="7"/>
        </w:numPr>
        <w:rPr>
          <w:rFonts w:eastAsia="Calibri"/>
          <w:spacing w:val="0"/>
        </w:rPr>
      </w:pPr>
      <w:bookmarkStart w:id="176" w:name="_Toc462235812"/>
      <w:bookmarkStart w:id="177" w:name="_Toc462754794"/>
      <w:bookmarkStart w:id="178" w:name="_Toc490231021"/>
      <w:bookmarkStart w:id="179" w:name="_Toc490231913"/>
      <w:bookmarkStart w:id="180" w:name="_Toc490232041"/>
      <w:bookmarkStart w:id="181" w:name="_Toc491352169"/>
      <w:bookmarkStart w:id="182" w:name="_Toc491788102"/>
      <w:bookmarkStart w:id="183" w:name="_Toc491789292"/>
      <w:bookmarkStart w:id="184" w:name="_Toc491791289"/>
      <w:bookmarkStart w:id="185" w:name="_Toc525214769"/>
      <w:r w:rsidRPr="00036A98">
        <w:t>Issuance of safety certificates and authorisations</w:t>
      </w:r>
      <w:bookmarkEnd w:id="176"/>
      <w:bookmarkEnd w:id="177"/>
      <w:bookmarkEnd w:id="178"/>
      <w:bookmarkEnd w:id="179"/>
      <w:bookmarkEnd w:id="180"/>
      <w:bookmarkEnd w:id="181"/>
      <w:bookmarkEnd w:id="182"/>
      <w:bookmarkEnd w:id="183"/>
      <w:bookmarkEnd w:id="184"/>
      <w:bookmarkEnd w:id="185"/>
    </w:p>
    <w:p w:rsidR="00084411" w:rsidRPr="00036A98" w:rsidP="00EF1E96">
      <w:pPr>
        <w:pStyle w:val="Heading1"/>
        <w:numPr>
          <w:ilvl w:val="0"/>
          <w:numId w:val="11"/>
        </w:numPr>
        <w:rPr>
          <w:rFonts w:eastAsia="Calibri"/>
        </w:rPr>
      </w:pPr>
      <w:bookmarkStart w:id="186" w:name="_Toc462235813"/>
      <w:bookmarkStart w:id="187" w:name="_Toc462754795"/>
      <w:bookmarkStart w:id="188" w:name="_Toc490231022"/>
      <w:bookmarkStart w:id="189" w:name="_Toc490231914"/>
      <w:bookmarkStart w:id="190" w:name="_Toc490232042"/>
      <w:bookmarkStart w:id="191" w:name="_Toc491352170"/>
      <w:bookmarkStart w:id="192" w:name="_Toc491788103"/>
      <w:bookmarkStart w:id="193" w:name="_Toc491789293"/>
      <w:bookmarkStart w:id="194" w:name="_Toc491791290"/>
      <w:bookmarkStart w:id="195" w:name="_Toc525214770"/>
      <w:r w:rsidRPr="00036A98">
        <w:t>Guidance</w:t>
      </w:r>
      <w:bookmarkEnd w:id="186"/>
      <w:bookmarkEnd w:id="187"/>
      <w:bookmarkEnd w:id="188"/>
      <w:bookmarkEnd w:id="189"/>
      <w:bookmarkEnd w:id="190"/>
      <w:bookmarkEnd w:id="191"/>
      <w:bookmarkEnd w:id="192"/>
      <w:bookmarkEnd w:id="193"/>
      <w:bookmarkEnd w:id="194"/>
      <w:bookmarkEnd w:id="195"/>
    </w:p>
    <w:p w:rsidR="0054465F" w:rsidRPr="00036A98" w:rsidP="007B2924">
      <w:pPr>
        <w:ind w:firstLine="720"/>
        <w:jc w:val="both"/>
        <w:rPr>
          <w:strike/>
        </w:rPr>
      </w:pPr>
      <w:r w:rsidRPr="00036A98">
        <w:t xml:space="preserve">The RAEA holds a quality management (QMS) certificate issued under the ISO 9001:2008 international standard. As part of the QMS of the RAEA, internal procedures (quality working instructions) were created regulating the procedure and method for the assessment of applications for </w:t>
      </w:r>
      <w:r w:rsidRPr="00036A98">
        <w:t>the issuance of safety authorisations (SAs) to the IM and safety certificates (SCs) to RUs for passenger and/or freight transport. The procedures were issued based on the requirements of the applicable European and national legislation, published on the intranet page of the RAEA and are used by the employees of the NSA of Bulgaria involved in the assessment of the submitted applications. For the applicants, published in Bulgarian language, on the website of the RAEA are: the application, the cover sheet for annexes to the application form, instructions for completing the application form and the general requirements for the issuance of SC to a railway carrier.</w:t>
      </w:r>
    </w:p>
    <w:p w:rsidR="00B7742C" w:rsidRPr="00036A98" w:rsidP="007B2924">
      <w:pPr>
        <w:ind w:firstLine="720"/>
        <w:jc w:val="both"/>
      </w:pPr>
      <w:r w:rsidRPr="00036A98">
        <w:t>In 2017, the following safety certificate (SCs) issuance applications were submitted to the RAEA:</w:t>
      </w:r>
    </w:p>
    <w:p w:rsidR="00F82917" w:rsidRPr="00036A98" w:rsidP="00EF1E96">
      <w:pPr>
        <w:pStyle w:val="ListParagraph"/>
        <w:numPr>
          <w:ilvl w:val="0"/>
          <w:numId w:val="17"/>
        </w:numPr>
        <w:ind w:left="426" w:firstLine="283"/>
        <w:jc w:val="both"/>
      </w:pPr>
      <w:r w:rsidRPr="00036A98">
        <w:t>3 applications for the issuance of new SCs (Part A and B) to a new RU not holding a licence for shunting within the area of a railway station (Traktsia JSC, Mondi Stambolijski EAD and SIEN 99 Ltd.);</w:t>
      </w:r>
    </w:p>
    <w:p w:rsidR="00B7742C" w:rsidRPr="00036A98" w:rsidP="00EF1E96">
      <w:pPr>
        <w:pStyle w:val="ListParagraph"/>
        <w:numPr>
          <w:ilvl w:val="0"/>
          <w:numId w:val="17"/>
        </w:numPr>
        <w:ind w:left="426" w:firstLine="283"/>
        <w:jc w:val="both"/>
      </w:pPr>
      <w:r w:rsidRPr="00036A98">
        <w:t>1 application for the issuance of updated/amended freight transport (including transport of dangerous goods) SCs to RUs on all lines of the national RI (from TBD–TOVARNI PREVOZI JSC);</w:t>
      </w:r>
    </w:p>
    <w:p w:rsidR="00CD3EAE" w:rsidRPr="00036A98" w:rsidP="00EF1E96">
      <w:pPr>
        <w:pStyle w:val="ListParagraph"/>
        <w:numPr>
          <w:ilvl w:val="0"/>
          <w:numId w:val="17"/>
        </w:numPr>
        <w:ind w:left="426" w:firstLine="283"/>
        <w:jc w:val="both"/>
      </w:pPr>
      <w:r w:rsidRPr="00036A98">
        <w:t>2 applications for SC (Part A and B) renewals to active RUs for freight transport on all lines of the national RI (BDZ Cargo and Port Rail Ltd.);</w:t>
      </w:r>
    </w:p>
    <w:p w:rsidR="00F82917" w:rsidRPr="00036A98" w:rsidP="00EF1E96">
      <w:pPr>
        <w:pStyle w:val="ListParagraph"/>
        <w:numPr>
          <w:ilvl w:val="0"/>
          <w:numId w:val="17"/>
        </w:numPr>
        <w:ind w:left="426" w:firstLine="283"/>
        <w:jc w:val="both"/>
      </w:pPr>
      <w:r w:rsidRPr="00036A98">
        <w:t>1 application for SC (Part A and B) renewal to an active RU for passenger transport on all lines of the national RI (BDZ Passengers).</w:t>
      </w:r>
    </w:p>
    <w:p w:rsidR="00C07B14" w:rsidRPr="00036A98" w:rsidP="007B2924">
      <w:pPr>
        <w:ind w:firstLine="720"/>
        <w:jc w:val="both"/>
      </w:pPr>
      <w:r w:rsidRPr="00036A98">
        <w:t>Some details of the safety certificates issued in 2017 to RUs are provided in Table 10 below:</w:t>
      </w:r>
    </w:p>
    <w:p w:rsidR="003475EF" w:rsidRPr="00036A98" w:rsidP="007B2924">
      <w:pPr>
        <w:ind w:firstLine="720"/>
        <w:jc w:val="both"/>
      </w:pPr>
    </w:p>
    <w:p w:rsidR="00B55FC7" w:rsidRPr="00036A98" w:rsidP="002B14D4">
      <w:pPr>
        <w:pStyle w:val="Caption"/>
        <w:keepNext/>
        <w:spacing w:before="120" w:after="120"/>
        <w:jc w:val="center"/>
        <w:rPr>
          <w:b w:val="0"/>
          <w:color w:val="000000" w:themeColor="text1"/>
          <w:sz w:val="16"/>
        </w:rPr>
      </w:pPr>
      <w:r w:rsidRPr="00036A98">
        <w:rPr>
          <w:color w:val="000000" w:themeColor="text1"/>
          <w:sz w:val="16"/>
        </w:rPr>
        <w:t xml:space="preserve">Table </w:t>
      </w:r>
      <w:r w:rsidRPr="00036A98">
        <w:rPr>
          <w:color w:val="000000" w:themeColor="text1"/>
          <w:sz w:val="16"/>
        </w:rPr>
        <w:fldChar w:fldCharType="begin"/>
      </w:r>
      <w:r w:rsidRPr="00036A98">
        <w:rPr>
          <w:color w:val="000000" w:themeColor="text1"/>
          <w:sz w:val="16"/>
        </w:rPr>
        <w:instrText xml:space="preserve"> SEQ таблица \* ARABIC </w:instrText>
      </w:r>
      <w:r w:rsidRPr="00036A98">
        <w:rPr>
          <w:color w:val="000000" w:themeColor="text1"/>
          <w:sz w:val="16"/>
        </w:rPr>
        <w:fldChar w:fldCharType="separate"/>
      </w:r>
      <w:r w:rsidRPr="00036A98" w:rsidR="00FE2542">
        <w:rPr>
          <w:color w:val="000000" w:themeColor="text1"/>
          <w:sz w:val="16"/>
        </w:rPr>
        <w:t>10</w:t>
      </w:r>
      <w:r w:rsidRPr="00036A98">
        <w:rPr>
          <w:color w:val="000000" w:themeColor="text1"/>
          <w:sz w:val="16"/>
        </w:rPr>
        <w:fldChar w:fldCharType="end"/>
      </w:r>
      <w:r w:rsidRPr="00036A98">
        <w:rPr>
          <w:b w:val="0"/>
          <w:color w:val="000000" w:themeColor="text1"/>
          <w:sz w:val="16"/>
        </w:rPr>
        <w:t>: SCs and SAs issued by the NSA of Bulgaria in 2017 to RUs and the IM</w:t>
      </w:r>
    </w:p>
    <w:tbl>
      <w:tblPr>
        <w:tblStyle w:val="TableGrid"/>
        <w:tblW w:w="5000" w:type="pct"/>
        <w:tblLook w:val="04A0"/>
      </w:tblPr>
      <w:tblGrid>
        <w:gridCol w:w="1639"/>
        <w:gridCol w:w="1150"/>
        <w:gridCol w:w="1223"/>
        <w:gridCol w:w="870"/>
        <w:gridCol w:w="1256"/>
        <w:gridCol w:w="1259"/>
        <w:gridCol w:w="1117"/>
        <w:gridCol w:w="1115"/>
      </w:tblGrid>
      <w:tr w:rsidTr="00741DE3">
        <w:tblPrEx>
          <w:tblW w:w="5000" w:type="pct"/>
          <w:tblLook w:val="04A0"/>
        </w:tblPrEx>
        <w:trPr>
          <w:trHeight w:val="397"/>
        </w:trPr>
        <w:tc>
          <w:tcPr>
            <w:tcW w:w="851" w:type="pct"/>
            <w:vMerge w:val="restart"/>
          </w:tcPr>
          <w:p w:rsidR="00E21F51" w:rsidRPr="00036A98" w:rsidP="007B2924">
            <w:pPr>
              <w:jc w:val="center"/>
              <w:rPr>
                <w:iCs/>
                <w:noProof w:val="0"/>
                <w:color w:val="000000" w:themeColor="text1"/>
                <w:sz w:val="18"/>
                <w:szCs w:val="18"/>
              </w:rPr>
            </w:pPr>
            <w:r w:rsidRPr="00036A98">
              <w:rPr>
                <w:noProof w:val="0"/>
                <w:color w:val="000000" w:themeColor="text1"/>
                <w:sz w:val="18"/>
              </w:rPr>
              <w:t>Applicant</w:t>
            </w:r>
          </w:p>
          <w:p w:rsidR="0005637F" w:rsidRPr="00036A98" w:rsidP="007B2924">
            <w:pPr>
              <w:jc w:val="center"/>
              <w:rPr>
                <w:bCs/>
                <w:iCs/>
                <w:noProof w:val="0"/>
                <w:color w:val="000000" w:themeColor="text1"/>
                <w:sz w:val="18"/>
                <w:szCs w:val="18"/>
              </w:rPr>
            </w:pPr>
            <w:r w:rsidRPr="00036A98">
              <w:rPr>
                <w:noProof w:val="0"/>
                <w:color w:val="000000" w:themeColor="text1"/>
                <w:sz w:val="18"/>
              </w:rPr>
              <w:t>Name of the RU</w:t>
            </w:r>
          </w:p>
        </w:tc>
        <w:tc>
          <w:tcPr>
            <w:tcW w:w="597" w:type="pct"/>
            <w:vMerge w:val="restart"/>
          </w:tcPr>
          <w:p w:rsidR="00E21F51" w:rsidRPr="00036A98" w:rsidP="007B2924">
            <w:pPr>
              <w:jc w:val="center"/>
              <w:rPr>
                <w:bCs/>
                <w:iCs/>
                <w:noProof w:val="0"/>
                <w:color w:val="000000" w:themeColor="text1"/>
                <w:sz w:val="18"/>
                <w:szCs w:val="18"/>
              </w:rPr>
            </w:pPr>
            <w:r w:rsidRPr="00036A98">
              <w:rPr>
                <w:noProof w:val="0"/>
                <w:color w:val="000000" w:themeColor="text1"/>
                <w:sz w:val="18"/>
              </w:rPr>
              <w:t>Date of submission of the application</w:t>
            </w:r>
          </w:p>
        </w:tc>
        <w:tc>
          <w:tcPr>
            <w:tcW w:w="635" w:type="pct"/>
            <w:vMerge w:val="restart"/>
          </w:tcPr>
          <w:p w:rsidR="00E21F51" w:rsidRPr="00036A98" w:rsidP="007B2924">
            <w:pPr>
              <w:jc w:val="center"/>
              <w:rPr>
                <w:bCs/>
                <w:iCs/>
                <w:noProof w:val="0"/>
                <w:color w:val="000000" w:themeColor="text1"/>
                <w:sz w:val="18"/>
                <w:szCs w:val="18"/>
              </w:rPr>
            </w:pPr>
            <w:r w:rsidRPr="00036A98">
              <w:rPr>
                <w:noProof w:val="0"/>
                <w:color w:val="000000" w:themeColor="text1"/>
                <w:sz w:val="18"/>
              </w:rPr>
              <w:t>Date of issuance of the SC/SA</w:t>
            </w:r>
          </w:p>
        </w:tc>
        <w:tc>
          <w:tcPr>
            <w:tcW w:w="1758" w:type="pct"/>
            <w:gridSpan w:val="3"/>
          </w:tcPr>
          <w:p w:rsidR="00E21F51" w:rsidRPr="00036A98" w:rsidP="007B2924">
            <w:pPr>
              <w:jc w:val="center"/>
              <w:rPr>
                <w:bCs/>
                <w:iCs/>
                <w:noProof w:val="0"/>
                <w:color w:val="000000" w:themeColor="text1"/>
                <w:sz w:val="18"/>
                <w:szCs w:val="18"/>
              </w:rPr>
            </w:pPr>
            <w:r w:rsidRPr="00036A98">
              <w:rPr>
                <w:noProof w:val="0"/>
                <w:color w:val="000000" w:themeColor="text1"/>
                <w:sz w:val="18"/>
              </w:rPr>
              <w:t>Type of SC/SA</w:t>
            </w:r>
          </w:p>
        </w:tc>
        <w:tc>
          <w:tcPr>
            <w:tcW w:w="1159" w:type="pct"/>
            <w:gridSpan w:val="2"/>
          </w:tcPr>
          <w:p w:rsidR="00E21F51" w:rsidRPr="00036A98" w:rsidP="007B2924">
            <w:pPr>
              <w:jc w:val="center"/>
              <w:rPr>
                <w:bCs/>
                <w:iCs/>
                <w:noProof w:val="0"/>
                <w:color w:val="000000" w:themeColor="text1"/>
                <w:sz w:val="18"/>
                <w:szCs w:val="18"/>
              </w:rPr>
            </w:pPr>
            <w:r w:rsidRPr="00036A98">
              <w:rPr>
                <w:noProof w:val="0"/>
                <w:color w:val="000000" w:themeColor="text1"/>
                <w:sz w:val="18"/>
              </w:rPr>
              <w:t>Validity</w:t>
            </w:r>
          </w:p>
        </w:tc>
      </w:tr>
      <w:tr w:rsidTr="00741DE3">
        <w:tblPrEx>
          <w:tblW w:w="5000" w:type="pct"/>
          <w:tblLook w:val="04A0"/>
        </w:tblPrEx>
        <w:trPr>
          <w:trHeight w:val="254"/>
        </w:trPr>
        <w:tc>
          <w:tcPr>
            <w:tcW w:w="851" w:type="pct"/>
            <w:vMerge/>
          </w:tcPr>
          <w:p w:rsidR="00E21F51" w:rsidRPr="00036A98" w:rsidP="007B2924">
            <w:pPr>
              <w:jc w:val="both"/>
              <w:rPr>
                <w:bCs/>
                <w:iCs/>
                <w:noProof w:val="0"/>
                <w:color w:val="000000" w:themeColor="text1"/>
                <w:sz w:val="18"/>
                <w:szCs w:val="18"/>
              </w:rPr>
            </w:pPr>
          </w:p>
        </w:tc>
        <w:tc>
          <w:tcPr>
            <w:tcW w:w="597" w:type="pct"/>
            <w:vMerge/>
          </w:tcPr>
          <w:p w:rsidR="00E21F51" w:rsidRPr="00036A98" w:rsidP="007B2924">
            <w:pPr>
              <w:jc w:val="center"/>
              <w:rPr>
                <w:bCs/>
                <w:iCs/>
                <w:noProof w:val="0"/>
                <w:color w:val="000000" w:themeColor="text1"/>
                <w:sz w:val="18"/>
                <w:szCs w:val="18"/>
              </w:rPr>
            </w:pPr>
          </w:p>
        </w:tc>
        <w:tc>
          <w:tcPr>
            <w:tcW w:w="635" w:type="pct"/>
            <w:vMerge/>
          </w:tcPr>
          <w:p w:rsidR="00E21F51" w:rsidRPr="00036A98" w:rsidP="007B2924">
            <w:pPr>
              <w:jc w:val="center"/>
              <w:rPr>
                <w:bCs/>
                <w:iCs/>
                <w:noProof w:val="0"/>
                <w:color w:val="000000" w:themeColor="text1"/>
                <w:sz w:val="18"/>
                <w:szCs w:val="18"/>
              </w:rPr>
            </w:pPr>
          </w:p>
        </w:tc>
        <w:tc>
          <w:tcPr>
            <w:tcW w:w="452" w:type="pct"/>
          </w:tcPr>
          <w:p w:rsidR="009247B5" w:rsidRPr="00036A98" w:rsidP="007B2924">
            <w:pPr>
              <w:jc w:val="center"/>
              <w:rPr>
                <w:bCs/>
                <w:iCs/>
                <w:noProof w:val="0"/>
                <w:color w:val="000000" w:themeColor="text1"/>
                <w:sz w:val="18"/>
                <w:szCs w:val="18"/>
              </w:rPr>
            </w:pPr>
            <w:r w:rsidRPr="00036A98">
              <w:rPr>
                <w:noProof w:val="0"/>
                <w:color w:val="000000" w:themeColor="text1"/>
                <w:sz w:val="18"/>
              </w:rPr>
              <w:t>Autho</w:t>
            </w:r>
            <w:r w:rsidRPr="00036A98">
              <w:rPr>
                <w:noProof w:val="0"/>
                <w:color w:val="000000" w:themeColor="text1"/>
                <w:sz w:val="18"/>
              </w:rPr>
              <w:t>-</w:t>
            </w:r>
          </w:p>
          <w:p w:rsidR="00E21F51" w:rsidRPr="00036A98" w:rsidP="007B2924">
            <w:pPr>
              <w:jc w:val="center"/>
              <w:rPr>
                <w:bCs/>
                <w:iCs/>
                <w:noProof w:val="0"/>
                <w:color w:val="000000" w:themeColor="text1"/>
                <w:sz w:val="18"/>
                <w:szCs w:val="18"/>
              </w:rPr>
            </w:pPr>
            <w:r w:rsidRPr="00036A98">
              <w:rPr>
                <w:noProof w:val="0"/>
                <w:color w:val="000000" w:themeColor="text1"/>
                <w:sz w:val="18"/>
              </w:rPr>
              <w:t>risation</w:t>
            </w:r>
          </w:p>
        </w:tc>
        <w:tc>
          <w:tcPr>
            <w:tcW w:w="652" w:type="pct"/>
          </w:tcPr>
          <w:p w:rsidR="00E21F51" w:rsidRPr="00036A98" w:rsidP="007B2924">
            <w:pPr>
              <w:jc w:val="center"/>
              <w:rPr>
                <w:bCs/>
                <w:iCs/>
                <w:noProof w:val="0"/>
                <w:color w:val="000000" w:themeColor="text1"/>
                <w:sz w:val="18"/>
                <w:szCs w:val="18"/>
              </w:rPr>
            </w:pPr>
            <w:r w:rsidRPr="00036A98">
              <w:rPr>
                <w:noProof w:val="0"/>
                <w:color w:val="000000" w:themeColor="text1"/>
                <w:sz w:val="18"/>
              </w:rPr>
              <w:t>Certificate Part A</w:t>
            </w:r>
          </w:p>
        </w:tc>
        <w:tc>
          <w:tcPr>
            <w:tcW w:w="653" w:type="pct"/>
          </w:tcPr>
          <w:p w:rsidR="00E21F51" w:rsidRPr="00036A98" w:rsidP="007B2924">
            <w:pPr>
              <w:jc w:val="center"/>
              <w:rPr>
                <w:bCs/>
                <w:iCs/>
                <w:noProof w:val="0"/>
                <w:color w:val="000000" w:themeColor="text1"/>
                <w:sz w:val="18"/>
                <w:szCs w:val="18"/>
              </w:rPr>
            </w:pPr>
            <w:r w:rsidRPr="00036A98">
              <w:rPr>
                <w:noProof w:val="0"/>
                <w:color w:val="000000" w:themeColor="text1"/>
                <w:sz w:val="18"/>
              </w:rPr>
              <w:t>Certificate Part B</w:t>
            </w:r>
          </w:p>
        </w:tc>
        <w:tc>
          <w:tcPr>
            <w:tcW w:w="580" w:type="pct"/>
          </w:tcPr>
          <w:p w:rsidR="00E21F51" w:rsidRPr="00036A98" w:rsidP="007B2924">
            <w:pPr>
              <w:jc w:val="center"/>
              <w:rPr>
                <w:bCs/>
                <w:iCs/>
                <w:noProof w:val="0"/>
                <w:color w:val="000000" w:themeColor="text1"/>
                <w:sz w:val="18"/>
                <w:szCs w:val="18"/>
              </w:rPr>
            </w:pPr>
            <w:r w:rsidRPr="00036A98">
              <w:rPr>
                <w:noProof w:val="0"/>
                <w:color w:val="000000" w:themeColor="text1"/>
                <w:sz w:val="18"/>
              </w:rPr>
              <w:t>From</w:t>
            </w:r>
          </w:p>
        </w:tc>
        <w:tc>
          <w:tcPr>
            <w:tcW w:w="579" w:type="pct"/>
          </w:tcPr>
          <w:p w:rsidR="00E21F51" w:rsidRPr="00036A98" w:rsidP="007B2924">
            <w:pPr>
              <w:jc w:val="center"/>
              <w:rPr>
                <w:bCs/>
                <w:iCs/>
                <w:noProof w:val="0"/>
                <w:color w:val="000000" w:themeColor="text1"/>
                <w:sz w:val="18"/>
                <w:szCs w:val="18"/>
              </w:rPr>
            </w:pPr>
            <w:r w:rsidRPr="00036A98">
              <w:rPr>
                <w:noProof w:val="0"/>
                <w:color w:val="000000" w:themeColor="text1"/>
                <w:sz w:val="18"/>
              </w:rPr>
              <w:t>To</w:t>
            </w:r>
          </w:p>
        </w:tc>
      </w:tr>
      <w:tr w:rsidTr="00741DE3">
        <w:tblPrEx>
          <w:tblW w:w="5000" w:type="pct"/>
          <w:tblLook w:val="04A0"/>
        </w:tblPrEx>
        <w:trPr>
          <w:trHeight w:val="485"/>
        </w:trPr>
        <w:tc>
          <w:tcPr>
            <w:tcW w:w="851" w:type="pct"/>
          </w:tcPr>
          <w:p w:rsidR="009F300D" w:rsidRPr="00036A98" w:rsidP="007B2924">
            <w:pPr>
              <w:jc w:val="center"/>
              <w:rPr>
                <w:b/>
                <w:noProof w:val="0"/>
                <w:color w:val="000000" w:themeColor="text1"/>
                <w:sz w:val="18"/>
                <w:szCs w:val="18"/>
              </w:rPr>
            </w:pPr>
            <w:r w:rsidRPr="00036A98">
              <w:rPr>
                <w:noProof w:val="0"/>
                <w:color w:val="000000" w:themeColor="text1"/>
                <w:sz w:val="18"/>
              </w:rPr>
              <w:t>CARGO TRANS VAGON BULGARIA</w:t>
            </w:r>
          </w:p>
        </w:tc>
        <w:tc>
          <w:tcPr>
            <w:tcW w:w="597" w:type="pct"/>
          </w:tcPr>
          <w:p w:rsidR="009F300D" w:rsidRPr="00036A98" w:rsidP="007B2924">
            <w:pPr>
              <w:jc w:val="center"/>
              <w:rPr>
                <w:noProof w:val="0"/>
                <w:color w:val="000000" w:themeColor="text1"/>
                <w:sz w:val="18"/>
                <w:szCs w:val="18"/>
              </w:rPr>
            </w:pPr>
            <w:r w:rsidRPr="00036A98">
              <w:rPr>
                <w:noProof w:val="0"/>
                <w:color w:val="000000" w:themeColor="text1"/>
                <w:sz w:val="18"/>
              </w:rPr>
              <w:t>27 October 2016</w:t>
            </w:r>
          </w:p>
        </w:tc>
        <w:tc>
          <w:tcPr>
            <w:tcW w:w="635" w:type="pct"/>
          </w:tcPr>
          <w:p w:rsidR="009F300D" w:rsidRPr="00036A98" w:rsidP="007B2924">
            <w:pPr>
              <w:jc w:val="center"/>
              <w:rPr>
                <w:noProof w:val="0"/>
                <w:color w:val="000000" w:themeColor="text1"/>
                <w:sz w:val="18"/>
                <w:szCs w:val="18"/>
              </w:rPr>
            </w:pPr>
            <w:r w:rsidRPr="00036A98">
              <w:rPr>
                <w:noProof w:val="0"/>
                <w:color w:val="000000" w:themeColor="text1"/>
                <w:sz w:val="18"/>
              </w:rPr>
              <w:t>11 April 2017</w:t>
            </w:r>
          </w:p>
        </w:tc>
        <w:tc>
          <w:tcPr>
            <w:tcW w:w="452" w:type="pct"/>
          </w:tcPr>
          <w:p w:rsidR="009F300D" w:rsidRPr="00036A98" w:rsidP="007B2924">
            <w:pPr>
              <w:jc w:val="center"/>
              <w:rPr>
                <w:noProof w:val="0"/>
                <w:color w:val="000000" w:themeColor="text1"/>
                <w:sz w:val="18"/>
                <w:szCs w:val="18"/>
              </w:rPr>
            </w:pPr>
            <w:r w:rsidRPr="00036A98">
              <w:rPr>
                <w:noProof w:val="0"/>
                <w:color w:val="000000" w:themeColor="text1"/>
                <w:sz w:val="18"/>
              </w:rPr>
              <w:t>-</w:t>
            </w:r>
          </w:p>
        </w:tc>
        <w:tc>
          <w:tcPr>
            <w:tcW w:w="652" w:type="pct"/>
          </w:tcPr>
          <w:p w:rsidR="009F300D" w:rsidRPr="00036A98" w:rsidP="007B2924">
            <w:pPr>
              <w:jc w:val="center"/>
              <w:rPr>
                <w:noProof w:val="0"/>
                <w:color w:val="000000" w:themeColor="text1"/>
                <w:sz w:val="18"/>
                <w:szCs w:val="18"/>
              </w:rPr>
            </w:pPr>
            <w:r w:rsidRPr="00036A98">
              <w:rPr>
                <w:noProof w:val="0"/>
                <w:color w:val="000000" w:themeColor="text1"/>
                <w:sz w:val="18"/>
              </w:rPr>
              <w:t>Yes</w:t>
            </w:r>
          </w:p>
        </w:tc>
        <w:tc>
          <w:tcPr>
            <w:tcW w:w="653" w:type="pct"/>
          </w:tcPr>
          <w:p w:rsidR="009F300D" w:rsidRPr="00036A98" w:rsidP="007B2924">
            <w:pPr>
              <w:jc w:val="center"/>
              <w:rPr>
                <w:noProof w:val="0"/>
                <w:color w:val="000000" w:themeColor="text1"/>
                <w:sz w:val="18"/>
                <w:szCs w:val="18"/>
              </w:rPr>
            </w:pPr>
            <w:r w:rsidRPr="00036A98">
              <w:rPr>
                <w:noProof w:val="0"/>
                <w:color w:val="000000" w:themeColor="text1"/>
                <w:sz w:val="18"/>
              </w:rPr>
              <w:t>Yes</w:t>
            </w:r>
          </w:p>
        </w:tc>
        <w:tc>
          <w:tcPr>
            <w:tcW w:w="580" w:type="pct"/>
          </w:tcPr>
          <w:p w:rsidR="009F300D" w:rsidRPr="00036A98" w:rsidP="007B2924">
            <w:pPr>
              <w:jc w:val="center"/>
              <w:rPr>
                <w:noProof w:val="0"/>
                <w:color w:val="000000" w:themeColor="text1"/>
                <w:sz w:val="18"/>
                <w:szCs w:val="18"/>
              </w:rPr>
            </w:pPr>
            <w:r w:rsidRPr="00036A98">
              <w:rPr>
                <w:noProof w:val="0"/>
                <w:color w:val="000000" w:themeColor="text1"/>
                <w:sz w:val="18"/>
              </w:rPr>
              <w:t>17 April 2017</w:t>
            </w:r>
          </w:p>
        </w:tc>
        <w:tc>
          <w:tcPr>
            <w:tcW w:w="579" w:type="pct"/>
          </w:tcPr>
          <w:p w:rsidR="009F300D" w:rsidRPr="00036A98" w:rsidP="007B2924">
            <w:pPr>
              <w:jc w:val="center"/>
              <w:rPr>
                <w:noProof w:val="0"/>
                <w:color w:val="000000" w:themeColor="text1"/>
                <w:sz w:val="18"/>
                <w:szCs w:val="18"/>
              </w:rPr>
            </w:pPr>
            <w:r w:rsidRPr="00036A98">
              <w:rPr>
                <w:noProof w:val="0"/>
                <w:color w:val="000000" w:themeColor="text1"/>
                <w:sz w:val="18"/>
              </w:rPr>
              <w:t>16 April 2022</w:t>
            </w:r>
          </w:p>
        </w:tc>
      </w:tr>
      <w:tr w:rsidTr="00741DE3">
        <w:tblPrEx>
          <w:tblW w:w="5000" w:type="pct"/>
          <w:tblLook w:val="04A0"/>
        </w:tblPrEx>
        <w:trPr>
          <w:trHeight w:val="485"/>
        </w:trPr>
        <w:tc>
          <w:tcPr>
            <w:tcW w:w="851" w:type="pct"/>
          </w:tcPr>
          <w:p w:rsidR="00024511" w:rsidRPr="00036A98" w:rsidP="007B2924">
            <w:pPr>
              <w:jc w:val="center"/>
              <w:rPr>
                <w:b/>
                <w:noProof w:val="0"/>
                <w:color w:val="000000" w:themeColor="text1"/>
                <w:sz w:val="18"/>
                <w:szCs w:val="18"/>
              </w:rPr>
            </w:pPr>
            <w:r w:rsidRPr="00036A98">
              <w:rPr>
                <w:noProof w:val="0"/>
                <w:color w:val="000000" w:themeColor="text1"/>
                <w:sz w:val="18"/>
              </w:rPr>
              <w:t xml:space="preserve">Mini Maritsa </w:t>
            </w:r>
            <w:r w:rsidRPr="00036A98">
              <w:rPr>
                <w:noProof w:val="0"/>
                <w:color w:val="000000" w:themeColor="text1"/>
                <w:sz w:val="18"/>
              </w:rPr>
              <w:t>Iztok</w:t>
            </w:r>
            <w:r w:rsidRPr="00036A98">
              <w:rPr>
                <w:noProof w:val="0"/>
                <w:color w:val="000000" w:themeColor="text1"/>
                <w:sz w:val="18"/>
              </w:rPr>
              <w:t xml:space="preserve"> EAD</w:t>
            </w:r>
          </w:p>
        </w:tc>
        <w:tc>
          <w:tcPr>
            <w:tcW w:w="597" w:type="pct"/>
          </w:tcPr>
          <w:p w:rsidR="00024511" w:rsidRPr="00036A98" w:rsidP="007B2924">
            <w:pPr>
              <w:jc w:val="center"/>
              <w:rPr>
                <w:noProof w:val="0"/>
                <w:color w:val="000000" w:themeColor="text1"/>
                <w:sz w:val="18"/>
                <w:szCs w:val="18"/>
              </w:rPr>
            </w:pPr>
            <w:r w:rsidRPr="00036A98">
              <w:rPr>
                <w:noProof w:val="0"/>
                <w:color w:val="000000" w:themeColor="text1"/>
                <w:sz w:val="18"/>
              </w:rPr>
              <w:t>7 October 2016</w:t>
            </w:r>
          </w:p>
        </w:tc>
        <w:tc>
          <w:tcPr>
            <w:tcW w:w="635" w:type="pct"/>
          </w:tcPr>
          <w:p w:rsidR="00024511" w:rsidRPr="00036A98" w:rsidP="007B2924">
            <w:pPr>
              <w:jc w:val="center"/>
              <w:rPr>
                <w:noProof w:val="0"/>
                <w:color w:val="000000" w:themeColor="text1"/>
                <w:sz w:val="18"/>
                <w:szCs w:val="18"/>
              </w:rPr>
            </w:pPr>
            <w:r w:rsidRPr="00036A98">
              <w:rPr>
                <w:noProof w:val="0"/>
                <w:color w:val="000000" w:themeColor="text1"/>
                <w:sz w:val="18"/>
              </w:rPr>
              <w:t>19 April 2017</w:t>
            </w:r>
          </w:p>
        </w:tc>
        <w:tc>
          <w:tcPr>
            <w:tcW w:w="452" w:type="pct"/>
          </w:tcPr>
          <w:p w:rsidR="00024511" w:rsidRPr="00036A98" w:rsidP="007B2924">
            <w:pPr>
              <w:jc w:val="center"/>
              <w:rPr>
                <w:noProof w:val="0"/>
                <w:color w:val="000000" w:themeColor="text1"/>
                <w:sz w:val="18"/>
                <w:szCs w:val="18"/>
              </w:rPr>
            </w:pPr>
            <w:r w:rsidRPr="00036A98">
              <w:rPr>
                <w:noProof w:val="0"/>
                <w:color w:val="000000" w:themeColor="text1"/>
                <w:sz w:val="18"/>
              </w:rPr>
              <w:t>-</w:t>
            </w:r>
          </w:p>
        </w:tc>
        <w:tc>
          <w:tcPr>
            <w:tcW w:w="652" w:type="pct"/>
          </w:tcPr>
          <w:p w:rsidR="00024511" w:rsidRPr="00036A98" w:rsidP="007B2924">
            <w:pPr>
              <w:jc w:val="center"/>
              <w:rPr>
                <w:noProof w:val="0"/>
                <w:color w:val="000000" w:themeColor="text1"/>
                <w:sz w:val="18"/>
                <w:szCs w:val="18"/>
              </w:rPr>
            </w:pPr>
            <w:r w:rsidRPr="00036A98">
              <w:rPr>
                <w:noProof w:val="0"/>
                <w:color w:val="000000" w:themeColor="text1"/>
                <w:sz w:val="18"/>
              </w:rPr>
              <w:t>Yes</w:t>
            </w:r>
          </w:p>
        </w:tc>
        <w:tc>
          <w:tcPr>
            <w:tcW w:w="653" w:type="pct"/>
          </w:tcPr>
          <w:p w:rsidR="00024511" w:rsidRPr="00036A98" w:rsidP="007B2924">
            <w:pPr>
              <w:jc w:val="center"/>
              <w:rPr>
                <w:noProof w:val="0"/>
                <w:color w:val="000000" w:themeColor="text1"/>
                <w:sz w:val="18"/>
                <w:szCs w:val="18"/>
              </w:rPr>
            </w:pPr>
            <w:r w:rsidRPr="00036A98">
              <w:rPr>
                <w:noProof w:val="0"/>
                <w:color w:val="000000" w:themeColor="text1"/>
                <w:sz w:val="18"/>
              </w:rPr>
              <w:t>Yes</w:t>
            </w:r>
          </w:p>
        </w:tc>
        <w:tc>
          <w:tcPr>
            <w:tcW w:w="580" w:type="pct"/>
          </w:tcPr>
          <w:p w:rsidR="00024511" w:rsidRPr="00036A98" w:rsidP="007B2924">
            <w:pPr>
              <w:jc w:val="center"/>
              <w:rPr>
                <w:noProof w:val="0"/>
                <w:color w:val="000000" w:themeColor="text1"/>
                <w:sz w:val="18"/>
                <w:szCs w:val="18"/>
              </w:rPr>
            </w:pPr>
            <w:r w:rsidRPr="00036A98">
              <w:rPr>
                <w:noProof w:val="0"/>
                <w:color w:val="000000" w:themeColor="text1"/>
                <w:sz w:val="18"/>
              </w:rPr>
              <w:t>19 April 2017</w:t>
            </w:r>
          </w:p>
        </w:tc>
        <w:tc>
          <w:tcPr>
            <w:tcW w:w="579" w:type="pct"/>
          </w:tcPr>
          <w:p w:rsidR="00024511" w:rsidRPr="00036A98" w:rsidP="007B2924">
            <w:pPr>
              <w:jc w:val="center"/>
              <w:rPr>
                <w:noProof w:val="0"/>
                <w:color w:val="000000" w:themeColor="text1"/>
                <w:sz w:val="18"/>
                <w:szCs w:val="18"/>
              </w:rPr>
            </w:pPr>
            <w:r w:rsidRPr="00036A98">
              <w:rPr>
                <w:noProof w:val="0"/>
                <w:color w:val="000000" w:themeColor="text1"/>
                <w:sz w:val="18"/>
              </w:rPr>
              <w:t>18 April 2020</w:t>
            </w:r>
          </w:p>
        </w:tc>
      </w:tr>
      <w:tr w:rsidTr="00741DE3">
        <w:tblPrEx>
          <w:tblW w:w="5000" w:type="pct"/>
          <w:tblLook w:val="04A0"/>
        </w:tblPrEx>
        <w:trPr>
          <w:trHeight w:val="485"/>
        </w:trPr>
        <w:tc>
          <w:tcPr>
            <w:tcW w:w="851" w:type="pct"/>
          </w:tcPr>
          <w:p w:rsidR="00024511" w:rsidRPr="00036A98" w:rsidP="007B2924">
            <w:pPr>
              <w:jc w:val="center"/>
              <w:rPr>
                <w:b/>
                <w:noProof w:val="0"/>
                <w:color w:val="000000" w:themeColor="text1"/>
                <w:sz w:val="18"/>
                <w:szCs w:val="18"/>
              </w:rPr>
            </w:pPr>
            <w:r w:rsidRPr="00036A98">
              <w:rPr>
                <w:noProof w:val="0"/>
                <w:color w:val="000000" w:themeColor="text1"/>
                <w:sz w:val="18"/>
              </w:rPr>
              <w:t>TBD–TOVARNI PREVOZI JSC</w:t>
            </w:r>
          </w:p>
        </w:tc>
        <w:tc>
          <w:tcPr>
            <w:tcW w:w="597" w:type="pct"/>
          </w:tcPr>
          <w:p w:rsidR="00024511" w:rsidRPr="00036A98" w:rsidP="007B2924">
            <w:pPr>
              <w:jc w:val="center"/>
              <w:rPr>
                <w:noProof w:val="0"/>
                <w:color w:val="000000" w:themeColor="text1"/>
                <w:sz w:val="18"/>
                <w:szCs w:val="18"/>
              </w:rPr>
            </w:pPr>
            <w:r w:rsidRPr="00036A98">
              <w:rPr>
                <w:noProof w:val="0"/>
                <w:color w:val="000000" w:themeColor="text1"/>
                <w:sz w:val="18"/>
              </w:rPr>
              <w:t>12 April 2017</w:t>
            </w:r>
          </w:p>
        </w:tc>
        <w:tc>
          <w:tcPr>
            <w:tcW w:w="635" w:type="pct"/>
          </w:tcPr>
          <w:p w:rsidR="00024511" w:rsidRPr="00036A98" w:rsidP="007B2924">
            <w:pPr>
              <w:jc w:val="center"/>
              <w:rPr>
                <w:noProof w:val="0"/>
                <w:color w:val="000000" w:themeColor="text1"/>
                <w:sz w:val="18"/>
                <w:szCs w:val="18"/>
              </w:rPr>
            </w:pPr>
            <w:r w:rsidRPr="00036A98">
              <w:rPr>
                <w:noProof w:val="0"/>
                <w:color w:val="000000" w:themeColor="text1"/>
                <w:sz w:val="18"/>
              </w:rPr>
              <w:t>20 April 2017</w:t>
            </w:r>
          </w:p>
        </w:tc>
        <w:tc>
          <w:tcPr>
            <w:tcW w:w="452" w:type="pct"/>
          </w:tcPr>
          <w:p w:rsidR="00024511" w:rsidRPr="00036A98" w:rsidP="007B2924">
            <w:pPr>
              <w:jc w:val="center"/>
              <w:rPr>
                <w:noProof w:val="0"/>
                <w:color w:val="000000" w:themeColor="text1"/>
                <w:sz w:val="18"/>
                <w:szCs w:val="18"/>
              </w:rPr>
            </w:pPr>
            <w:r w:rsidRPr="00036A98">
              <w:rPr>
                <w:noProof w:val="0"/>
                <w:color w:val="000000" w:themeColor="text1"/>
                <w:sz w:val="18"/>
              </w:rPr>
              <w:t>-</w:t>
            </w:r>
          </w:p>
        </w:tc>
        <w:tc>
          <w:tcPr>
            <w:tcW w:w="652" w:type="pct"/>
          </w:tcPr>
          <w:p w:rsidR="00024511" w:rsidRPr="00036A98" w:rsidP="007B2924">
            <w:pPr>
              <w:jc w:val="center"/>
              <w:rPr>
                <w:noProof w:val="0"/>
                <w:color w:val="000000" w:themeColor="text1"/>
                <w:sz w:val="18"/>
                <w:szCs w:val="18"/>
              </w:rPr>
            </w:pPr>
            <w:r w:rsidRPr="00036A98">
              <w:rPr>
                <w:noProof w:val="0"/>
                <w:color w:val="000000" w:themeColor="text1"/>
                <w:sz w:val="18"/>
              </w:rPr>
              <w:t>Yes</w:t>
            </w:r>
          </w:p>
        </w:tc>
        <w:tc>
          <w:tcPr>
            <w:tcW w:w="653" w:type="pct"/>
          </w:tcPr>
          <w:p w:rsidR="00024511" w:rsidRPr="00036A98" w:rsidP="007B2924">
            <w:pPr>
              <w:jc w:val="center"/>
              <w:rPr>
                <w:noProof w:val="0"/>
                <w:color w:val="000000" w:themeColor="text1"/>
                <w:sz w:val="18"/>
                <w:szCs w:val="18"/>
              </w:rPr>
            </w:pPr>
            <w:r w:rsidRPr="00036A98">
              <w:rPr>
                <w:noProof w:val="0"/>
                <w:color w:val="000000" w:themeColor="text1"/>
                <w:sz w:val="18"/>
              </w:rPr>
              <w:t>Yes</w:t>
            </w:r>
          </w:p>
        </w:tc>
        <w:tc>
          <w:tcPr>
            <w:tcW w:w="580" w:type="pct"/>
          </w:tcPr>
          <w:p w:rsidR="00024511" w:rsidRPr="00036A98" w:rsidP="007B2924">
            <w:pPr>
              <w:jc w:val="center"/>
              <w:rPr>
                <w:noProof w:val="0"/>
                <w:color w:val="000000" w:themeColor="text1"/>
                <w:sz w:val="18"/>
                <w:szCs w:val="18"/>
              </w:rPr>
            </w:pPr>
            <w:r w:rsidRPr="00036A98">
              <w:rPr>
                <w:noProof w:val="0"/>
                <w:color w:val="000000" w:themeColor="text1"/>
                <w:sz w:val="18"/>
              </w:rPr>
              <w:t>20 April 2017</w:t>
            </w:r>
          </w:p>
        </w:tc>
        <w:tc>
          <w:tcPr>
            <w:tcW w:w="579" w:type="pct"/>
          </w:tcPr>
          <w:p w:rsidR="00024511" w:rsidRPr="00036A98" w:rsidP="007B2924">
            <w:pPr>
              <w:jc w:val="center"/>
              <w:rPr>
                <w:noProof w:val="0"/>
                <w:color w:val="000000" w:themeColor="text1"/>
                <w:sz w:val="18"/>
                <w:szCs w:val="18"/>
              </w:rPr>
            </w:pPr>
            <w:r w:rsidRPr="00036A98">
              <w:rPr>
                <w:noProof w:val="0"/>
                <w:color w:val="000000" w:themeColor="text1"/>
                <w:sz w:val="18"/>
              </w:rPr>
              <w:t>26 August 2020</w:t>
            </w:r>
          </w:p>
        </w:tc>
      </w:tr>
      <w:tr w:rsidTr="00741DE3">
        <w:tblPrEx>
          <w:tblW w:w="5000" w:type="pct"/>
          <w:tblLook w:val="04A0"/>
        </w:tblPrEx>
        <w:trPr>
          <w:trHeight w:val="259"/>
        </w:trPr>
        <w:tc>
          <w:tcPr>
            <w:tcW w:w="851" w:type="pct"/>
          </w:tcPr>
          <w:p w:rsidR="00024511" w:rsidRPr="00036A98" w:rsidP="007B2924">
            <w:pPr>
              <w:jc w:val="center"/>
              <w:rPr>
                <w:b/>
                <w:noProof w:val="0"/>
                <w:color w:val="000000" w:themeColor="text1"/>
                <w:sz w:val="18"/>
                <w:szCs w:val="18"/>
              </w:rPr>
            </w:pPr>
            <w:r w:rsidRPr="00036A98">
              <w:rPr>
                <w:noProof w:val="0"/>
                <w:color w:val="000000" w:themeColor="text1"/>
                <w:sz w:val="18"/>
              </w:rPr>
              <w:t>Port Rail Ltd.</w:t>
            </w:r>
          </w:p>
        </w:tc>
        <w:tc>
          <w:tcPr>
            <w:tcW w:w="597" w:type="pct"/>
          </w:tcPr>
          <w:p w:rsidR="00024511" w:rsidRPr="00036A98" w:rsidP="007B2924">
            <w:pPr>
              <w:jc w:val="center"/>
              <w:rPr>
                <w:noProof w:val="0"/>
                <w:color w:val="000000" w:themeColor="text1"/>
                <w:sz w:val="18"/>
                <w:szCs w:val="18"/>
              </w:rPr>
            </w:pPr>
            <w:r w:rsidRPr="00036A98">
              <w:rPr>
                <w:noProof w:val="0"/>
                <w:color w:val="000000" w:themeColor="text1"/>
                <w:sz w:val="18"/>
              </w:rPr>
              <w:t>29 December 2016</w:t>
            </w:r>
          </w:p>
        </w:tc>
        <w:tc>
          <w:tcPr>
            <w:tcW w:w="635" w:type="pct"/>
          </w:tcPr>
          <w:p w:rsidR="00024511" w:rsidRPr="00036A98" w:rsidP="007B2924">
            <w:pPr>
              <w:jc w:val="center"/>
              <w:rPr>
                <w:noProof w:val="0"/>
                <w:color w:val="000000" w:themeColor="text1"/>
                <w:sz w:val="18"/>
                <w:szCs w:val="18"/>
              </w:rPr>
            </w:pPr>
            <w:r w:rsidRPr="00036A98">
              <w:rPr>
                <w:noProof w:val="0"/>
                <w:color w:val="000000" w:themeColor="text1"/>
                <w:sz w:val="18"/>
              </w:rPr>
              <w:t>26 May 2017</w:t>
            </w:r>
          </w:p>
        </w:tc>
        <w:tc>
          <w:tcPr>
            <w:tcW w:w="452" w:type="pct"/>
          </w:tcPr>
          <w:p w:rsidR="00024511" w:rsidRPr="00036A98" w:rsidP="007B2924">
            <w:pPr>
              <w:jc w:val="center"/>
              <w:rPr>
                <w:noProof w:val="0"/>
                <w:color w:val="000000" w:themeColor="text1"/>
                <w:sz w:val="18"/>
                <w:szCs w:val="18"/>
              </w:rPr>
            </w:pPr>
            <w:r w:rsidRPr="00036A98">
              <w:rPr>
                <w:noProof w:val="0"/>
                <w:color w:val="000000" w:themeColor="text1"/>
                <w:sz w:val="18"/>
              </w:rPr>
              <w:t>-</w:t>
            </w:r>
          </w:p>
        </w:tc>
        <w:tc>
          <w:tcPr>
            <w:tcW w:w="652" w:type="pct"/>
          </w:tcPr>
          <w:p w:rsidR="00024511" w:rsidRPr="00036A98" w:rsidP="007B2924">
            <w:pPr>
              <w:jc w:val="center"/>
              <w:rPr>
                <w:noProof w:val="0"/>
                <w:color w:val="000000" w:themeColor="text1"/>
                <w:sz w:val="18"/>
                <w:szCs w:val="18"/>
              </w:rPr>
            </w:pPr>
            <w:r w:rsidRPr="00036A98">
              <w:rPr>
                <w:noProof w:val="0"/>
                <w:color w:val="000000" w:themeColor="text1"/>
                <w:sz w:val="18"/>
              </w:rPr>
              <w:t>Yes</w:t>
            </w:r>
          </w:p>
        </w:tc>
        <w:tc>
          <w:tcPr>
            <w:tcW w:w="653" w:type="pct"/>
          </w:tcPr>
          <w:p w:rsidR="00024511" w:rsidRPr="00036A98" w:rsidP="007B2924">
            <w:pPr>
              <w:jc w:val="center"/>
              <w:rPr>
                <w:noProof w:val="0"/>
                <w:color w:val="000000" w:themeColor="text1"/>
                <w:sz w:val="18"/>
                <w:szCs w:val="18"/>
              </w:rPr>
            </w:pPr>
            <w:r w:rsidRPr="00036A98">
              <w:rPr>
                <w:noProof w:val="0"/>
                <w:color w:val="000000" w:themeColor="text1"/>
                <w:sz w:val="18"/>
              </w:rPr>
              <w:t>Yes</w:t>
            </w:r>
          </w:p>
        </w:tc>
        <w:tc>
          <w:tcPr>
            <w:tcW w:w="580" w:type="pct"/>
          </w:tcPr>
          <w:p w:rsidR="00024511" w:rsidRPr="00036A98" w:rsidP="007B2924">
            <w:pPr>
              <w:jc w:val="center"/>
              <w:rPr>
                <w:noProof w:val="0"/>
                <w:color w:val="000000" w:themeColor="text1"/>
                <w:sz w:val="18"/>
                <w:szCs w:val="18"/>
              </w:rPr>
            </w:pPr>
            <w:r w:rsidRPr="00036A98">
              <w:rPr>
                <w:noProof w:val="0"/>
                <w:color w:val="000000" w:themeColor="text1"/>
                <w:sz w:val="18"/>
              </w:rPr>
              <w:t>29 May 2017</w:t>
            </w:r>
          </w:p>
        </w:tc>
        <w:tc>
          <w:tcPr>
            <w:tcW w:w="579" w:type="pct"/>
          </w:tcPr>
          <w:p w:rsidR="00024511" w:rsidRPr="00036A98" w:rsidP="007B2924">
            <w:pPr>
              <w:jc w:val="center"/>
              <w:rPr>
                <w:noProof w:val="0"/>
                <w:color w:val="000000" w:themeColor="text1"/>
                <w:sz w:val="18"/>
                <w:szCs w:val="18"/>
              </w:rPr>
            </w:pPr>
            <w:r w:rsidRPr="00036A98">
              <w:rPr>
                <w:noProof w:val="0"/>
                <w:color w:val="000000" w:themeColor="text1"/>
                <w:sz w:val="18"/>
              </w:rPr>
              <w:t>28 May 2022</w:t>
            </w:r>
          </w:p>
        </w:tc>
      </w:tr>
      <w:tr w:rsidTr="00741DE3">
        <w:tblPrEx>
          <w:tblW w:w="5000" w:type="pct"/>
          <w:tblLook w:val="04A0"/>
        </w:tblPrEx>
        <w:trPr>
          <w:trHeight w:val="485"/>
        </w:trPr>
        <w:tc>
          <w:tcPr>
            <w:tcW w:w="851" w:type="pct"/>
          </w:tcPr>
          <w:p w:rsidR="00024511" w:rsidRPr="00036A98" w:rsidP="007B2924">
            <w:pPr>
              <w:jc w:val="center"/>
              <w:rPr>
                <w:b/>
                <w:noProof w:val="0"/>
                <w:color w:val="000000" w:themeColor="text1"/>
                <w:sz w:val="18"/>
                <w:szCs w:val="18"/>
              </w:rPr>
            </w:pPr>
            <w:r w:rsidRPr="00036A98">
              <w:rPr>
                <w:noProof w:val="0"/>
                <w:color w:val="000000" w:themeColor="text1"/>
                <w:sz w:val="18"/>
              </w:rPr>
              <w:t>DMV CARGO RAIL LTD</w:t>
            </w:r>
          </w:p>
        </w:tc>
        <w:tc>
          <w:tcPr>
            <w:tcW w:w="597" w:type="pct"/>
          </w:tcPr>
          <w:p w:rsidR="00024511" w:rsidRPr="00036A98" w:rsidP="007B2924">
            <w:pPr>
              <w:jc w:val="center"/>
              <w:rPr>
                <w:noProof w:val="0"/>
                <w:color w:val="000000" w:themeColor="text1"/>
                <w:sz w:val="18"/>
                <w:szCs w:val="18"/>
              </w:rPr>
            </w:pPr>
            <w:r w:rsidRPr="00036A98">
              <w:rPr>
                <w:noProof w:val="0"/>
                <w:color w:val="000000" w:themeColor="text1"/>
                <w:sz w:val="18"/>
              </w:rPr>
              <w:t>16 November 2016</w:t>
            </w:r>
          </w:p>
        </w:tc>
        <w:tc>
          <w:tcPr>
            <w:tcW w:w="635" w:type="pct"/>
          </w:tcPr>
          <w:p w:rsidR="00024511" w:rsidRPr="00036A98" w:rsidP="007B2924">
            <w:pPr>
              <w:jc w:val="center"/>
              <w:rPr>
                <w:noProof w:val="0"/>
                <w:color w:val="000000" w:themeColor="text1"/>
                <w:sz w:val="18"/>
                <w:szCs w:val="18"/>
              </w:rPr>
            </w:pPr>
            <w:r w:rsidRPr="00036A98">
              <w:rPr>
                <w:noProof w:val="0"/>
                <w:color w:val="000000" w:themeColor="text1"/>
                <w:sz w:val="18"/>
              </w:rPr>
              <w:t>3 July 2017</w:t>
            </w:r>
          </w:p>
        </w:tc>
        <w:tc>
          <w:tcPr>
            <w:tcW w:w="452" w:type="pct"/>
          </w:tcPr>
          <w:p w:rsidR="00024511" w:rsidRPr="00036A98" w:rsidP="007B2924">
            <w:pPr>
              <w:jc w:val="center"/>
              <w:rPr>
                <w:noProof w:val="0"/>
                <w:color w:val="000000" w:themeColor="text1"/>
                <w:sz w:val="18"/>
                <w:szCs w:val="18"/>
              </w:rPr>
            </w:pPr>
            <w:r w:rsidRPr="00036A98">
              <w:rPr>
                <w:noProof w:val="0"/>
                <w:color w:val="000000" w:themeColor="text1"/>
                <w:sz w:val="18"/>
              </w:rPr>
              <w:t>-</w:t>
            </w:r>
          </w:p>
        </w:tc>
        <w:tc>
          <w:tcPr>
            <w:tcW w:w="652" w:type="pct"/>
          </w:tcPr>
          <w:p w:rsidR="00024511" w:rsidRPr="00036A98" w:rsidP="007B2924">
            <w:pPr>
              <w:jc w:val="center"/>
              <w:rPr>
                <w:noProof w:val="0"/>
                <w:color w:val="000000" w:themeColor="text1"/>
                <w:sz w:val="18"/>
                <w:szCs w:val="18"/>
              </w:rPr>
            </w:pPr>
            <w:r w:rsidRPr="00036A98">
              <w:rPr>
                <w:noProof w:val="0"/>
                <w:color w:val="000000" w:themeColor="text1"/>
                <w:sz w:val="18"/>
              </w:rPr>
              <w:t>Yes</w:t>
            </w:r>
          </w:p>
        </w:tc>
        <w:tc>
          <w:tcPr>
            <w:tcW w:w="653" w:type="pct"/>
          </w:tcPr>
          <w:p w:rsidR="00024511" w:rsidRPr="00036A98" w:rsidP="007B2924">
            <w:pPr>
              <w:jc w:val="center"/>
              <w:rPr>
                <w:noProof w:val="0"/>
                <w:color w:val="000000" w:themeColor="text1"/>
                <w:sz w:val="18"/>
                <w:szCs w:val="18"/>
              </w:rPr>
            </w:pPr>
            <w:r w:rsidRPr="00036A98">
              <w:rPr>
                <w:noProof w:val="0"/>
                <w:color w:val="000000" w:themeColor="text1"/>
                <w:sz w:val="18"/>
              </w:rPr>
              <w:t>Yes</w:t>
            </w:r>
          </w:p>
        </w:tc>
        <w:tc>
          <w:tcPr>
            <w:tcW w:w="580" w:type="pct"/>
          </w:tcPr>
          <w:p w:rsidR="00024511" w:rsidRPr="00036A98" w:rsidP="007B2924">
            <w:pPr>
              <w:jc w:val="center"/>
              <w:rPr>
                <w:noProof w:val="0"/>
                <w:color w:val="000000" w:themeColor="text1"/>
                <w:sz w:val="18"/>
                <w:szCs w:val="18"/>
              </w:rPr>
            </w:pPr>
            <w:r w:rsidRPr="00036A98">
              <w:rPr>
                <w:noProof w:val="0"/>
                <w:color w:val="000000" w:themeColor="text1"/>
                <w:sz w:val="18"/>
              </w:rPr>
              <w:t>3 July 2017</w:t>
            </w:r>
          </w:p>
        </w:tc>
        <w:tc>
          <w:tcPr>
            <w:tcW w:w="579" w:type="pct"/>
          </w:tcPr>
          <w:p w:rsidR="00024511" w:rsidRPr="00036A98" w:rsidP="007B2924">
            <w:pPr>
              <w:jc w:val="center"/>
              <w:rPr>
                <w:noProof w:val="0"/>
                <w:color w:val="000000" w:themeColor="text1"/>
                <w:sz w:val="18"/>
                <w:szCs w:val="18"/>
              </w:rPr>
            </w:pPr>
            <w:r w:rsidRPr="00036A98">
              <w:rPr>
                <w:noProof w:val="0"/>
                <w:color w:val="000000" w:themeColor="text1"/>
                <w:sz w:val="18"/>
              </w:rPr>
              <w:t>2 July 2020</w:t>
            </w:r>
          </w:p>
        </w:tc>
      </w:tr>
      <w:tr w:rsidTr="00741DE3">
        <w:tblPrEx>
          <w:tblW w:w="5000" w:type="pct"/>
          <w:tblLook w:val="04A0"/>
        </w:tblPrEx>
        <w:trPr>
          <w:trHeight w:val="485"/>
        </w:trPr>
        <w:tc>
          <w:tcPr>
            <w:tcW w:w="851" w:type="pct"/>
          </w:tcPr>
          <w:p w:rsidR="00024511" w:rsidRPr="00036A98" w:rsidP="007B2924">
            <w:pPr>
              <w:jc w:val="center"/>
              <w:rPr>
                <w:b/>
                <w:noProof w:val="0"/>
                <w:color w:val="000000" w:themeColor="text1"/>
                <w:sz w:val="18"/>
                <w:szCs w:val="18"/>
              </w:rPr>
            </w:pPr>
            <w:r w:rsidRPr="00036A98">
              <w:rPr>
                <w:noProof w:val="0"/>
                <w:color w:val="000000" w:themeColor="text1"/>
                <w:sz w:val="18"/>
              </w:rPr>
              <w:t>TBD–TOVARNI PREVOZI JSC</w:t>
            </w:r>
          </w:p>
        </w:tc>
        <w:tc>
          <w:tcPr>
            <w:tcW w:w="597" w:type="pct"/>
          </w:tcPr>
          <w:p w:rsidR="00024511" w:rsidRPr="00036A98" w:rsidP="007B2924">
            <w:pPr>
              <w:jc w:val="center"/>
              <w:rPr>
                <w:noProof w:val="0"/>
                <w:color w:val="000000" w:themeColor="text1"/>
                <w:sz w:val="18"/>
                <w:szCs w:val="18"/>
              </w:rPr>
            </w:pPr>
            <w:r w:rsidRPr="00036A98">
              <w:rPr>
                <w:noProof w:val="0"/>
                <w:color w:val="000000" w:themeColor="text1"/>
                <w:sz w:val="18"/>
              </w:rPr>
              <w:t>6 October 2017</w:t>
            </w:r>
          </w:p>
        </w:tc>
        <w:tc>
          <w:tcPr>
            <w:tcW w:w="635" w:type="pct"/>
          </w:tcPr>
          <w:p w:rsidR="00024511" w:rsidRPr="00036A98" w:rsidP="007B2924">
            <w:pPr>
              <w:jc w:val="center"/>
              <w:rPr>
                <w:noProof w:val="0"/>
                <w:color w:val="000000" w:themeColor="text1"/>
                <w:sz w:val="18"/>
                <w:szCs w:val="18"/>
              </w:rPr>
            </w:pPr>
            <w:r w:rsidRPr="00036A98">
              <w:rPr>
                <w:noProof w:val="0"/>
                <w:color w:val="000000" w:themeColor="text1"/>
                <w:sz w:val="18"/>
              </w:rPr>
              <w:t>16 November 2017</w:t>
            </w:r>
          </w:p>
        </w:tc>
        <w:tc>
          <w:tcPr>
            <w:tcW w:w="452" w:type="pct"/>
          </w:tcPr>
          <w:p w:rsidR="00024511" w:rsidRPr="00036A98" w:rsidP="007B2924">
            <w:pPr>
              <w:jc w:val="center"/>
              <w:rPr>
                <w:noProof w:val="0"/>
                <w:color w:val="000000" w:themeColor="text1"/>
                <w:sz w:val="18"/>
                <w:szCs w:val="18"/>
              </w:rPr>
            </w:pPr>
            <w:r w:rsidRPr="00036A98">
              <w:rPr>
                <w:noProof w:val="0"/>
                <w:color w:val="000000" w:themeColor="text1"/>
                <w:sz w:val="18"/>
              </w:rPr>
              <w:t>-</w:t>
            </w:r>
          </w:p>
        </w:tc>
        <w:tc>
          <w:tcPr>
            <w:tcW w:w="652" w:type="pct"/>
          </w:tcPr>
          <w:p w:rsidR="00024511" w:rsidRPr="00036A98" w:rsidP="007B2924">
            <w:pPr>
              <w:jc w:val="center"/>
              <w:rPr>
                <w:noProof w:val="0"/>
                <w:color w:val="000000" w:themeColor="text1"/>
                <w:sz w:val="18"/>
                <w:szCs w:val="18"/>
              </w:rPr>
            </w:pPr>
            <w:r w:rsidRPr="00036A98">
              <w:rPr>
                <w:noProof w:val="0"/>
                <w:color w:val="000000" w:themeColor="text1"/>
                <w:sz w:val="18"/>
              </w:rPr>
              <w:t>Yes</w:t>
            </w:r>
          </w:p>
        </w:tc>
        <w:tc>
          <w:tcPr>
            <w:tcW w:w="653" w:type="pct"/>
          </w:tcPr>
          <w:p w:rsidR="00024511" w:rsidRPr="00036A98" w:rsidP="007B2924">
            <w:pPr>
              <w:jc w:val="center"/>
              <w:rPr>
                <w:noProof w:val="0"/>
                <w:color w:val="000000" w:themeColor="text1"/>
                <w:sz w:val="18"/>
                <w:szCs w:val="18"/>
              </w:rPr>
            </w:pPr>
            <w:r w:rsidRPr="00036A98">
              <w:rPr>
                <w:noProof w:val="0"/>
                <w:color w:val="000000" w:themeColor="text1"/>
                <w:sz w:val="18"/>
              </w:rPr>
              <w:t>Yes</w:t>
            </w:r>
          </w:p>
        </w:tc>
        <w:tc>
          <w:tcPr>
            <w:tcW w:w="580" w:type="pct"/>
          </w:tcPr>
          <w:p w:rsidR="00024511" w:rsidRPr="00036A98" w:rsidP="007B2924">
            <w:pPr>
              <w:jc w:val="center"/>
              <w:rPr>
                <w:noProof w:val="0"/>
                <w:color w:val="000000" w:themeColor="text1"/>
                <w:sz w:val="18"/>
                <w:szCs w:val="18"/>
              </w:rPr>
            </w:pPr>
            <w:r w:rsidRPr="00036A98">
              <w:rPr>
                <w:noProof w:val="0"/>
                <w:color w:val="000000" w:themeColor="text1"/>
                <w:sz w:val="18"/>
              </w:rPr>
              <w:t>17 November 2017</w:t>
            </w:r>
          </w:p>
        </w:tc>
        <w:tc>
          <w:tcPr>
            <w:tcW w:w="579" w:type="pct"/>
          </w:tcPr>
          <w:p w:rsidR="00024511" w:rsidRPr="00036A98" w:rsidP="007B2924">
            <w:pPr>
              <w:jc w:val="center"/>
              <w:rPr>
                <w:noProof w:val="0"/>
                <w:color w:val="000000" w:themeColor="text1"/>
                <w:sz w:val="18"/>
                <w:szCs w:val="18"/>
              </w:rPr>
            </w:pPr>
            <w:r w:rsidRPr="00036A98">
              <w:rPr>
                <w:noProof w:val="0"/>
                <w:color w:val="000000" w:themeColor="text1"/>
                <w:sz w:val="18"/>
              </w:rPr>
              <w:t>26 August 2020</w:t>
            </w:r>
          </w:p>
        </w:tc>
      </w:tr>
      <w:tr w:rsidTr="00741DE3">
        <w:tblPrEx>
          <w:tblW w:w="5000" w:type="pct"/>
          <w:tblLook w:val="04A0"/>
        </w:tblPrEx>
        <w:trPr>
          <w:trHeight w:val="249"/>
        </w:trPr>
        <w:tc>
          <w:tcPr>
            <w:tcW w:w="851" w:type="pct"/>
          </w:tcPr>
          <w:p w:rsidR="00024511" w:rsidRPr="00036A98" w:rsidP="007B2924">
            <w:pPr>
              <w:jc w:val="center"/>
              <w:rPr>
                <w:b/>
                <w:noProof w:val="0"/>
                <w:color w:val="000000" w:themeColor="text1"/>
                <w:sz w:val="18"/>
                <w:szCs w:val="18"/>
              </w:rPr>
            </w:pPr>
            <w:r w:rsidRPr="00036A98">
              <w:rPr>
                <w:noProof w:val="0"/>
                <w:color w:val="000000" w:themeColor="text1"/>
                <w:sz w:val="18"/>
              </w:rPr>
              <w:t>Traktsia</w:t>
            </w:r>
            <w:r w:rsidRPr="00036A98">
              <w:rPr>
                <w:noProof w:val="0"/>
                <w:color w:val="000000" w:themeColor="text1"/>
                <w:sz w:val="18"/>
              </w:rPr>
              <w:t xml:space="preserve"> JSC</w:t>
            </w:r>
          </w:p>
        </w:tc>
        <w:tc>
          <w:tcPr>
            <w:tcW w:w="597" w:type="pct"/>
          </w:tcPr>
          <w:p w:rsidR="00024511" w:rsidRPr="00036A98" w:rsidP="007B2924">
            <w:pPr>
              <w:jc w:val="center"/>
              <w:rPr>
                <w:noProof w:val="0"/>
                <w:color w:val="000000" w:themeColor="text1"/>
                <w:sz w:val="18"/>
                <w:szCs w:val="18"/>
              </w:rPr>
            </w:pPr>
            <w:r w:rsidRPr="00036A98">
              <w:rPr>
                <w:noProof w:val="0"/>
                <w:color w:val="000000" w:themeColor="text1"/>
                <w:sz w:val="18"/>
              </w:rPr>
              <w:t>24 August 2017</w:t>
            </w:r>
          </w:p>
        </w:tc>
        <w:tc>
          <w:tcPr>
            <w:tcW w:w="635" w:type="pct"/>
          </w:tcPr>
          <w:p w:rsidR="00024511" w:rsidRPr="00036A98" w:rsidP="007B2924">
            <w:pPr>
              <w:jc w:val="center"/>
              <w:rPr>
                <w:noProof w:val="0"/>
                <w:color w:val="000000" w:themeColor="text1"/>
                <w:sz w:val="18"/>
                <w:szCs w:val="18"/>
              </w:rPr>
            </w:pPr>
            <w:r w:rsidRPr="00036A98">
              <w:rPr>
                <w:noProof w:val="0"/>
                <w:color w:val="000000" w:themeColor="text1"/>
                <w:sz w:val="18"/>
              </w:rPr>
              <w:t>5 December 2017</w:t>
            </w:r>
          </w:p>
        </w:tc>
        <w:tc>
          <w:tcPr>
            <w:tcW w:w="452" w:type="pct"/>
          </w:tcPr>
          <w:p w:rsidR="00024511" w:rsidRPr="00036A98" w:rsidP="007B2924">
            <w:pPr>
              <w:jc w:val="center"/>
              <w:rPr>
                <w:noProof w:val="0"/>
                <w:color w:val="000000" w:themeColor="text1"/>
                <w:sz w:val="18"/>
                <w:szCs w:val="18"/>
              </w:rPr>
            </w:pPr>
            <w:r w:rsidRPr="00036A98">
              <w:rPr>
                <w:noProof w:val="0"/>
                <w:color w:val="000000" w:themeColor="text1"/>
                <w:sz w:val="18"/>
              </w:rPr>
              <w:t>-</w:t>
            </w:r>
          </w:p>
        </w:tc>
        <w:tc>
          <w:tcPr>
            <w:tcW w:w="652" w:type="pct"/>
          </w:tcPr>
          <w:p w:rsidR="00024511" w:rsidRPr="00036A98" w:rsidP="007B2924">
            <w:pPr>
              <w:jc w:val="center"/>
              <w:rPr>
                <w:noProof w:val="0"/>
                <w:color w:val="000000" w:themeColor="text1"/>
                <w:sz w:val="18"/>
                <w:szCs w:val="18"/>
              </w:rPr>
            </w:pPr>
            <w:r w:rsidRPr="00036A98">
              <w:rPr>
                <w:noProof w:val="0"/>
                <w:color w:val="000000" w:themeColor="text1"/>
                <w:sz w:val="18"/>
              </w:rPr>
              <w:t>Yes</w:t>
            </w:r>
          </w:p>
        </w:tc>
        <w:tc>
          <w:tcPr>
            <w:tcW w:w="653" w:type="pct"/>
          </w:tcPr>
          <w:p w:rsidR="00024511" w:rsidRPr="00036A98" w:rsidP="007B2924">
            <w:pPr>
              <w:jc w:val="center"/>
              <w:rPr>
                <w:noProof w:val="0"/>
                <w:color w:val="000000" w:themeColor="text1"/>
                <w:sz w:val="18"/>
                <w:szCs w:val="18"/>
              </w:rPr>
            </w:pPr>
            <w:r w:rsidRPr="00036A98">
              <w:rPr>
                <w:noProof w:val="0"/>
                <w:color w:val="000000" w:themeColor="text1"/>
                <w:sz w:val="18"/>
              </w:rPr>
              <w:t>Yes</w:t>
            </w:r>
          </w:p>
        </w:tc>
        <w:tc>
          <w:tcPr>
            <w:tcW w:w="580" w:type="pct"/>
          </w:tcPr>
          <w:p w:rsidR="00024511" w:rsidRPr="00036A98" w:rsidP="007B2924">
            <w:pPr>
              <w:jc w:val="center"/>
              <w:rPr>
                <w:noProof w:val="0"/>
                <w:color w:val="000000" w:themeColor="text1"/>
                <w:sz w:val="18"/>
                <w:szCs w:val="18"/>
              </w:rPr>
            </w:pPr>
            <w:r w:rsidRPr="00036A98">
              <w:rPr>
                <w:noProof w:val="0"/>
                <w:color w:val="000000" w:themeColor="text1"/>
                <w:sz w:val="18"/>
              </w:rPr>
              <w:t>6 December 2017</w:t>
            </w:r>
          </w:p>
        </w:tc>
        <w:tc>
          <w:tcPr>
            <w:tcW w:w="579" w:type="pct"/>
          </w:tcPr>
          <w:p w:rsidR="00024511" w:rsidRPr="00036A98" w:rsidP="007B2924">
            <w:pPr>
              <w:jc w:val="center"/>
              <w:rPr>
                <w:noProof w:val="0"/>
                <w:color w:val="000000" w:themeColor="text1"/>
                <w:sz w:val="18"/>
                <w:szCs w:val="18"/>
              </w:rPr>
            </w:pPr>
            <w:r w:rsidRPr="00036A98">
              <w:rPr>
                <w:noProof w:val="0"/>
                <w:color w:val="000000" w:themeColor="text1"/>
                <w:sz w:val="18"/>
              </w:rPr>
              <w:t>5 December 2019</w:t>
            </w:r>
          </w:p>
        </w:tc>
      </w:tr>
      <w:tr w:rsidTr="00741DE3">
        <w:tblPrEx>
          <w:tblW w:w="5000" w:type="pct"/>
          <w:tblLook w:val="04A0"/>
        </w:tblPrEx>
        <w:trPr>
          <w:trHeight w:val="268"/>
        </w:trPr>
        <w:tc>
          <w:tcPr>
            <w:tcW w:w="851" w:type="pct"/>
          </w:tcPr>
          <w:p w:rsidR="00024511" w:rsidRPr="00036A98" w:rsidP="007B2924">
            <w:pPr>
              <w:jc w:val="center"/>
              <w:rPr>
                <w:b/>
                <w:noProof w:val="0"/>
                <w:color w:val="000000" w:themeColor="text1"/>
                <w:sz w:val="18"/>
                <w:szCs w:val="18"/>
              </w:rPr>
            </w:pPr>
            <w:r w:rsidRPr="00036A98">
              <w:rPr>
                <w:noProof w:val="0"/>
                <w:color w:val="000000" w:themeColor="text1"/>
                <w:sz w:val="18"/>
              </w:rPr>
              <w:t>‘BDZ-FS" Ltd.</w:t>
            </w:r>
          </w:p>
        </w:tc>
        <w:tc>
          <w:tcPr>
            <w:tcW w:w="597" w:type="pct"/>
          </w:tcPr>
          <w:p w:rsidR="00024511" w:rsidRPr="00036A98" w:rsidP="007B2924">
            <w:pPr>
              <w:jc w:val="center"/>
              <w:rPr>
                <w:noProof w:val="0"/>
                <w:color w:val="000000" w:themeColor="text1"/>
                <w:sz w:val="18"/>
                <w:szCs w:val="18"/>
              </w:rPr>
            </w:pPr>
            <w:r w:rsidRPr="00036A98">
              <w:rPr>
                <w:noProof w:val="0"/>
                <w:color w:val="000000" w:themeColor="text1"/>
                <w:sz w:val="18"/>
              </w:rPr>
              <w:t>28 June 2016</w:t>
            </w:r>
          </w:p>
        </w:tc>
        <w:tc>
          <w:tcPr>
            <w:tcW w:w="635" w:type="pct"/>
          </w:tcPr>
          <w:p w:rsidR="00024511" w:rsidRPr="00036A98" w:rsidP="007B2924">
            <w:pPr>
              <w:jc w:val="center"/>
              <w:rPr>
                <w:noProof w:val="0"/>
                <w:color w:val="000000" w:themeColor="text1"/>
                <w:sz w:val="18"/>
                <w:szCs w:val="18"/>
              </w:rPr>
            </w:pPr>
            <w:r w:rsidRPr="00036A98">
              <w:rPr>
                <w:noProof w:val="0"/>
                <w:color w:val="000000" w:themeColor="text1"/>
                <w:sz w:val="18"/>
              </w:rPr>
              <w:t>21 December 2017</w:t>
            </w:r>
          </w:p>
        </w:tc>
        <w:tc>
          <w:tcPr>
            <w:tcW w:w="452" w:type="pct"/>
          </w:tcPr>
          <w:p w:rsidR="00024511" w:rsidRPr="00036A98" w:rsidP="007B2924">
            <w:pPr>
              <w:jc w:val="center"/>
              <w:rPr>
                <w:noProof w:val="0"/>
                <w:color w:val="000000" w:themeColor="text1"/>
                <w:sz w:val="18"/>
                <w:szCs w:val="18"/>
              </w:rPr>
            </w:pPr>
            <w:r w:rsidRPr="00036A98">
              <w:rPr>
                <w:noProof w:val="0"/>
                <w:color w:val="000000" w:themeColor="text1"/>
                <w:sz w:val="18"/>
              </w:rPr>
              <w:t>-</w:t>
            </w:r>
          </w:p>
        </w:tc>
        <w:tc>
          <w:tcPr>
            <w:tcW w:w="652" w:type="pct"/>
          </w:tcPr>
          <w:p w:rsidR="00024511" w:rsidRPr="00036A98" w:rsidP="007B2924">
            <w:pPr>
              <w:jc w:val="center"/>
              <w:rPr>
                <w:noProof w:val="0"/>
                <w:color w:val="000000" w:themeColor="text1"/>
                <w:sz w:val="18"/>
                <w:szCs w:val="18"/>
              </w:rPr>
            </w:pPr>
            <w:r w:rsidRPr="00036A98">
              <w:rPr>
                <w:noProof w:val="0"/>
                <w:color w:val="000000" w:themeColor="text1"/>
                <w:sz w:val="18"/>
              </w:rPr>
              <w:t>Yes</w:t>
            </w:r>
          </w:p>
        </w:tc>
        <w:tc>
          <w:tcPr>
            <w:tcW w:w="653" w:type="pct"/>
          </w:tcPr>
          <w:p w:rsidR="00024511" w:rsidRPr="00036A98" w:rsidP="007B2924">
            <w:pPr>
              <w:jc w:val="center"/>
              <w:rPr>
                <w:noProof w:val="0"/>
                <w:color w:val="000000" w:themeColor="text1"/>
                <w:sz w:val="18"/>
                <w:szCs w:val="18"/>
              </w:rPr>
            </w:pPr>
            <w:r w:rsidRPr="00036A98">
              <w:rPr>
                <w:noProof w:val="0"/>
                <w:color w:val="000000" w:themeColor="text1"/>
                <w:sz w:val="18"/>
              </w:rPr>
              <w:t>Yes</w:t>
            </w:r>
          </w:p>
        </w:tc>
        <w:tc>
          <w:tcPr>
            <w:tcW w:w="580" w:type="pct"/>
          </w:tcPr>
          <w:p w:rsidR="00024511" w:rsidRPr="00036A98" w:rsidP="007B2924">
            <w:pPr>
              <w:jc w:val="center"/>
              <w:rPr>
                <w:noProof w:val="0"/>
                <w:color w:val="000000" w:themeColor="text1"/>
                <w:sz w:val="18"/>
                <w:szCs w:val="18"/>
              </w:rPr>
            </w:pPr>
            <w:r w:rsidRPr="00036A98">
              <w:rPr>
                <w:noProof w:val="0"/>
                <w:color w:val="000000" w:themeColor="text1"/>
                <w:sz w:val="18"/>
              </w:rPr>
              <w:t>31 December 2017</w:t>
            </w:r>
          </w:p>
        </w:tc>
        <w:tc>
          <w:tcPr>
            <w:tcW w:w="579" w:type="pct"/>
          </w:tcPr>
          <w:p w:rsidR="00024511" w:rsidRPr="00036A98" w:rsidP="007B2924">
            <w:pPr>
              <w:jc w:val="center"/>
              <w:rPr>
                <w:noProof w:val="0"/>
                <w:color w:val="000000" w:themeColor="text1"/>
                <w:sz w:val="18"/>
                <w:szCs w:val="18"/>
              </w:rPr>
            </w:pPr>
            <w:r w:rsidRPr="00036A98">
              <w:rPr>
                <w:noProof w:val="0"/>
                <w:color w:val="000000" w:themeColor="text1"/>
                <w:sz w:val="18"/>
              </w:rPr>
              <w:t>30 December 2022</w:t>
            </w:r>
          </w:p>
        </w:tc>
      </w:tr>
      <w:tr w:rsidTr="00741DE3">
        <w:tblPrEx>
          <w:tblW w:w="5000" w:type="pct"/>
          <w:tblLook w:val="04A0"/>
        </w:tblPrEx>
        <w:trPr>
          <w:trHeight w:val="257"/>
        </w:trPr>
        <w:tc>
          <w:tcPr>
            <w:tcW w:w="851" w:type="pct"/>
          </w:tcPr>
          <w:p w:rsidR="00024511" w:rsidRPr="00036A98" w:rsidP="007B2924">
            <w:pPr>
              <w:jc w:val="center"/>
              <w:rPr>
                <w:b/>
                <w:noProof w:val="0"/>
                <w:color w:val="000000" w:themeColor="text1"/>
                <w:sz w:val="18"/>
                <w:szCs w:val="18"/>
              </w:rPr>
            </w:pPr>
            <w:r w:rsidRPr="00036A98">
              <w:rPr>
                <w:noProof w:val="0"/>
                <w:color w:val="000000" w:themeColor="text1"/>
                <w:sz w:val="18"/>
              </w:rPr>
              <w:t>BDZ Passengers</w:t>
            </w:r>
          </w:p>
        </w:tc>
        <w:tc>
          <w:tcPr>
            <w:tcW w:w="597" w:type="pct"/>
          </w:tcPr>
          <w:p w:rsidR="00024511" w:rsidRPr="00036A98" w:rsidP="007B2924">
            <w:pPr>
              <w:jc w:val="center"/>
              <w:rPr>
                <w:noProof w:val="0"/>
                <w:color w:val="000000" w:themeColor="text1"/>
                <w:sz w:val="18"/>
                <w:szCs w:val="18"/>
              </w:rPr>
            </w:pPr>
            <w:r w:rsidRPr="00036A98">
              <w:rPr>
                <w:noProof w:val="0"/>
                <w:color w:val="000000" w:themeColor="text1"/>
                <w:sz w:val="18"/>
              </w:rPr>
              <w:t>28 June 2017</w:t>
            </w:r>
          </w:p>
        </w:tc>
        <w:tc>
          <w:tcPr>
            <w:tcW w:w="635" w:type="pct"/>
          </w:tcPr>
          <w:p w:rsidR="00024511" w:rsidRPr="00036A98" w:rsidP="007B2924">
            <w:pPr>
              <w:jc w:val="center"/>
              <w:rPr>
                <w:noProof w:val="0"/>
                <w:color w:val="000000" w:themeColor="text1"/>
                <w:sz w:val="18"/>
                <w:szCs w:val="18"/>
              </w:rPr>
            </w:pPr>
            <w:r w:rsidRPr="00036A98">
              <w:rPr>
                <w:noProof w:val="0"/>
                <w:color w:val="000000" w:themeColor="text1"/>
                <w:sz w:val="18"/>
              </w:rPr>
              <w:t>22 December 2017</w:t>
            </w:r>
          </w:p>
        </w:tc>
        <w:tc>
          <w:tcPr>
            <w:tcW w:w="452" w:type="pct"/>
          </w:tcPr>
          <w:p w:rsidR="00024511" w:rsidRPr="00036A98" w:rsidP="007B2924">
            <w:pPr>
              <w:jc w:val="center"/>
              <w:rPr>
                <w:noProof w:val="0"/>
                <w:color w:val="000000" w:themeColor="text1"/>
                <w:sz w:val="18"/>
                <w:szCs w:val="18"/>
              </w:rPr>
            </w:pPr>
            <w:r w:rsidRPr="00036A98">
              <w:rPr>
                <w:noProof w:val="0"/>
                <w:color w:val="000000" w:themeColor="text1"/>
                <w:sz w:val="18"/>
              </w:rPr>
              <w:t>-</w:t>
            </w:r>
          </w:p>
        </w:tc>
        <w:tc>
          <w:tcPr>
            <w:tcW w:w="652" w:type="pct"/>
          </w:tcPr>
          <w:p w:rsidR="00024511" w:rsidRPr="00036A98" w:rsidP="007B2924">
            <w:pPr>
              <w:jc w:val="center"/>
              <w:rPr>
                <w:color w:val="000000" w:themeColor="text1"/>
                <w:sz w:val="18"/>
                <w:szCs w:val="18"/>
              </w:rPr>
            </w:pPr>
            <w:r w:rsidRPr="00036A98">
              <w:rPr>
                <w:noProof w:val="0"/>
                <w:color w:val="000000" w:themeColor="text1"/>
                <w:sz w:val="18"/>
              </w:rPr>
              <w:t>Yes</w:t>
            </w:r>
          </w:p>
        </w:tc>
        <w:tc>
          <w:tcPr>
            <w:tcW w:w="653" w:type="pct"/>
          </w:tcPr>
          <w:p w:rsidR="00024511" w:rsidRPr="00036A98" w:rsidP="007B2924">
            <w:pPr>
              <w:jc w:val="center"/>
              <w:rPr>
                <w:color w:val="000000" w:themeColor="text1"/>
                <w:sz w:val="18"/>
                <w:szCs w:val="18"/>
              </w:rPr>
            </w:pPr>
            <w:r w:rsidRPr="00036A98">
              <w:rPr>
                <w:noProof w:val="0"/>
                <w:color w:val="000000" w:themeColor="text1"/>
                <w:sz w:val="18"/>
              </w:rPr>
              <w:t>Yes</w:t>
            </w:r>
          </w:p>
        </w:tc>
        <w:tc>
          <w:tcPr>
            <w:tcW w:w="580" w:type="pct"/>
          </w:tcPr>
          <w:p w:rsidR="00024511" w:rsidRPr="00036A98" w:rsidP="007B2924">
            <w:pPr>
              <w:jc w:val="center"/>
              <w:rPr>
                <w:noProof w:val="0"/>
                <w:color w:val="000000" w:themeColor="text1"/>
                <w:sz w:val="18"/>
                <w:szCs w:val="18"/>
              </w:rPr>
            </w:pPr>
            <w:r w:rsidRPr="00036A98">
              <w:rPr>
                <w:noProof w:val="0"/>
                <w:color w:val="000000" w:themeColor="text1"/>
                <w:sz w:val="18"/>
              </w:rPr>
              <w:t>31 December 2017</w:t>
            </w:r>
          </w:p>
        </w:tc>
        <w:tc>
          <w:tcPr>
            <w:tcW w:w="579" w:type="pct"/>
          </w:tcPr>
          <w:p w:rsidR="00024511" w:rsidRPr="00036A98" w:rsidP="007B2924">
            <w:pPr>
              <w:jc w:val="center"/>
              <w:rPr>
                <w:noProof w:val="0"/>
                <w:color w:val="000000" w:themeColor="text1"/>
                <w:sz w:val="18"/>
                <w:szCs w:val="18"/>
              </w:rPr>
            </w:pPr>
            <w:r w:rsidRPr="00036A98">
              <w:rPr>
                <w:noProof w:val="0"/>
                <w:color w:val="000000" w:themeColor="text1"/>
                <w:sz w:val="18"/>
              </w:rPr>
              <w:t>30 December 2022</w:t>
            </w:r>
          </w:p>
        </w:tc>
      </w:tr>
    </w:tbl>
    <w:p w:rsidR="00D35F4F" w:rsidRPr="00036A98" w:rsidP="00A930EA">
      <w:pPr>
        <w:spacing w:before="120"/>
        <w:ind w:firstLine="720"/>
        <w:jc w:val="both"/>
      </w:pPr>
      <w:r w:rsidRPr="00036A98">
        <w:t xml:space="preserve">In 2017, no applications for issuance, renewal or update of SAs of RUs were submitted to the RAEA, and no such certificates were issued or revoked.  </w:t>
      </w:r>
    </w:p>
    <w:p w:rsidR="00084411" w:rsidRPr="00036A98" w:rsidP="007B2924">
      <w:pPr>
        <w:pStyle w:val="Heading1"/>
        <w:rPr>
          <w:rFonts w:eastAsia="Calibri"/>
        </w:rPr>
      </w:pPr>
      <w:bookmarkStart w:id="196" w:name="_Toc462235814"/>
      <w:bookmarkStart w:id="197" w:name="_Toc462754796"/>
      <w:bookmarkStart w:id="198" w:name="_Toc490231023"/>
      <w:bookmarkStart w:id="199" w:name="_Toc490231915"/>
      <w:bookmarkStart w:id="200" w:name="_Toc490232043"/>
      <w:bookmarkStart w:id="201" w:name="_Toc491352171"/>
      <w:bookmarkStart w:id="202" w:name="_Toc491788104"/>
      <w:bookmarkStart w:id="203" w:name="_Toc491789294"/>
      <w:bookmarkStart w:id="204" w:name="_Toc491791291"/>
      <w:bookmarkStart w:id="205" w:name="_Toc525214771"/>
      <w:r w:rsidRPr="00036A98">
        <w:t>E.2.</w:t>
      </w:r>
      <w:r w:rsidRPr="00036A98">
        <w:tab/>
        <w:t>Contacts with Other NSAs</w:t>
      </w:r>
      <w:bookmarkEnd w:id="196"/>
      <w:bookmarkEnd w:id="197"/>
      <w:bookmarkEnd w:id="198"/>
      <w:bookmarkEnd w:id="199"/>
      <w:bookmarkEnd w:id="200"/>
      <w:bookmarkEnd w:id="201"/>
      <w:bookmarkEnd w:id="202"/>
      <w:bookmarkEnd w:id="203"/>
      <w:bookmarkEnd w:id="204"/>
      <w:bookmarkEnd w:id="205"/>
    </w:p>
    <w:p w:rsidR="0059781B" w:rsidRPr="00036A98" w:rsidP="007B2924">
      <w:pPr>
        <w:ind w:firstLine="709"/>
        <w:jc w:val="both"/>
        <w:rPr>
          <w:rFonts w:eastAsia="Calibri"/>
          <w:noProof w:val="0"/>
        </w:rPr>
      </w:pPr>
      <w:r w:rsidRPr="00036A98">
        <w:t>In 2017, there were no inquiries from other EU Member States’ NSAs for the provision of information regarding Safety Certificates Part A of railway undertakings certified by the NSA of Bulgaria applying for a Safety Certificate Part B in another Member State.</w:t>
      </w:r>
    </w:p>
    <w:p w:rsidR="00084411" w:rsidRPr="00036A98" w:rsidP="007B2924">
      <w:pPr>
        <w:ind w:firstLine="708"/>
        <w:jc w:val="both"/>
        <w:rPr>
          <w:rFonts w:eastAsia="Calibri"/>
          <w:noProof w:val="0"/>
        </w:rPr>
      </w:pPr>
      <w:r w:rsidRPr="00036A98">
        <w:t>In 2017, the NSA of Bulgaria did not make any requests for the provision of information related to Safety Certificates Part A issued in other EU Member States.</w:t>
      </w:r>
    </w:p>
    <w:p w:rsidR="00084411" w:rsidRPr="00036A98" w:rsidP="007B2924">
      <w:pPr>
        <w:pStyle w:val="Heading1"/>
        <w:rPr>
          <w:rFonts w:eastAsia="Calibri"/>
        </w:rPr>
      </w:pPr>
      <w:bookmarkStart w:id="206" w:name="_Toc462235815"/>
      <w:bookmarkStart w:id="207" w:name="_Toc462754797"/>
      <w:bookmarkStart w:id="208" w:name="_Toc490231024"/>
      <w:bookmarkStart w:id="209" w:name="_Toc490231916"/>
      <w:bookmarkStart w:id="210" w:name="_Toc490232044"/>
      <w:bookmarkStart w:id="211" w:name="_Toc491352172"/>
      <w:bookmarkStart w:id="212" w:name="_Toc491788105"/>
      <w:bookmarkStart w:id="213" w:name="_Toc491789295"/>
      <w:bookmarkStart w:id="214" w:name="_Toc491791292"/>
      <w:bookmarkStart w:id="215" w:name="_Toc525214772"/>
      <w:r w:rsidRPr="00036A98">
        <w:t>E.3.</w:t>
      </w:r>
      <w:r w:rsidRPr="00036A98">
        <w:tab/>
        <w:t>Procedural Issues</w:t>
      </w:r>
      <w:bookmarkEnd w:id="206"/>
      <w:bookmarkEnd w:id="207"/>
      <w:bookmarkEnd w:id="208"/>
      <w:bookmarkEnd w:id="209"/>
      <w:bookmarkEnd w:id="210"/>
      <w:bookmarkEnd w:id="211"/>
      <w:bookmarkEnd w:id="212"/>
      <w:bookmarkEnd w:id="213"/>
      <w:bookmarkEnd w:id="214"/>
      <w:bookmarkEnd w:id="215"/>
    </w:p>
    <w:p w:rsidR="00DB2483" w:rsidRPr="00036A98" w:rsidP="007B2924">
      <w:pPr>
        <w:ind w:firstLine="709"/>
        <w:jc w:val="both"/>
        <w:rPr>
          <w:rFonts w:eastAsia="Calibri"/>
          <w:noProof w:val="0"/>
        </w:rPr>
      </w:pPr>
      <w:r w:rsidRPr="00036A98">
        <w:t xml:space="preserve">The observations of the NSA of Bulgaria during the implementation of the CSM for assessing conformity with the requirements for obtaining railway safety certificates (Regulation (EU) No 1158/2010/EU) and safety authorisations (Regulation (EU) No 1169/2010/EU), in 2017, show that the IM (NRIC SE) and the railway undertakings (RUs) have adapted their safety management systems (SMSs) to these requirements. </w:t>
      </w:r>
    </w:p>
    <w:p w:rsidR="00DB2483" w:rsidRPr="00036A98" w:rsidP="007B2924">
      <w:pPr>
        <w:ind w:firstLine="709"/>
        <w:jc w:val="both"/>
        <w:rPr>
          <w:rFonts w:eastAsia="Calibri"/>
          <w:noProof w:val="0"/>
        </w:rPr>
      </w:pPr>
      <w:r w:rsidRPr="00036A98">
        <w:t>A main area for improvement of the operations of the railway sector in Bulgaria in the field of safety is the implementation of the CSM on risk evaluation and assessment in compliance with the requirements of Regulation No 352/2009/EC, repealed by Regulation No 402/2013.</w:t>
      </w:r>
    </w:p>
    <w:p w:rsidR="00DB2483" w:rsidRPr="00036A98" w:rsidP="007B2924">
      <w:pPr>
        <w:ind w:firstLine="709"/>
        <w:jc w:val="both"/>
        <w:rPr>
          <w:rFonts w:eastAsia="Calibri"/>
          <w:noProof w:val="0"/>
        </w:rPr>
      </w:pPr>
      <w:r w:rsidRPr="00036A98">
        <w:t>Another main area for improvement of the operations of the railway sector in the field of safety is the raising of the criteria by the railway undertakings implementing the CSM for monitoring as required by Regulation No 1078/2012/EU.</w:t>
      </w:r>
    </w:p>
    <w:p w:rsidR="00084411" w:rsidRPr="00036A98" w:rsidP="007B2924">
      <w:pPr>
        <w:pStyle w:val="Heading1"/>
        <w:rPr>
          <w:rFonts w:eastAsia="Calibri"/>
        </w:rPr>
      </w:pPr>
      <w:bookmarkStart w:id="216" w:name="_Toc462235816"/>
      <w:bookmarkStart w:id="217" w:name="_Toc462754798"/>
      <w:bookmarkStart w:id="218" w:name="_Toc490231025"/>
      <w:bookmarkStart w:id="219" w:name="_Toc490231917"/>
      <w:bookmarkStart w:id="220" w:name="_Toc490232045"/>
      <w:bookmarkStart w:id="221" w:name="_Toc491352173"/>
      <w:bookmarkStart w:id="222" w:name="_Toc491788106"/>
      <w:bookmarkStart w:id="223" w:name="_Toc491789296"/>
      <w:bookmarkStart w:id="224" w:name="_Toc491791293"/>
      <w:bookmarkStart w:id="225" w:name="_Toc525214773"/>
      <w:r w:rsidRPr="00036A98">
        <w:t>E.4.</w:t>
      </w:r>
      <w:r w:rsidRPr="00036A98">
        <w:tab/>
        <w:t>Feedback</w:t>
      </w:r>
      <w:bookmarkEnd w:id="216"/>
      <w:bookmarkEnd w:id="217"/>
      <w:bookmarkEnd w:id="218"/>
      <w:bookmarkEnd w:id="219"/>
      <w:bookmarkEnd w:id="220"/>
      <w:bookmarkEnd w:id="221"/>
      <w:bookmarkEnd w:id="222"/>
      <w:bookmarkEnd w:id="223"/>
      <w:bookmarkEnd w:id="224"/>
      <w:bookmarkEnd w:id="225"/>
    </w:p>
    <w:p w:rsidR="0059781B" w:rsidRPr="00036A98" w:rsidP="007B2924">
      <w:pPr>
        <w:ind w:firstLine="426"/>
        <w:jc w:val="both"/>
        <w:rPr>
          <w:rFonts w:eastAsia="Calibri"/>
          <w:noProof w:val="0"/>
        </w:rPr>
      </w:pPr>
      <w:r w:rsidRPr="00036A98">
        <w:tab/>
        <w:t xml:space="preserve">The NSA of Bulgaria has good interaction and cooperation with the RUs and the IM. Regular workgroup meetings and sessions are held to discuss various issues relating to emerging problems in railway transport safety, the application of the TSIs and national rules, amendments to existing national technical and safety rules, etc. </w:t>
      </w:r>
    </w:p>
    <w:p w:rsidR="00A930EA" w:rsidRPr="00036A98" w:rsidP="007B2924">
      <w:pPr>
        <w:ind w:firstLine="709"/>
        <w:jc w:val="both"/>
        <w:rPr>
          <w:rFonts w:eastAsia="Calibri"/>
          <w:noProof w:val="0"/>
        </w:rPr>
      </w:pPr>
      <w:r w:rsidRPr="00036A98">
        <w:t xml:space="preserve">The RAEA receives feedback from the businesses and citizens on the quality of the services it offers in the following ways: </w:t>
      </w:r>
    </w:p>
    <w:p w:rsidR="00A930EA" w:rsidRPr="00036A98" w:rsidP="00A930EA">
      <w:pPr>
        <w:ind w:firstLine="567"/>
        <w:jc w:val="both"/>
        <w:rPr>
          <w:rFonts w:eastAsia="Calibri"/>
          <w:noProof w:val="0"/>
        </w:rPr>
      </w:pPr>
      <w:r w:rsidRPr="00036A98">
        <w:t xml:space="preserve">1) using its own website and by e-mail; </w:t>
      </w:r>
    </w:p>
    <w:p w:rsidR="00A930EA" w:rsidRPr="00036A98" w:rsidP="00A930EA">
      <w:pPr>
        <w:ind w:firstLine="567"/>
        <w:jc w:val="both"/>
        <w:rPr>
          <w:rFonts w:eastAsia="Calibri"/>
          <w:noProof w:val="0"/>
        </w:rPr>
      </w:pPr>
      <w:r w:rsidRPr="00036A98">
        <w:t xml:space="preserve">2) in person, at the front office, or using the mailbox at the entrance of the RAEA; </w:t>
      </w:r>
    </w:p>
    <w:p w:rsidR="00084411" w:rsidRPr="00036A98" w:rsidP="00A930EA">
      <w:pPr>
        <w:ind w:firstLine="567"/>
        <w:jc w:val="both"/>
        <w:rPr>
          <w:rFonts w:eastAsia="Calibri"/>
          <w:noProof w:val="0"/>
        </w:rPr>
      </w:pPr>
      <w:r w:rsidRPr="00036A98">
        <w:t>3) using regular mail.</w:t>
      </w:r>
    </w:p>
    <w:p w:rsidR="00A5454B" w:rsidRPr="00036A98" w:rsidP="007B2924">
      <w:pPr>
        <w:tabs>
          <w:tab w:val="left" w:pos="709"/>
          <w:tab w:val="left" w:pos="2674"/>
        </w:tabs>
        <w:jc w:val="both"/>
        <w:rPr>
          <w:rFonts w:eastAsia="Calibri"/>
          <w:noProof w:val="0"/>
        </w:rPr>
      </w:pPr>
      <w:r w:rsidRPr="00036A98">
        <w:tab/>
        <w:t>The instrument, which RAEA has created for the measurement of satisfaction of the citizens and businesses, is completing a feedback survey form by the consumers by electronic means or in person (at the front office). The feedback survey form contains questions relating to the general assessment of the work and competence of the RAEA employees, their interaction with the citizens and the existence of corruption practices.</w:t>
      </w:r>
    </w:p>
    <w:p w:rsidR="003924FF" w:rsidRPr="00036A98" w:rsidP="007B2924">
      <w:pPr>
        <w:ind w:firstLine="708"/>
        <w:jc w:val="both"/>
        <w:rPr>
          <w:rFonts w:eastAsia="Calibri"/>
          <w:noProof w:val="0"/>
        </w:rPr>
      </w:pPr>
      <w:r w:rsidRPr="00036A98">
        <w:t>The data received through the various communication channels are analysed and used to divide the consumers into target groups. Consumers, non-governmental organisations of citizens and businesses and the general public are informed of the action taken and the outcome via the website and on hard copies through the front office of the Railway Administration Executive Agency.</w:t>
      </w:r>
    </w:p>
    <w:p w:rsidR="0029711D" w:rsidRPr="00036A98" w:rsidP="007B2924">
      <w:pPr>
        <w:ind w:firstLine="708"/>
        <w:jc w:val="both"/>
        <w:rPr>
          <w:rFonts w:eastAsia="Calibri"/>
          <w:noProof w:val="0"/>
        </w:rPr>
      </w:pPr>
      <w:r w:rsidRPr="00036A98">
        <w:t xml:space="preserve">The information of interest to the citizens is available on the information board at the entrance of the MTITC, 7 Kuzman Shapkarev Str., Customer Charter and the RAEA website. </w:t>
      </w:r>
    </w:p>
    <w:p w:rsidR="003924FF" w:rsidRPr="00036A98" w:rsidP="007B2924">
      <w:pPr>
        <w:ind w:firstLine="708"/>
        <w:jc w:val="both"/>
        <w:rPr>
          <w:rFonts w:eastAsia="Calibri"/>
          <w:noProof w:val="0"/>
        </w:rPr>
      </w:pPr>
      <w:r w:rsidRPr="00036A98">
        <w:t>Since 2011, a direct telephone line (+359 2 940 9400) and a special website (</w:t>
      </w:r>
      <w:hyperlink r:id="rId25" w:history="1">
        <w:r w:rsidRPr="00036A98">
          <w:rPr>
            <w:rStyle w:val="Hyperlink"/>
            <w:noProof w:val="0"/>
            <w:color w:val="auto"/>
            <w:u w:val="none"/>
          </w:rPr>
          <w:t>www.transportinfo.bg</w:t>
        </w:r>
      </w:hyperlink>
      <w:r w:rsidRPr="00036A98">
        <w:t xml:space="preserve">) are in operation, where citizens and businesses can report irregularities in transport, including railway transport. </w:t>
      </w:r>
    </w:p>
    <w:p w:rsidR="00084411" w:rsidRPr="00036A98" w:rsidP="00781D4D">
      <w:pPr>
        <w:pStyle w:val="Heading2"/>
        <w:numPr>
          <w:ilvl w:val="0"/>
          <w:numId w:val="7"/>
        </w:numPr>
        <w:spacing w:after="0"/>
        <w:ind w:left="363" w:hanging="357"/>
        <w:rPr>
          <w:rFonts w:eastAsia="Calibri"/>
          <w:spacing w:val="0"/>
        </w:rPr>
      </w:pPr>
      <w:bookmarkStart w:id="226" w:name="_Toc462235817"/>
      <w:bookmarkStart w:id="227" w:name="_Toc462754799"/>
      <w:bookmarkStart w:id="228" w:name="_Toc490231026"/>
      <w:bookmarkStart w:id="229" w:name="_Toc490231918"/>
      <w:bookmarkStart w:id="230" w:name="_Toc490232046"/>
      <w:bookmarkStart w:id="231" w:name="_Toc491352174"/>
      <w:bookmarkStart w:id="232" w:name="_Toc491788107"/>
      <w:bookmarkStart w:id="233" w:name="_Toc491789297"/>
      <w:bookmarkStart w:id="234" w:name="_Toc491791294"/>
      <w:bookmarkStart w:id="235" w:name="_Toc525214774"/>
      <w:r w:rsidRPr="00036A98">
        <w:t>Changes in legislation</w:t>
      </w:r>
      <w:bookmarkEnd w:id="226"/>
      <w:bookmarkEnd w:id="227"/>
      <w:bookmarkEnd w:id="228"/>
      <w:bookmarkEnd w:id="229"/>
      <w:bookmarkEnd w:id="230"/>
      <w:bookmarkEnd w:id="231"/>
      <w:bookmarkEnd w:id="232"/>
      <w:bookmarkEnd w:id="233"/>
      <w:bookmarkEnd w:id="234"/>
      <w:bookmarkEnd w:id="235"/>
    </w:p>
    <w:p w:rsidR="00084411" w:rsidRPr="00036A98" w:rsidP="00781D4D">
      <w:pPr>
        <w:pStyle w:val="Heading1"/>
        <w:numPr>
          <w:ilvl w:val="0"/>
          <w:numId w:val="13"/>
        </w:numPr>
        <w:spacing w:before="0"/>
        <w:ind w:left="1083" w:hanging="357"/>
        <w:rPr>
          <w:rFonts w:eastAsia="Calibri"/>
        </w:rPr>
      </w:pPr>
      <w:bookmarkStart w:id="236" w:name="_Toc462235818"/>
      <w:bookmarkStart w:id="237" w:name="_Toc462754800"/>
      <w:bookmarkStart w:id="238" w:name="_Toc490231027"/>
      <w:bookmarkStart w:id="239" w:name="_Toc490231919"/>
      <w:bookmarkStart w:id="240" w:name="_Toc490232047"/>
      <w:bookmarkStart w:id="241" w:name="_Toc491352175"/>
      <w:bookmarkStart w:id="242" w:name="_Toc491788108"/>
      <w:bookmarkStart w:id="243" w:name="_Toc491789298"/>
      <w:bookmarkStart w:id="244" w:name="_Toc491791295"/>
      <w:bookmarkStart w:id="245" w:name="_Toc525214775"/>
      <w:r w:rsidRPr="00036A98">
        <w:t>Railway Safety Directive (RSD)</w:t>
      </w:r>
      <w:bookmarkEnd w:id="236"/>
      <w:bookmarkEnd w:id="237"/>
      <w:bookmarkEnd w:id="238"/>
      <w:bookmarkEnd w:id="239"/>
      <w:bookmarkEnd w:id="240"/>
      <w:bookmarkEnd w:id="241"/>
      <w:bookmarkEnd w:id="242"/>
      <w:bookmarkEnd w:id="243"/>
      <w:bookmarkEnd w:id="244"/>
      <w:bookmarkEnd w:id="245"/>
    </w:p>
    <w:p w:rsidR="00851D43" w:rsidRPr="00036A98" w:rsidP="007B2924">
      <w:pPr>
        <w:ind w:firstLine="709"/>
        <w:jc w:val="both"/>
        <w:rPr>
          <w:rFonts w:eastAsia="Calibri"/>
          <w:noProof w:val="0"/>
        </w:rPr>
      </w:pPr>
      <w:r w:rsidRPr="00036A98">
        <w:t>In 2017, no changes were made in the Bulgarian railway legislation in relation to the transposition of the RSD (Directive 2004/49/EC). In the same year, a draft Act to Amend and Supplement the Railway Transport Act was prepared in relation to certain provision amendments with regard to the received reasoned opinion and additional letter of formal notice No C(2016) 2382 under European Commission infringement proceedings 2013/2076 with regard to the incorrect transposition and implementation of Directive 2004/49/EC of the European Parliament and of the Council of 29 April 2004 on safety on the Community’s railways and amending Council Directive 95/18/EC on the licensing of railway undertakings and Directive 2001/14/EC on the allocation of railway infrastructure capacity and the levying of charges for the use of railway infrastructure and safety certification.</w:t>
      </w:r>
    </w:p>
    <w:p w:rsidR="00851D43" w:rsidRPr="00036A98" w:rsidP="007B2924">
      <w:pPr>
        <w:ind w:firstLine="709"/>
        <w:jc w:val="both"/>
        <w:rPr>
          <w:rFonts w:eastAsia="Calibri"/>
          <w:noProof w:val="0"/>
        </w:rPr>
      </w:pPr>
      <w:r w:rsidRPr="00036A98">
        <w:rPr>
          <w:b/>
          <w:i/>
          <w:noProof w:val="0"/>
        </w:rPr>
        <w:t>Table 1</w:t>
      </w:r>
      <w:r w:rsidRPr="00036A98">
        <w:t xml:space="preserve">, </w:t>
      </w:r>
      <w:r w:rsidRPr="00036A98">
        <w:rPr>
          <w:b/>
          <w:i/>
          <w:noProof w:val="0"/>
        </w:rPr>
        <w:t>Annex C</w:t>
      </w:r>
      <w:r w:rsidRPr="00036A98">
        <w:t xml:space="preserve"> of this Report provides details about the changes made in the Bulgarian legislation in relation to the RSD.</w:t>
      </w:r>
    </w:p>
    <w:p w:rsidR="00084411" w:rsidRPr="00036A98" w:rsidP="00EF1E96">
      <w:pPr>
        <w:pStyle w:val="Heading1"/>
        <w:numPr>
          <w:ilvl w:val="0"/>
          <w:numId w:val="13"/>
        </w:numPr>
        <w:rPr>
          <w:rFonts w:eastAsia="Calibri"/>
        </w:rPr>
      </w:pPr>
      <w:bookmarkStart w:id="246" w:name="_Toc462235819"/>
      <w:bookmarkStart w:id="247" w:name="_Toc462754801"/>
      <w:bookmarkStart w:id="248" w:name="_Toc490231028"/>
      <w:bookmarkStart w:id="249" w:name="_Toc490231920"/>
      <w:bookmarkStart w:id="250" w:name="_Toc490232048"/>
      <w:bookmarkStart w:id="251" w:name="_Toc491352176"/>
      <w:bookmarkStart w:id="252" w:name="_Toc491788109"/>
      <w:bookmarkStart w:id="253" w:name="_Toc491789299"/>
      <w:bookmarkStart w:id="254" w:name="_Toc491791296"/>
      <w:bookmarkStart w:id="255" w:name="_Toc525214776"/>
      <w:r w:rsidRPr="00036A98">
        <w:t>Legislative and regulatory amendments</w:t>
      </w:r>
      <w:bookmarkEnd w:id="246"/>
      <w:r w:rsidRPr="00036A98">
        <w:t>:</w:t>
      </w:r>
      <w:bookmarkEnd w:id="247"/>
      <w:bookmarkEnd w:id="248"/>
      <w:bookmarkEnd w:id="249"/>
      <w:bookmarkEnd w:id="250"/>
      <w:bookmarkEnd w:id="251"/>
      <w:bookmarkEnd w:id="252"/>
      <w:bookmarkEnd w:id="253"/>
      <w:bookmarkEnd w:id="254"/>
      <w:bookmarkEnd w:id="255"/>
    </w:p>
    <w:p w:rsidR="00E64455" w:rsidRPr="00036A98" w:rsidP="007B2924">
      <w:pPr>
        <w:ind w:firstLine="708"/>
        <w:jc w:val="both"/>
        <w:rPr>
          <w:rFonts w:eastAsia="Calibri"/>
          <w:noProof w:val="0"/>
        </w:rPr>
      </w:pPr>
      <w:r w:rsidRPr="00036A98">
        <w:t>In the period between 1 January 2017 and 31 December 2017, in the State Gazette (SG) of the Republic of Bulgaria, the following legislative changes in the field of railway transport were published:</w:t>
      </w:r>
    </w:p>
    <w:p w:rsidR="00880D2A" w:rsidRPr="00036A98" w:rsidP="00EF1E96">
      <w:pPr>
        <w:pStyle w:val="ListParagraph"/>
        <w:numPr>
          <w:ilvl w:val="0"/>
          <w:numId w:val="23"/>
        </w:numPr>
        <w:jc w:val="both"/>
        <w:rPr>
          <w:rFonts w:eastAsia="Calibri"/>
          <w:bCs/>
          <w:color w:val="7030A0"/>
        </w:rPr>
      </w:pPr>
      <w:bookmarkStart w:id="256" w:name="to_paragraph_id380750"/>
      <w:bookmarkEnd w:id="256"/>
      <w:r w:rsidRPr="00036A98">
        <w:rPr>
          <w:i/>
          <w:noProof w:val="0"/>
        </w:rPr>
        <w:t>Railway Transport Act</w:t>
      </w:r>
      <w:r w:rsidRPr="00036A98">
        <w:t xml:space="preserve"> (RTA) was amended 2 times in 2016 (SG No 19 and 58 of 2016)—</w:t>
      </w:r>
      <w:r w:rsidRPr="00036A98">
        <w:rPr>
          <w:noProof w:val="0"/>
          <w:color w:val="0000FF"/>
        </w:rPr>
        <w:t>these amendments were not related to railway safety</w:t>
      </w:r>
      <w:r w:rsidRPr="00036A98">
        <w:t>.</w:t>
      </w:r>
    </w:p>
    <w:p w:rsidR="00344863" w:rsidRPr="00036A98" w:rsidP="00EF1E96">
      <w:pPr>
        <w:pStyle w:val="ListParagraph"/>
        <w:numPr>
          <w:ilvl w:val="0"/>
          <w:numId w:val="23"/>
        </w:numPr>
        <w:jc w:val="both"/>
        <w:rPr>
          <w:rFonts w:eastAsia="Calibri"/>
          <w:i/>
          <w:noProof w:val="0"/>
          <w:color w:val="0000FF"/>
        </w:rPr>
      </w:pPr>
      <w:r w:rsidRPr="00036A98">
        <w:rPr>
          <w:i/>
          <w:noProof w:val="0"/>
        </w:rPr>
        <w:t>Ordinance No 41 of 27 June 2001 for access and use of railway infrastructure</w:t>
      </w:r>
      <w:r w:rsidRPr="00036A98">
        <w:t xml:space="preserve"> was amended and supplemented in SG No 36 of SG of 13 May 2016 on the transposition of the provisions of Directive 2012/34/EU of the European Parliament and of the Council of 21 November 2012 establishing a single European railway area. </w:t>
      </w:r>
      <w:r w:rsidRPr="00036A98">
        <w:rPr>
          <w:noProof w:val="0"/>
          <w:color w:val="0000FF"/>
        </w:rPr>
        <w:t xml:space="preserve">These amendments </w:t>
      </w:r>
      <w:r w:rsidRPr="00036A98">
        <w:rPr>
          <w:noProof w:val="0"/>
          <w:color w:val="0000FF"/>
        </w:rPr>
        <w:t>were not related</w:t>
      </w:r>
      <w:r w:rsidRPr="00036A98">
        <w:rPr>
          <w:noProof w:val="0"/>
          <w:color w:val="0000FF"/>
        </w:rPr>
        <w:t xml:space="preserve"> to railway safety.</w:t>
      </w:r>
    </w:p>
    <w:p w:rsidR="00957840" w:rsidRPr="00036A98" w:rsidP="00EF1E96">
      <w:pPr>
        <w:pStyle w:val="ListParagraph"/>
        <w:numPr>
          <w:ilvl w:val="0"/>
          <w:numId w:val="23"/>
        </w:numPr>
        <w:jc w:val="both"/>
        <w:rPr>
          <w:rFonts w:eastAsia="Calibri"/>
          <w:i/>
          <w:noProof w:val="0"/>
          <w:color w:val="7030A0"/>
        </w:rPr>
      </w:pPr>
      <w:r w:rsidRPr="00036A98">
        <w:rPr>
          <w:i/>
          <w:noProof w:val="0"/>
        </w:rPr>
        <w:t>Ordinance No 44 of 10 October 2001 on the railway transport of goods</w:t>
      </w:r>
      <w:r w:rsidRPr="00036A98">
        <w:t xml:space="preserve"> was amended and supplemented in SG No 76 of 30 September 2016. The amendments were related to the introduction of an electronic bill of lading for the railway transport of goods as a transport document having evidentiary force equal to that of the hard copy. </w:t>
      </w:r>
      <w:r w:rsidRPr="00036A98">
        <w:rPr>
          <w:noProof w:val="0"/>
          <w:color w:val="0000FF"/>
        </w:rPr>
        <w:t xml:space="preserve">The amendments </w:t>
      </w:r>
      <w:r w:rsidRPr="00036A98">
        <w:rPr>
          <w:noProof w:val="0"/>
          <w:color w:val="0000FF"/>
        </w:rPr>
        <w:t>were not related</w:t>
      </w:r>
      <w:r w:rsidRPr="00036A98">
        <w:rPr>
          <w:noProof w:val="0"/>
          <w:color w:val="0000FF"/>
        </w:rPr>
        <w:t xml:space="preserve"> to railway safety.</w:t>
      </w:r>
    </w:p>
    <w:p w:rsidR="005747DA" w:rsidRPr="00036A98" w:rsidP="00EF1E96">
      <w:pPr>
        <w:pStyle w:val="ListParagraph"/>
        <w:numPr>
          <w:ilvl w:val="0"/>
          <w:numId w:val="23"/>
        </w:numPr>
        <w:jc w:val="both"/>
        <w:rPr>
          <w:rFonts w:eastAsia="Calibri"/>
          <w:i/>
          <w:noProof w:val="0"/>
        </w:rPr>
      </w:pPr>
      <w:r w:rsidRPr="00036A98">
        <w:rPr>
          <w:i/>
          <w:noProof w:val="0"/>
        </w:rPr>
        <w:t xml:space="preserve">Ordinance </w:t>
      </w:r>
      <w:bookmarkStart w:id="257" w:name="to_paragraph_id2808249"/>
      <w:bookmarkEnd w:id="257"/>
      <w:r w:rsidRPr="00036A98">
        <w:rPr>
          <w:i/>
          <w:noProof w:val="0"/>
        </w:rPr>
        <w:t>No 56 of 14 February 2003 on the requirements, conditions and procedure for the training of the candidates for the acquisition of qualifications required by the personnel responsible for the railway transport safety, or recognition of such qualifications, and the procedure for conducting examinations of personnel responsible for the transport safety</w:t>
      </w:r>
      <w:r w:rsidRPr="00036A98">
        <w:t xml:space="preserve"> was amended in SG No 69 of SG of 2 September 2016, effective as of 1 July 2016, in relation to the transposition of the requirements of Commission Directive (EU) 2016/882 of 1 June 2016 amending Directive 2007/59/EC of the European Parliament and of the Council as regards language requirements.</w:t>
      </w:r>
      <w:r w:rsidRPr="00036A98">
        <w:t xml:space="preserve"> Directive (EU) 2016/882 amends Annex VI, item 8 to Directive 2007/59/EC of the European Parliament and of the Council of 23 October 2007 on the certification of train drivers operating locomotives and trains on the railway system in the Community (Directive 2007/59/EC). The amendment is related to the need of reducing the linguistic requirements for train drivers in respect of sections between the borders of the Member States of the European Union and the stations located near them and designated for carrying out cross-border operations by relieving the train drivers concerned of the linguistic B1 level requirements.  </w:t>
      </w:r>
    </w:p>
    <w:p w:rsidR="005747DA" w:rsidRPr="00036A98" w:rsidP="00EF1E96">
      <w:pPr>
        <w:pStyle w:val="ListParagraph"/>
        <w:numPr>
          <w:ilvl w:val="0"/>
          <w:numId w:val="23"/>
        </w:numPr>
        <w:jc w:val="both"/>
        <w:rPr>
          <w:rFonts w:eastAsia="Calibri"/>
          <w:bCs/>
          <w:noProof w:val="0"/>
          <w:color w:val="7030A0"/>
        </w:rPr>
      </w:pPr>
      <w:r w:rsidRPr="00036A98">
        <w:rPr>
          <w:i/>
          <w:noProof w:val="0"/>
        </w:rPr>
        <w:t>Ordinance No 57 of 9 June 2004 on the conditions and essential requirements for the railway infrastructure and rolling stock aimed at achieving interoperability of the national rail system with the rail system within the European Union</w:t>
      </w:r>
      <w:r w:rsidRPr="00036A98">
        <w:t xml:space="preserve"> was amended in No 1 of SG of 5 January 2016, effective as of 1 January 2016, in relation to the introduction of the requirements of Directive 2014/106/EU</w:t>
      </w:r>
      <w:r>
        <w:rPr>
          <w:rStyle w:val="FootnoteReference"/>
          <w:noProof w:val="0"/>
        </w:rPr>
        <w:footnoteReference w:id="40"/>
      </w:r>
      <w:r w:rsidRPr="00036A98">
        <w:t>.</w:t>
      </w:r>
      <w:r w:rsidRPr="00036A98">
        <w:t xml:space="preserve"> </w:t>
      </w:r>
      <w:r w:rsidRPr="00036A98">
        <w:rPr>
          <w:noProof w:val="0"/>
          <w:color w:val="0000FF"/>
        </w:rPr>
        <w:t xml:space="preserve">These amendments </w:t>
      </w:r>
      <w:r w:rsidRPr="00036A98">
        <w:rPr>
          <w:noProof w:val="0"/>
          <w:color w:val="0000FF"/>
        </w:rPr>
        <w:t>were not related</w:t>
      </w:r>
      <w:r w:rsidRPr="00036A98">
        <w:rPr>
          <w:noProof w:val="0"/>
          <w:color w:val="0000FF"/>
        </w:rPr>
        <w:t xml:space="preserve"> to railway safety.</w:t>
      </w:r>
    </w:p>
    <w:p w:rsidR="00E64455" w:rsidRPr="00036A98" w:rsidP="007B2924">
      <w:pPr>
        <w:tabs>
          <w:tab w:val="num" w:pos="0"/>
        </w:tabs>
        <w:jc w:val="both"/>
        <w:rPr>
          <w:rFonts w:eastAsia="Calibri"/>
          <w:noProof w:val="0"/>
        </w:rPr>
      </w:pPr>
      <w:r w:rsidRPr="00036A98">
        <w:t>Further details regarding the amendments to the Bulgarian legislation relating to the safety of railway transport in Bulgaria, which entered into force in 2016, are provided in</w:t>
      </w:r>
      <w:r w:rsidRPr="00036A98">
        <w:rPr>
          <w:b/>
          <w:i/>
          <w:noProof w:val="0"/>
        </w:rPr>
        <w:t xml:space="preserve"> Table 2 </w:t>
      </w:r>
      <w:r w:rsidRPr="00036A98">
        <w:t xml:space="preserve">of </w:t>
      </w:r>
      <w:r w:rsidRPr="00036A98">
        <w:rPr>
          <w:b/>
          <w:i/>
          <w:noProof w:val="0"/>
        </w:rPr>
        <w:t xml:space="preserve">Annex B </w:t>
      </w:r>
      <w:r w:rsidRPr="00036A98">
        <w:t>of this Report</w:t>
      </w:r>
      <w:r w:rsidRPr="00036A98">
        <w:rPr>
          <w:i/>
          <w:noProof w:val="0"/>
        </w:rPr>
        <w:t>.</w:t>
      </w:r>
    </w:p>
    <w:p w:rsidR="00084411" w:rsidRPr="00036A98" w:rsidP="00EF1E96">
      <w:pPr>
        <w:pStyle w:val="Heading2"/>
        <w:numPr>
          <w:ilvl w:val="0"/>
          <w:numId w:val="7"/>
        </w:numPr>
        <w:rPr>
          <w:rFonts w:eastAsia="Calibri"/>
          <w:spacing w:val="0"/>
        </w:rPr>
      </w:pPr>
      <w:bookmarkStart w:id="258" w:name="_Toc462235820"/>
      <w:bookmarkStart w:id="259" w:name="_Toc462754802"/>
      <w:bookmarkStart w:id="260" w:name="_Toc490231029"/>
      <w:bookmarkStart w:id="261" w:name="_Toc490231921"/>
      <w:bookmarkStart w:id="262" w:name="_Toc490232049"/>
      <w:bookmarkStart w:id="263" w:name="_Toc491352177"/>
      <w:bookmarkStart w:id="264" w:name="_Toc491788110"/>
      <w:bookmarkStart w:id="265" w:name="_Toc491789300"/>
      <w:bookmarkStart w:id="266" w:name="_Toc491791297"/>
      <w:bookmarkStart w:id="267" w:name="_Toc525214777"/>
      <w:r w:rsidRPr="00036A98">
        <w:t>APPLICATION OF THE CSM RELATED TO REA (RISK EVALUATION AND ASSESSMENT)</w:t>
      </w:r>
      <w:bookmarkEnd w:id="258"/>
      <w:bookmarkEnd w:id="259"/>
      <w:bookmarkEnd w:id="260"/>
      <w:bookmarkEnd w:id="261"/>
      <w:bookmarkEnd w:id="262"/>
      <w:bookmarkEnd w:id="263"/>
      <w:bookmarkEnd w:id="264"/>
      <w:bookmarkEnd w:id="265"/>
      <w:bookmarkEnd w:id="266"/>
      <w:bookmarkEnd w:id="267"/>
    </w:p>
    <w:p w:rsidR="00A472C4" w:rsidRPr="00036A98" w:rsidP="007B2924">
      <w:pPr>
        <w:ind w:firstLine="567"/>
        <w:jc w:val="both"/>
        <w:rPr>
          <w:rFonts w:eastAsia="Calibri"/>
          <w:noProof w:val="0"/>
        </w:rPr>
      </w:pPr>
      <w:r w:rsidRPr="00036A98">
        <w:t>Regulation (EC) No 352/2009</w:t>
      </w:r>
      <w:r>
        <w:rPr>
          <w:rStyle w:val="FootnoteReference"/>
          <w:noProof w:val="0"/>
        </w:rPr>
        <w:footnoteReference w:id="41"/>
      </w:r>
      <w:r w:rsidRPr="00036A98">
        <w:t xml:space="preserve"> and Regulation (EU) No 402/2013</w:t>
      </w:r>
      <w:r>
        <w:rPr>
          <w:rStyle w:val="FootnoteReference"/>
        </w:rPr>
        <w:footnoteReference w:id="42"/>
      </w:r>
      <w:r w:rsidRPr="00036A98">
        <w:t xml:space="preserve"> were implemented in theory in the procedures related to the SMSs of the IM and RUs, which, effectively, are either rarely used or not used at all. During its supervisory activities, the NSA of Bulgaria controls the implementation of risk evaluation and assessment procedures, including assessment of ‘significant’ operational, organisational and other changes.</w:t>
      </w:r>
    </w:p>
    <w:p w:rsidR="00084411" w:rsidRPr="00036A98" w:rsidP="00EF1E96">
      <w:pPr>
        <w:pStyle w:val="Heading1"/>
        <w:numPr>
          <w:ilvl w:val="0"/>
          <w:numId w:val="12"/>
        </w:numPr>
        <w:rPr>
          <w:rFonts w:eastAsia="Calibri"/>
        </w:rPr>
      </w:pPr>
      <w:bookmarkStart w:id="268" w:name="_Toc462235821"/>
      <w:bookmarkStart w:id="269" w:name="_Toc462754803"/>
      <w:bookmarkStart w:id="270" w:name="_Toc490231030"/>
      <w:bookmarkStart w:id="271" w:name="_Toc490231922"/>
      <w:bookmarkStart w:id="272" w:name="_Toc490232050"/>
      <w:bookmarkStart w:id="273" w:name="_Toc491352178"/>
      <w:bookmarkStart w:id="274" w:name="_Toc491788111"/>
      <w:bookmarkStart w:id="275" w:name="_Toc491789301"/>
      <w:bookmarkStart w:id="276" w:name="_Toc491791298"/>
      <w:bookmarkStart w:id="277" w:name="_Toc525214778"/>
      <w:r w:rsidRPr="00036A98">
        <w:t>NSA Experience.</w:t>
      </w:r>
      <w:bookmarkEnd w:id="268"/>
      <w:bookmarkEnd w:id="269"/>
      <w:bookmarkEnd w:id="270"/>
      <w:bookmarkEnd w:id="271"/>
      <w:bookmarkEnd w:id="272"/>
      <w:bookmarkEnd w:id="273"/>
      <w:bookmarkEnd w:id="274"/>
      <w:bookmarkEnd w:id="275"/>
      <w:bookmarkEnd w:id="276"/>
      <w:bookmarkEnd w:id="277"/>
    </w:p>
    <w:p w:rsidR="00130720" w:rsidRPr="00036A98" w:rsidP="007B2924">
      <w:pPr>
        <w:ind w:firstLine="709"/>
        <w:jc w:val="both"/>
        <w:rPr>
          <w:noProof w:val="0"/>
        </w:rPr>
      </w:pPr>
      <w:r w:rsidRPr="00036A98">
        <w:t xml:space="preserve">According to the information received from the annual safety reports of the certified RUs and the IM in Bulgaria and the supervisory audits conducted in the reporting year 2017 in their organisation of work and the types of rolling stock they use, there have been no </w:t>
      </w:r>
      <w:r w:rsidRPr="00036A98">
        <w:rPr>
          <w:i/>
          <w:noProof w:val="0"/>
        </w:rPr>
        <w:t>‘significant’</w:t>
      </w:r>
      <w:r w:rsidRPr="00036A98">
        <w:t xml:space="preserve"> changes within the meaning of Regulation (EC) No 402/2013. </w:t>
      </w:r>
    </w:p>
    <w:p w:rsidR="00084411" w:rsidRPr="00036A98" w:rsidP="00EF1E96">
      <w:pPr>
        <w:pStyle w:val="Heading1"/>
        <w:numPr>
          <w:ilvl w:val="0"/>
          <w:numId w:val="12"/>
        </w:numPr>
        <w:rPr>
          <w:rFonts w:eastAsia="Calibri"/>
        </w:rPr>
      </w:pPr>
      <w:bookmarkStart w:id="278" w:name="_Toc462235822"/>
      <w:bookmarkStart w:id="279" w:name="_Toc462754804"/>
      <w:bookmarkStart w:id="280" w:name="_Toc490231031"/>
      <w:bookmarkStart w:id="281" w:name="_Toc490231923"/>
      <w:bookmarkStart w:id="282" w:name="_Toc490232051"/>
      <w:bookmarkStart w:id="283" w:name="_Toc491352179"/>
      <w:bookmarkStart w:id="284" w:name="_Toc491788112"/>
      <w:bookmarkStart w:id="285" w:name="_Toc491789302"/>
      <w:bookmarkStart w:id="286" w:name="_Toc491791299"/>
      <w:bookmarkStart w:id="287" w:name="_Toc525214779"/>
      <w:r w:rsidRPr="00036A98">
        <w:t>Feedback from Stakeholders.</w:t>
      </w:r>
      <w:bookmarkEnd w:id="278"/>
      <w:bookmarkEnd w:id="279"/>
      <w:bookmarkEnd w:id="280"/>
      <w:bookmarkEnd w:id="281"/>
      <w:bookmarkEnd w:id="282"/>
      <w:bookmarkEnd w:id="283"/>
      <w:bookmarkEnd w:id="284"/>
      <w:bookmarkEnd w:id="285"/>
      <w:bookmarkEnd w:id="286"/>
      <w:bookmarkEnd w:id="287"/>
    </w:p>
    <w:p w:rsidR="0054465F" w:rsidRPr="00036A98" w:rsidP="007B2924">
      <w:pPr>
        <w:ind w:firstLine="708"/>
        <w:jc w:val="both"/>
        <w:rPr>
          <w:rFonts w:eastAsia="Calibri"/>
          <w:noProof w:val="0"/>
        </w:rPr>
      </w:pPr>
      <w:r w:rsidRPr="00036A98">
        <w:t>The NSA of Bulgaria receives information about the application of the CSM on risk evaluation and assessment by RUs, the IM and PCMs/ECMs of vehicles through the supervision it exercises thereof, as required by Regulation (EC) 1077/2012</w:t>
      </w:r>
      <w:r>
        <w:rPr>
          <w:rStyle w:val="FootnoteReference"/>
          <w:noProof w:val="0"/>
        </w:rPr>
        <w:footnoteReference w:id="43"/>
      </w:r>
      <w:r w:rsidRPr="00036A98">
        <w:t>, and their annual reports received each year, by 30 June, according to Article 12 and 12a of Ordinance No 59 on safety management in railway transport in the Republic of Bulgaria.</w:t>
      </w:r>
    </w:p>
    <w:p w:rsidR="00003E72" w:rsidRPr="00036A98" w:rsidP="007B2924">
      <w:pPr>
        <w:ind w:firstLine="709"/>
        <w:jc w:val="both"/>
        <w:rPr>
          <w:rFonts w:eastAsia="Calibri"/>
          <w:noProof w:val="0"/>
        </w:rPr>
      </w:pPr>
      <w:r w:rsidRPr="00036A98">
        <w:t>The sector stakeholders (RUs, IM, NoBo, DeBo, AsBo, construction companies, etc.) may express their opinions, comments, proposals, complaints, etc. on all matters relating to the RAEA operations, including on matters relating to the CSM on risk evaluation and assessment, by: electronic means (by e-mail or on the RAEA website), by regular mail or in person—at the front office or using the mailbox located at the entrance of the RAEA and MTITC.</w:t>
      </w:r>
    </w:p>
    <w:p w:rsidR="00F40AC8" w:rsidRPr="00036A98" w:rsidP="000A6897">
      <w:pPr>
        <w:pStyle w:val="Default"/>
        <w:spacing w:before="120" w:after="120"/>
        <w:ind w:firstLine="709"/>
        <w:jc w:val="both"/>
        <w:rPr>
          <w:b/>
          <w:bCs/>
          <w:color w:val="auto"/>
        </w:rPr>
      </w:pPr>
      <w:r w:rsidRPr="00036A98">
        <w:rPr>
          <w:b/>
          <w:color w:val="auto"/>
        </w:rPr>
        <w:t>1. Information on the application of the RE-related CSM within the NRIC SE, in 2017:</w:t>
      </w:r>
    </w:p>
    <w:p w:rsidR="00F40AC8" w:rsidRPr="00036A98" w:rsidP="00F40AC8">
      <w:pPr>
        <w:spacing w:after="60"/>
        <w:ind w:firstLine="684"/>
        <w:jc w:val="both"/>
        <w:rPr>
          <w:b/>
          <w:bCs/>
        </w:rPr>
      </w:pPr>
      <w:r w:rsidRPr="00036A98">
        <w:rPr>
          <w:b/>
        </w:rPr>
        <w:t>1</w:t>
      </w:r>
      <w:r w:rsidR="00BC4485">
        <w:rPr>
          <w:b/>
        </w:rPr>
        <w:t>.</w:t>
      </w:r>
      <w:r w:rsidRPr="00036A98">
        <w:rPr>
          <w:b/>
        </w:rPr>
        <w:t>1. General information</w:t>
      </w:r>
    </w:p>
    <w:p w:rsidR="00F40AC8" w:rsidRPr="00036A98" w:rsidP="00F40AC8">
      <w:pPr>
        <w:ind w:firstLine="708"/>
        <w:jc w:val="both"/>
      </w:pPr>
      <w:r w:rsidRPr="00036A98">
        <w:t xml:space="preserve">In order to fulfil the requirements for the RE-related CSM, on 10 June 2013, safety procedure </w:t>
      </w:r>
      <w:r w:rsidRPr="00036A98">
        <w:rPr>
          <w:i/>
        </w:rPr>
        <w:t>SP 2.09. Risk evaluation, assessment and management methodology</w:t>
      </w:r>
      <w:r w:rsidRPr="00036A98">
        <w:t>, version 01, related to the SMS of the NRIC SE, entered into force. On 25 November 2015, implementing the requirements of Regulation (EU) No 402/2013, version 02 of the procedure entered into force. In 2017, version 03 entered into force, including the requirements of Regulation (EU) 2015/1136. And, in May 2018, version 04 entered into force.</w:t>
      </w:r>
    </w:p>
    <w:p w:rsidR="00F40AC8" w:rsidRPr="00036A98" w:rsidP="002404B8">
      <w:pPr>
        <w:ind w:firstLine="709"/>
        <w:jc w:val="both"/>
      </w:pPr>
      <w:r w:rsidRPr="00036A98">
        <w:t xml:space="preserve">With regard to the implementation of the RE-related CSM within the NRIC SE, in November 2017, the organisational structure of the Transport Operations Safety Inspectorate (TOSI) with the Safety Transport Inspector General at the Head Office of the NRIC SE was changed and a TSI and Risk Evaluation (RE) unit/sector was created with a staff of five employees: one sector manager and one expert for each of the following subsystems: Infrastructure (INF), Energy (ENE), Control, Management and Signalling (CMS) and Traffic Operation and Management (TOM). </w:t>
      </w:r>
    </w:p>
    <w:p w:rsidR="00F40AC8" w:rsidRPr="00036A98" w:rsidP="00F40AC8">
      <w:pPr>
        <w:spacing w:after="60"/>
        <w:ind w:firstLine="684"/>
        <w:jc w:val="both"/>
        <w:rPr>
          <w:b/>
          <w:bCs/>
        </w:rPr>
      </w:pPr>
      <w:r w:rsidRPr="00036A98">
        <w:rPr>
          <w:b/>
        </w:rPr>
        <w:t>1</w:t>
      </w:r>
      <w:r w:rsidR="00BC4485">
        <w:rPr>
          <w:b/>
        </w:rPr>
        <w:t>.</w:t>
      </w:r>
      <w:r w:rsidRPr="00036A98">
        <w:rPr>
          <w:b/>
        </w:rPr>
        <w:t>2. Decisions made pursuant to Article 4(1) and (2) of Regulation 402/2013 (whether the proposed change affects safety and whether it is ‘significant’ or not):</w:t>
      </w:r>
    </w:p>
    <w:p w:rsidR="00F40AC8" w:rsidRPr="00036A98" w:rsidP="00F40AC8">
      <w:pPr>
        <w:spacing w:after="60"/>
        <w:ind w:firstLine="708"/>
        <w:jc w:val="both"/>
      </w:pPr>
      <w:r w:rsidRPr="00036A98">
        <w:t>Implementing NRIC SE safety procedure SP 2.09</w:t>
      </w:r>
      <w:r w:rsidRPr="00036A98">
        <w:rPr>
          <w:i/>
        </w:rPr>
        <w:t xml:space="preserve"> </w:t>
      </w:r>
      <w:r w:rsidRPr="00036A98">
        <w:t>and orders of the Chief Executive Officer, in 2017, the Risk Evaluation Employees (REEs) appointed at the NRIC SE conducted significance assessments of the changes proposed for the following subsystems and projects:</w:t>
      </w:r>
    </w:p>
    <w:p w:rsidR="00F40AC8" w:rsidRPr="00036A98" w:rsidP="00EF1E96">
      <w:pPr>
        <w:numPr>
          <w:ilvl w:val="0"/>
          <w:numId w:val="28"/>
        </w:numPr>
        <w:suppressAutoHyphens/>
        <w:autoSpaceDN w:val="0"/>
        <w:spacing w:after="60"/>
        <w:jc w:val="both"/>
        <w:textAlignment w:val="baseline"/>
      </w:pPr>
      <w:r w:rsidRPr="00036A98">
        <w:t xml:space="preserve">for the upgraded INF and ENE subsystems under the project titled </w:t>
      </w:r>
      <w:r w:rsidRPr="00036A98">
        <w:rPr>
          <w:i/>
        </w:rPr>
        <w:t>Reconstruction and Electrification of the Dimitrovgrad–Svilengrad–Greek Border</w:t>
      </w:r>
      <w:r w:rsidRPr="00036A98">
        <w:t>, with regard to the issuance of the Authorisation for Placing into Service (APS) by the NSA of Bulgaria (RAEA) as required by Ordinance No 57 of 9 June 2004 on achieving interoperability of the national railway system with the railway system within the European Union and Directive 2008/57/EC of the European Parliament and of the Council of 17 June 2008 on the interoperability of the rail system within the Community. For the changes proposed in the project, the REE appointed by order No 2285/4 November 2016 of the Chief Executive Officer (CEO) of the NRIC SE decided that they affect safety and are ‘significant’. Thereupon, the procedure continued with the selection of an independent risk assessment body (AsBo), notified body (NoBo) and designated body (DeBo). In late February 2018, the RAEA issued new APSs for both subsystems. (No BG/62/2018/0001 for ENE and No BG/61/2018/0001 for INF).</w:t>
      </w:r>
    </w:p>
    <w:p w:rsidR="00F40AC8" w:rsidRPr="00036A98" w:rsidP="00EF1E96">
      <w:pPr>
        <w:numPr>
          <w:ilvl w:val="0"/>
          <w:numId w:val="28"/>
        </w:numPr>
        <w:suppressAutoHyphens/>
        <w:autoSpaceDN w:val="0"/>
        <w:spacing w:after="60"/>
        <w:jc w:val="both"/>
        <w:textAlignment w:val="baseline"/>
      </w:pPr>
      <w:r w:rsidRPr="00036A98">
        <w:t xml:space="preserve">for the upgraded CMS subsystem under the project titled </w:t>
      </w:r>
      <w:r w:rsidRPr="00036A98">
        <w:rPr>
          <w:i/>
        </w:rPr>
        <w:t>Reconstruction and Electrification of the Plovdiv–Svilengrad Railway Section</w:t>
      </w:r>
      <w:r w:rsidRPr="00036A98">
        <w:t xml:space="preserve">, with regard to its placing into service as required </w:t>
      </w:r>
      <w:r w:rsidRPr="00036A98">
        <w:t>by Ordinance No 57 and Directive 2008/57/EC. For the changes proposed in the project, the REE appointed by order No 2285/4 November 2016 of the CEO of the NRIC SE decided that they affect safety and are ‘significant’. Thereupon, the procedure continued with the selection of AsBo, NoBo and DeBo. In 2017, an application for the issuance of an APS for this subsystem, as required by Ordinance No 57, was submitted to the RAEA and is still under review. In 2018, it is expected for the test operation of the subsystem to be completed successfully and a new APS for it to be issued.</w:t>
      </w:r>
    </w:p>
    <w:p w:rsidR="00F40AC8" w:rsidRPr="00036A98" w:rsidP="00EF1E96">
      <w:pPr>
        <w:numPr>
          <w:ilvl w:val="0"/>
          <w:numId w:val="28"/>
        </w:numPr>
        <w:suppressAutoHyphens/>
        <w:autoSpaceDN w:val="0"/>
        <w:spacing w:after="60"/>
        <w:jc w:val="both"/>
        <w:textAlignment w:val="baseline"/>
      </w:pPr>
      <w:r w:rsidRPr="00036A98">
        <w:t>for the upgraded INF and ENE subsystems under the project titled Rehabilitation of the Railway Infrastructure on Certain Sections of the Plovdiv–Burgas Railway Line, with regard to their placing into service, as required by Directive 2008/57/EC and Ordinance No 57. For the changes proposed in the project, the REE appointed by order No 2285/4 November 2016 of the CEO of the NRIC SE decided that they affect safety and identified them as ‘significant’. An application for the placing into service of the two subsystems, INF and ENE, as required by Ordinance No 57, was submitted to the RAEA and the respective APSs are expected to be issued in 2018.</w:t>
      </w:r>
    </w:p>
    <w:p w:rsidR="00F40AC8" w:rsidRPr="00036A98" w:rsidP="00EF1E96">
      <w:pPr>
        <w:numPr>
          <w:ilvl w:val="0"/>
          <w:numId w:val="28"/>
        </w:numPr>
        <w:suppressAutoHyphens/>
        <w:autoSpaceDN w:val="0"/>
        <w:spacing w:after="60"/>
        <w:jc w:val="both"/>
        <w:textAlignment w:val="baseline"/>
      </w:pPr>
      <w:r w:rsidRPr="00036A98">
        <w:t xml:space="preserve">for the upgraded INF, ENE and CMS subsystems under the project titled </w:t>
      </w:r>
      <w:r w:rsidRPr="00036A98">
        <w:rPr>
          <w:i/>
        </w:rPr>
        <w:t>Rehabilitation of the Stara Zagora–Zavoy Railway Section (to km 190+590 within the Yambol–Zavoy Station-adjacent Section) and the Zavoy–Zimnitsa (from km 192+706 to the Entry Switch at the Zimnitsa Station), Including the Main Tracks at the Stara Zagora and Yambol Stations, and All Stations and Stops between Them, with an Approximate Total Length of the Railway of 120 km.</w:t>
      </w:r>
      <w:r w:rsidRPr="00036A98">
        <w:t xml:space="preserve"> For the changes proposed in the project, the REE appointed by order No 682/31 March 2016 of the CEO of the NRIC SE decided that they affect safety and identified them as ‘significant’. Thereupon, the procedure continued with the selection of the AsBo.</w:t>
      </w:r>
    </w:p>
    <w:p w:rsidR="00F40AC8" w:rsidRPr="00036A98" w:rsidP="00EF1E96">
      <w:pPr>
        <w:numPr>
          <w:ilvl w:val="0"/>
          <w:numId w:val="28"/>
        </w:numPr>
        <w:suppressAutoHyphens/>
        <w:autoSpaceDN w:val="0"/>
        <w:spacing w:after="60"/>
        <w:jc w:val="both"/>
        <w:textAlignment w:val="baseline"/>
      </w:pPr>
      <w:r w:rsidRPr="00036A98">
        <w:t xml:space="preserve">for the upgraded INF, ENE and CMS subsystems under the project titled </w:t>
      </w:r>
      <w:r w:rsidRPr="00036A98">
        <w:rPr>
          <w:i/>
        </w:rPr>
        <w:t>Rehabilitation of the Tserkovski–Karnobat Railway Section, Including the Main Tracks of the Tserkovski Station, with an Approximate Total Length of the Railway of 28 km, and Renewal of the Railway within the Karnobat–Burgas Section, Including the Main Tracks at the Karnobat and Burgas Stations, and All Stops and Stations between Them, with an Approximate Total Length of the Railway of 122 km</w:t>
      </w:r>
      <w:r w:rsidRPr="00036A98">
        <w:t>, for the changes proposed under the project, the REE appointed by order No 935/28 April 2016 of the CEO of the NRIC SE decided that they affect safety and identified them as ‘significant’. Thereupon, the procedure continued with the selection of the AsBo.</w:t>
      </w:r>
    </w:p>
    <w:p w:rsidR="00F40AC8" w:rsidRPr="00036A98" w:rsidP="00EF1E96">
      <w:pPr>
        <w:numPr>
          <w:ilvl w:val="0"/>
          <w:numId w:val="28"/>
        </w:numPr>
        <w:suppressAutoHyphens/>
        <w:autoSpaceDN w:val="0"/>
        <w:spacing w:after="60"/>
        <w:jc w:val="both"/>
        <w:textAlignment w:val="baseline"/>
      </w:pPr>
      <w:r w:rsidRPr="00036A98">
        <w:t xml:space="preserve">for the ENE subsystem under the project titled: </w:t>
      </w:r>
      <w:r w:rsidRPr="00036A98">
        <w:rPr>
          <w:i/>
        </w:rPr>
        <w:t>Rehabilitation of the Railway Infrastructure on Certain Sections of the Plovdiv–Burgas Railway Line—Restoration, Repair and Upgrade of the Stara Zagora and Nova Zagora Traction Substations (TSS) and Creation of a SCADA Remote Control System for the TSSs within the Central Traffic Control Centre (CTCC) Plovdiv</w:t>
      </w:r>
      <w:r w:rsidRPr="00036A98">
        <w:t>. For the changes proposed in the project, the REE appointed by order No 1773/30 August 2016 of the CEO of the NRIC SE decided that they affect safety and identified them as ‘significant’. Thereupon, the procedure continued with the selection of the AsBo.</w:t>
      </w:r>
    </w:p>
    <w:p w:rsidR="00F40AC8" w:rsidRPr="00036A98" w:rsidP="00EF1E96">
      <w:pPr>
        <w:numPr>
          <w:ilvl w:val="0"/>
          <w:numId w:val="28"/>
        </w:numPr>
        <w:suppressAutoHyphens/>
        <w:autoSpaceDN w:val="0"/>
        <w:spacing w:after="60"/>
        <w:jc w:val="both"/>
        <w:textAlignment w:val="baseline"/>
      </w:pPr>
      <w:r w:rsidRPr="00036A98">
        <w:t xml:space="preserve">risk assessment was conducted for the ENE subsystem under the project titled </w:t>
      </w:r>
      <w:r w:rsidRPr="00036A98">
        <w:rPr>
          <w:i/>
        </w:rPr>
        <w:t>Rehabilitation of the Railway Infrastructure on Certain Sections of the Plovdiv–Burgas Railway Line—Restoration, Repair and Upgrade of Burgas, Karnobat and Yambol Traction Substations</w:t>
      </w:r>
      <w:r w:rsidRPr="00036A98">
        <w:t>. For the changes proposed in the project, the REE appointed by order No 1773/30 August 2016 of the CEO of the NRIC SE decided that they affect safety and identified them as ‘significant’. Thereupon, the procedure continued with the selection of the AsBo.</w:t>
      </w:r>
    </w:p>
    <w:p w:rsidR="00F40AC8" w:rsidRPr="00036A98" w:rsidP="00F40AC8">
      <w:pPr>
        <w:pStyle w:val="Default"/>
        <w:spacing w:after="120"/>
        <w:ind w:firstLine="360"/>
        <w:jc w:val="both"/>
        <w:rPr>
          <w:b/>
          <w:bCs/>
          <w:color w:val="auto"/>
        </w:rPr>
      </w:pPr>
      <w:r w:rsidRPr="00036A98">
        <w:rPr>
          <w:b/>
          <w:color w:val="auto"/>
        </w:rPr>
        <w:t>2.  Information on the implementation of RE-related CSM by RUs certified by the NSA of Bulgaria for passenger and freight railway transport, and RS maintenance, in 2017:</w:t>
      </w:r>
    </w:p>
    <w:p w:rsidR="00F40AC8" w:rsidRPr="00036A98" w:rsidP="00F40AC8">
      <w:pPr>
        <w:ind w:firstLine="567"/>
        <w:jc w:val="both"/>
        <w:rPr>
          <w:noProof w:val="0"/>
        </w:rPr>
      </w:pPr>
      <w:r w:rsidRPr="00036A98">
        <w:rPr>
          <w:b/>
        </w:rPr>
        <w:t xml:space="preserve">In 2017, </w:t>
      </w:r>
      <w:r w:rsidRPr="00036A98">
        <w:rPr>
          <w:b/>
        </w:rPr>
        <w:t xml:space="preserve">no decisions and no </w:t>
      </w:r>
      <w:r w:rsidRPr="00036A98">
        <w:t>‘</w:t>
      </w:r>
      <w:r w:rsidRPr="00036A98">
        <w:rPr>
          <w:i/>
          <w:noProof w:val="0"/>
        </w:rPr>
        <w:t>significant</w:t>
      </w:r>
      <w:r w:rsidRPr="00036A98">
        <w:t>’ changes, within the meaning of Article 4 of the RE-related CSM, were made by Bulgarian RUs certified by the RAEA for passenger and freight railway transport, and RS maintenance</w:t>
      </w:r>
      <w:r w:rsidRPr="00036A98">
        <w:t xml:space="preserve">. </w:t>
      </w:r>
    </w:p>
    <w:p w:rsidR="00F40AC8" w:rsidRPr="00036A98" w:rsidP="007B2924">
      <w:pPr>
        <w:ind w:firstLine="709"/>
        <w:jc w:val="both"/>
        <w:rPr>
          <w:rFonts w:eastAsia="Calibri"/>
          <w:noProof w:val="0"/>
        </w:rPr>
      </w:pPr>
    </w:p>
    <w:p w:rsidR="00084411" w:rsidRPr="00036A98" w:rsidP="00EF1E96">
      <w:pPr>
        <w:pStyle w:val="Heading1"/>
        <w:numPr>
          <w:ilvl w:val="0"/>
          <w:numId w:val="12"/>
        </w:numPr>
        <w:rPr>
          <w:rFonts w:eastAsia="Calibri"/>
        </w:rPr>
      </w:pPr>
      <w:bookmarkStart w:id="288" w:name="_Toc462235823"/>
      <w:bookmarkStart w:id="289" w:name="_Toc462754805"/>
      <w:bookmarkStart w:id="290" w:name="_Toc490231032"/>
      <w:bookmarkStart w:id="291" w:name="_Toc490231924"/>
      <w:bookmarkStart w:id="292" w:name="_Toc490232052"/>
      <w:bookmarkStart w:id="293" w:name="_Toc491352180"/>
      <w:bookmarkStart w:id="294" w:name="_Toc491788113"/>
      <w:bookmarkStart w:id="295" w:name="_Toc491789303"/>
      <w:bookmarkStart w:id="296" w:name="_Toc491791300"/>
      <w:bookmarkStart w:id="297" w:name="_Toc525214780"/>
      <w:r w:rsidRPr="00036A98">
        <w:t>Revised National Safety Rules (NSR) as a Result of the Implementation of the EU Provisions regarding Risk Evaluation and Assessment.</w:t>
      </w:r>
      <w:bookmarkEnd w:id="288"/>
      <w:bookmarkEnd w:id="289"/>
      <w:bookmarkEnd w:id="290"/>
      <w:bookmarkEnd w:id="291"/>
      <w:bookmarkEnd w:id="292"/>
      <w:bookmarkEnd w:id="293"/>
      <w:bookmarkEnd w:id="294"/>
      <w:bookmarkEnd w:id="295"/>
      <w:bookmarkEnd w:id="296"/>
      <w:bookmarkEnd w:id="297"/>
    </w:p>
    <w:p w:rsidR="005523A8" w:rsidRPr="00036A98" w:rsidP="007B2924">
      <w:pPr>
        <w:ind w:firstLine="709"/>
        <w:jc w:val="both"/>
        <w:rPr>
          <w:rFonts w:eastAsia="Calibri"/>
          <w:bCs/>
          <w:noProof w:val="0"/>
        </w:rPr>
      </w:pPr>
      <w:bookmarkStart w:id="298" w:name="to_paragraph_id670660"/>
      <w:bookmarkEnd w:id="298"/>
      <w:r w:rsidRPr="00036A98">
        <w:t>In 2017, no national safety rules were revised as a result of the implementation of the European Union provisions regarding risk evaluation and assessment.</w:t>
      </w:r>
    </w:p>
    <w:p w:rsidR="00084411" w:rsidRPr="00036A98" w:rsidP="00EF1E96">
      <w:pPr>
        <w:pStyle w:val="Heading2"/>
        <w:numPr>
          <w:ilvl w:val="0"/>
          <w:numId w:val="7"/>
        </w:numPr>
        <w:rPr>
          <w:rFonts w:eastAsia="Calibri"/>
          <w:spacing w:val="0"/>
        </w:rPr>
      </w:pPr>
      <w:bookmarkStart w:id="299" w:name="_Toc462235824"/>
      <w:bookmarkStart w:id="300" w:name="_Toc462754806"/>
      <w:bookmarkStart w:id="301" w:name="_Toc490231033"/>
      <w:bookmarkStart w:id="302" w:name="_Toc490231925"/>
      <w:bookmarkStart w:id="303" w:name="_Toc490232053"/>
      <w:bookmarkStart w:id="304" w:name="_Toc491352181"/>
      <w:bookmarkStart w:id="305" w:name="_Toc491788114"/>
      <w:bookmarkStart w:id="306" w:name="_Toc491789304"/>
      <w:bookmarkStart w:id="307" w:name="_Toc491791301"/>
      <w:bookmarkStart w:id="308" w:name="_Toc525214781"/>
      <w:r w:rsidRPr="00036A98">
        <w:t>DEROGATIONS IN CONNECTION WITH THE SCHEME FOR THE CERTIFICATION OF ENTITIES (PERSONS) IN CHARGE OF MAINTENANCE OF VEHICLES IN ACCORDANCE WITH ARTICLE 14a(8) of DIRECTIVE 2008/110/EC</w:t>
      </w:r>
      <w:bookmarkEnd w:id="299"/>
      <w:bookmarkEnd w:id="300"/>
      <w:r w:rsidRPr="00036A98">
        <w:t>.</w:t>
      </w:r>
      <w:bookmarkEnd w:id="301"/>
      <w:bookmarkEnd w:id="302"/>
      <w:bookmarkEnd w:id="303"/>
      <w:bookmarkEnd w:id="304"/>
      <w:bookmarkEnd w:id="305"/>
      <w:bookmarkEnd w:id="306"/>
      <w:bookmarkEnd w:id="307"/>
      <w:bookmarkEnd w:id="308"/>
    </w:p>
    <w:p w:rsidR="001C5529" w:rsidRPr="00036A98" w:rsidP="007B2924">
      <w:pPr>
        <w:autoSpaceDE w:val="0"/>
        <w:autoSpaceDN w:val="0"/>
        <w:adjustRightInd w:val="0"/>
        <w:ind w:firstLine="708"/>
        <w:jc w:val="both"/>
        <w:rPr>
          <w:bCs/>
          <w:noProof w:val="0"/>
        </w:rPr>
      </w:pPr>
      <w:r w:rsidRPr="00036A98">
        <w:t>In 2017, the NSA of Bulgaria, in its capacity as certification authority of the entities in charge of the maintenance of rail vehicles, did not apply any derogations or alternative measures for their certification in accordance with Article 14a(8) of Directive 2008/110/EC of the European Parliament and of the Council of 16 December 2008 amending the RSD.</w:t>
      </w:r>
    </w:p>
    <w:p w:rsidR="00C10587" w:rsidRPr="00036A98" w:rsidP="007B2924">
      <w:pPr>
        <w:framePr w:w="9823" w:wrap="auto" w:hAnchor="text"/>
        <w:autoSpaceDE w:val="0"/>
        <w:autoSpaceDN w:val="0"/>
        <w:adjustRightInd w:val="0"/>
        <w:jc w:val="both"/>
        <w:rPr>
          <w:bCs/>
          <w:noProof w:val="0"/>
        </w:rPr>
        <w:sectPr w:rsidSect="00F54BB6">
          <w:headerReference w:type="default" r:id="rId26"/>
          <w:footerReference w:type="even" r:id="rId27"/>
          <w:footerReference w:type="default" r:id="rId28"/>
          <w:headerReference w:type="first" r:id="rId29"/>
          <w:pgSz w:w="11906" w:h="16838" w:code="9"/>
          <w:pgMar w:top="110" w:right="849" w:bottom="426" w:left="1418" w:header="150" w:footer="447" w:gutter="0"/>
          <w:pgBorders w:display="notFirstPage" w:offsetFrom="page">
            <w:top w:val="single" w:sz="4" w:space="24" w:color="0B5294" w:themeColor="accent1" w:themeShade="BF"/>
            <w:left w:val="single" w:sz="4" w:space="24" w:color="0B5294" w:themeColor="accent1" w:themeShade="BF"/>
            <w:bottom w:val="single" w:sz="4" w:space="24" w:color="0B5294" w:themeColor="accent1" w:themeShade="BF"/>
            <w:right w:val="single" w:sz="4" w:space="24" w:color="0B5294" w:themeColor="accent1" w:themeShade="BF"/>
          </w:pgBorders>
          <w:pgNumType w:start="0"/>
          <w:cols w:space="708"/>
          <w:titlePg/>
          <w:docGrid w:linePitch="360"/>
        </w:sectPr>
      </w:pPr>
    </w:p>
    <w:p w:rsidR="00851D43" w:rsidRPr="00036A98" w:rsidP="007B2924">
      <w:pPr>
        <w:pStyle w:val="Heading2"/>
        <w:numPr>
          <w:ilvl w:val="0"/>
          <w:numId w:val="0"/>
        </w:numPr>
        <w:ind w:left="720"/>
        <w:rPr>
          <w:rFonts w:eastAsia="Calibri"/>
          <w:spacing w:val="0"/>
          <w:szCs w:val="20"/>
        </w:rPr>
      </w:pPr>
      <w:bookmarkStart w:id="309" w:name="_Toc462235825"/>
      <w:bookmarkStart w:id="310" w:name="_Toc462754807"/>
      <w:bookmarkStart w:id="311" w:name="_Toc490231034"/>
      <w:bookmarkStart w:id="312" w:name="_Toc490231926"/>
      <w:bookmarkStart w:id="313" w:name="_Toc490232054"/>
      <w:bookmarkStart w:id="314" w:name="_Toc491352182"/>
      <w:bookmarkStart w:id="315" w:name="_Toc491788115"/>
      <w:bookmarkStart w:id="316" w:name="_Toc491789305"/>
      <w:bookmarkStart w:id="317" w:name="_Toc491791302"/>
      <w:bookmarkStart w:id="318" w:name="_Toc525214782"/>
      <w:r w:rsidRPr="00036A98">
        <w:t xml:space="preserve">ANNEX A. </w:t>
      </w:r>
      <w:hyperlink w:anchor="_Toc313523810" w:history="1">
        <w:r w:rsidRPr="00036A98">
          <w:rPr>
            <w:spacing w:val="0"/>
          </w:rPr>
          <w:t>COMMON SAFETY INDICATORS</w:t>
        </w:r>
      </w:hyperlink>
      <w:r w:rsidRPr="00036A98">
        <w:t xml:space="preserve"> (CSI)</w:t>
      </w:r>
      <w:bookmarkEnd w:id="309"/>
      <w:bookmarkEnd w:id="310"/>
      <w:bookmarkEnd w:id="311"/>
      <w:bookmarkEnd w:id="312"/>
      <w:bookmarkEnd w:id="313"/>
      <w:bookmarkEnd w:id="314"/>
      <w:bookmarkEnd w:id="315"/>
      <w:bookmarkEnd w:id="316"/>
      <w:bookmarkEnd w:id="317"/>
      <w:bookmarkEnd w:id="318"/>
    </w:p>
    <w:p w:rsidR="001C78D3" w:rsidRPr="00036A98" w:rsidP="007B2924">
      <w:pPr>
        <w:pStyle w:val="NoSpacing"/>
        <w:jc w:val="center"/>
        <w:rPr>
          <w:rFonts w:ascii="Times New Roman" w:hAnsi="Times New Roman" w:cs="Times New Roman"/>
          <w:sz w:val="24"/>
        </w:rPr>
      </w:pPr>
      <w:bookmarkStart w:id="319" w:name="_Toc462235826"/>
      <w:bookmarkStart w:id="320" w:name="_Toc462754808"/>
      <w:bookmarkStart w:id="321" w:name="_Toc490231035"/>
      <w:bookmarkStart w:id="322" w:name="_Toc490231927"/>
      <w:bookmarkStart w:id="323" w:name="_Toc490232055"/>
      <w:bookmarkStart w:id="324" w:name="_Toc491352183"/>
      <w:bookmarkStart w:id="325" w:name="_Toc491788116"/>
      <w:bookmarkStart w:id="326" w:name="_Toc491789306"/>
      <w:bookmarkStart w:id="327" w:name="_Toc491791303"/>
      <w:r w:rsidRPr="00036A98">
        <w:rPr>
          <w:rFonts w:ascii="Times New Roman" w:hAnsi="Times New Roman"/>
          <w:sz w:val="24"/>
        </w:rPr>
        <w:t>Data/charts on the performance of the main CSI in the 2013–2017 period</w:t>
      </w:r>
      <w:bookmarkStart w:id="328" w:name="_Toc462754809"/>
      <w:bookmarkStart w:id="329" w:name="_Toc490231036"/>
      <w:bookmarkStart w:id="330" w:name="_Toc490231928"/>
      <w:bookmarkStart w:id="331" w:name="_Toc490232056"/>
      <w:bookmarkStart w:id="332" w:name="_Toc491352184"/>
      <w:bookmarkStart w:id="333" w:name="_Toc491788117"/>
      <w:bookmarkStart w:id="334" w:name="_Toc491789307"/>
      <w:bookmarkEnd w:id="319"/>
      <w:bookmarkEnd w:id="320"/>
      <w:bookmarkEnd w:id="321"/>
      <w:bookmarkEnd w:id="322"/>
      <w:bookmarkEnd w:id="323"/>
      <w:bookmarkEnd w:id="324"/>
      <w:bookmarkEnd w:id="325"/>
      <w:bookmarkEnd w:id="326"/>
      <w:bookmarkEnd w:id="327"/>
    </w:p>
    <w:p w:rsidR="001641C9" w:rsidRPr="00036A98" w:rsidP="007B2924">
      <w:pPr>
        <w:rPr>
          <w:sz w:val="16"/>
          <w:szCs w:val="16"/>
        </w:rPr>
      </w:pPr>
    </w:p>
    <w:p w:rsidR="001641C9" w:rsidRPr="00036A98" w:rsidP="007B2924">
      <w:pPr>
        <w:shd w:val="clear" w:color="auto" w:fill="4FCDFF" w:themeFill="accent2" w:themeFillTint="99"/>
        <w:jc w:val="center"/>
        <w:rPr>
          <w:rFonts w:eastAsia="Calibri"/>
          <w:b/>
        </w:rPr>
      </w:pPr>
      <w:r w:rsidRPr="00036A98">
        <w:rPr>
          <w:b/>
        </w:rPr>
        <w:t>Data on the indicators related to ‘significant accidents’</w:t>
      </w:r>
      <w:r>
        <w:rPr>
          <w:rStyle w:val="FootnoteReference"/>
          <w:b/>
          <w:noProof w:val="0"/>
        </w:rPr>
        <w:footnoteReference w:id="44"/>
      </w:r>
      <w:r w:rsidRPr="00036A98">
        <w:rPr>
          <w:b/>
        </w:rPr>
        <w:t xml:space="preserve"> and ‘precursors </w:t>
      </w:r>
    </w:p>
    <w:p w:rsidR="001641C9" w:rsidRPr="00036A98" w:rsidP="007B2924">
      <w:pPr>
        <w:shd w:val="clear" w:color="auto" w:fill="4FCDFF" w:themeFill="accent2" w:themeFillTint="99"/>
        <w:jc w:val="center"/>
        <w:rPr>
          <w:rFonts w:eastAsia="Calibri"/>
        </w:rPr>
      </w:pPr>
      <w:r w:rsidRPr="00036A98">
        <w:rPr>
          <w:b/>
        </w:rPr>
        <w:t>of accidents’</w:t>
      </w:r>
      <w:r>
        <w:rPr>
          <w:rStyle w:val="FootnoteReference"/>
          <w:b/>
        </w:rPr>
        <w:footnoteReference w:id="45"/>
      </w:r>
      <w:r w:rsidRPr="00036A98">
        <w:rPr>
          <w:b/>
        </w:rPr>
        <w:t xml:space="preserve"> (incidents) in the period between 2013 and 2017:</w:t>
      </w:r>
      <w:bookmarkEnd w:id="328"/>
      <w:bookmarkEnd w:id="329"/>
      <w:bookmarkEnd w:id="330"/>
      <w:bookmarkEnd w:id="331"/>
      <w:bookmarkEnd w:id="332"/>
      <w:bookmarkEnd w:id="333"/>
      <w:bookmarkEnd w:id="334"/>
    </w:p>
    <w:p w:rsidR="00363B2F" w:rsidRPr="00036A98" w:rsidP="007B2924">
      <w:r w:rsidRPr="00036A98">
        <w:rPr>
          <w:lang w:val="fr-FR" w:eastAsia="fr-FR" w:bidi="ar-SA"/>
        </w:rPr>
        <w:drawing>
          <wp:inline distT="0" distB="0" distL="0" distR="0">
            <wp:extent cx="6120765" cy="3648710"/>
            <wp:effectExtent l="19050" t="19050" r="13335" b="279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783208" name="1.5.png"/>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a:xfrm>
                      <a:off x="0" y="0"/>
                      <a:ext cx="6120765" cy="3648710"/>
                    </a:xfrm>
                    <a:prstGeom prst="rect">
                      <a:avLst/>
                    </a:prstGeom>
                    <a:ln w="3175">
                      <a:solidFill>
                        <a:schemeClr val="tx1"/>
                      </a:solidFill>
                    </a:ln>
                  </pic:spPr>
                </pic:pic>
              </a:graphicData>
            </a:graphic>
          </wp:inline>
        </w:drawing>
      </w:r>
    </w:p>
    <w:p w:rsidR="00950805" w:rsidRPr="00036A98" w:rsidP="007B2924">
      <w:pPr>
        <w:rPr>
          <w:sz w:val="16"/>
          <w:szCs w:val="16"/>
        </w:rPr>
      </w:pPr>
    </w:p>
    <w:p w:rsidR="00E169E9" w:rsidRPr="00036A98" w:rsidP="007B2924">
      <w:r w:rsidRPr="00036A98">
        <w:rPr>
          <w:lang w:val="fr-FR" w:eastAsia="fr-FR" w:bidi="ar-SA"/>
        </w:rPr>
        <w:drawing>
          <wp:inline distT="0" distB="0" distL="0" distR="0">
            <wp:extent cx="6122502" cy="3395207"/>
            <wp:effectExtent l="19050" t="19050" r="12065" b="152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342509" name="4.1.png"/>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6122504" cy="3395208"/>
                    </a:xfrm>
                    <a:prstGeom prst="rect">
                      <a:avLst/>
                    </a:prstGeom>
                    <a:ln w="3175">
                      <a:solidFill>
                        <a:schemeClr val="tx1"/>
                      </a:solidFill>
                    </a:ln>
                  </pic:spPr>
                </pic:pic>
              </a:graphicData>
            </a:graphic>
          </wp:inline>
        </w:drawing>
      </w:r>
    </w:p>
    <w:p w:rsidR="00950805" w:rsidRPr="00036A98" w:rsidP="007B2924">
      <w:pPr>
        <w:rPr>
          <w:rFonts w:eastAsia="Calibri"/>
          <w:noProof w:val="0"/>
          <w:szCs w:val="22"/>
        </w:rPr>
      </w:pPr>
    </w:p>
    <w:p w:rsidR="00E169E9" w:rsidRPr="00036A98" w:rsidP="007B2924">
      <w:pPr>
        <w:rPr>
          <w:rFonts w:eastAsia="Calibri"/>
          <w:noProof w:val="0"/>
          <w:szCs w:val="22"/>
        </w:rPr>
        <w:sectPr w:rsidSect="00E3421A">
          <w:pgSz w:w="11906" w:h="16838" w:code="9"/>
          <w:pgMar w:top="165" w:right="849" w:bottom="720" w:left="1418" w:header="150" w:footer="227" w:gutter="0"/>
          <w:pgBorders w:offsetFrom="page">
            <w:top w:val="single" w:sz="4" w:space="24" w:color="0B5294" w:themeColor="accent1" w:themeShade="BF"/>
            <w:left w:val="single" w:sz="4" w:space="24" w:color="0B5294" w:themeColor="accent1" w:themeShade="BF"/>
            <w:bottom w:val="single" w:sz="4" w:space="24" w:color="0B5294" w:themeColor="accent1" w:themeShade="BF"/>
            <w:right w:val="single" w:sz="4" w:space="24" w:color="0B5294" w:themeColor="accent1" w:themeShade="BF"/>
          </w:pgBorders>
          <w:cols w:space="708"/>
          <w:titlePg/>
          <w:docGrid w:linePitch="360"/>
        </w:sectPr>
      </w:pPr>
    </w:p>
    <w:p w:rsidR="00290461" w:rsidRPr="00036A98" w:rsidP="007B2924">
      <w:pPr>
        <w:shd w:val="clear" w:color="auto" w:fill="4FCDFF" w:themeFill="accent2" w:themeFillTint="99"/>
        <w:tabs>
          <w:tab w:val="right" w:leader="dot" w:pos="9790"/>
          <w:tab w:val="left" w:pos="14740"/>
        </w:tabs>
        <w:spacing w:before="120" w:after="120"/>
        <w:jc w:val="center"/>
        <w:rPr>
          <w:rFonts w:eastAsia="Calibri"/>
          <w:b/>
          <w:noProof w:val="0"/>
          <w:szCs w:val="23"/>
        </w:rPr>
      </w:pPr>
      <w:r w:rsidRPr="00036A98">
        <w:rPr>
          <w:b/>
          <w:noProof w:val="0"/>
        </w:rPr>
        <w:t>Dead (killed) persons in railway accidents in Bulgaria, in the 2013–2017 period, divided by type of accident and risk category of the persons:</w:t>
      </w:r>
    </w:p>
    <w:p w:rsidR="00BE4F00" w:rsidRPr="00036A98" w:rsidP="007B2924">
      <w:pPr>
        <w:tabs>
          <w:tab w:val="right" w:leader="dot" w:pos="9790"/>
          <w:tab w:val="left" w:pos="14740"/>
        </w:tabs>
        <w:spacing w:before="120" w:after="120"/>
        <w:jc w:val="center"/>
        <w:rPr>
          <w:rFonts w:eastAsia="Calibri"/>
          <w:b/>
          <w:noProof w:val="0"/>
          <w:szCs w:val="22"/>
        </w:rPr>
      </w:pPr>
      <w:r w:rsidRPr="00036A98">
        <w:rPr>
          <w:rFonts w:eastAsia="Calibri"/>
          <w:b/>
          <w:szCs w:val="22"/>
          <w:lang w:val="fr-FR" w:eastAsia="fr-FR" w:bidi="ar-SA"/>
        </w:rPr>
        <w:drawing>
          <wp:inline distT="0" distB="0" distL="0" distR="0">
            <wp:extent cx="6042992" cy="3855675"/>
            <wp:effectExtent l="19050" t="19050" r="15240"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53532" name="1.1.png"/>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a:xfrm>
                      <a:off x="0" y="0"/>
                      <a:ext cx="6046509" cy="3857919"/>
                    </a:xfrm>
                    <a:prstGeom prst="rect">
                      <a:avLst/>
                    </a:prstGeom>
                    <a:ln w="3175">
                      <a:solidFill>
                        <a:schemeClr val="tx1"/>
                      </a:solidFill>
                    </a:ln>
                  </pic:spPr>
                </pic:pic>
              </a:graphicData>
            </a:graphic>
          </wp:inline>
        </w:drawing>
      </w:r>
    </w:p>
    <w:p w:rsidR="00356B54" w:rsidRPr="00036A98" w:rsidP="007B2924">
      <w:pPr>
        <w:tabs>
          <w:tab w:val="right" w:leader="dot" w:pos="9790"/>
          <w:tab w:val="left" w:pos="14740"/>
        </w:tabs>
        <w:spacing w:before="120" w:after="120"/>
        <w:jc w:val="center"/>
        <w:rPr>
          <w:rFonts w:eastAsia="Calibri"/>
          <w:b/>
          <w:noProof w:val="0"/>
          <w:szCs w:val="22"/>
        </w:rPr>
      </w:pPr>
    </w:p>
    <w:p w:rsidR="00356B54" w:rsidRPr="00036A98" w:rsidP="007B2924">
      <w:pPr>
        <w:tabs>
          <w:tab w:val="right" w:leader="dot" w:pos="9790"/>
          <w:tab w:val="left" w:pos="14740"/>
        </w:tabs>
        <w:spacing w:before="120" w:after="120"/>
        <w:jc w:val="center"/>
        <w:rPr>
          <w:rFonts w:eastAsia="Calibri"/>
          <w:b/>
          <w:noProof w:val="0"/>
          <w:szCs w:val="22"/>
        </w:rPr>
      </w:pPr>
      <w:r w:rsidRPr="00036A98">
        <w:rPr>
          <w:rFonts w:eastAsia="Calibri"/>
          <w:b/>
          <w:szCs w:val="22"/>
          <w:lang w:val="fr-FR" w:eastAsia="fr-FR" w:bidi="ar-SA"/>
        </w:rPr>
        <w:drawing>
          <wp:inline distT="0" distB="0" distL="0" distR="0">
            <wp:extent cx="6030595" cy="3740785"/>
            <wp:effectExtent l="19050" t="19050" r="27305"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39438" name="1.2.png"/>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6030595" cy="3740785"/>
                    </a:xfrm>
                    <a:prstGeom prst="rect">
                      <a:avLst/>
                    </a:prstGeom>
                    <a:ln w="3175">
                      <a:solidFill>
                        <a:schemeClr val="tx1"/>
                      </a:solidFill>
                    </a:ln>
                  </pic:spPr>
                </pic:pic>
              </a:graphicData>
            </a:graphic>
          </wp:inline>
        </w:drawing>
      </w:r>
    </w:p>
    <w:p w:rsidR="00C3613D" w:rsidRPr="00036A98" w:rsidP="007B2924">
      <w:pPr>
        <w:tabs>
          <w:tab w:val="right" w:leader="dot" w:pos="9790"/>
          <w:tab w:val="left" w:pos="14740"/>
        </w:tabs>
        <w:spacing w:before="120" w:after="120"/>
        <w:rPr>
          <w:rFonts w:eastAsia="Calibri"/>
          <w:b/>
          <w:noProof w:val="0"/>
          <w:szCs w:val="22"/>
        </w:rPr>
      </w:pPr>
    </w:p>
    <w:p w:rsidR="00BE4F00" w:rsidRPr="00036A98" w:rsidP="007B2924">
      <w:pPr>
        <w:tabs>
          <w:tab w:val="right" w:leader="dot" w:pos="9790"/>
          <w:tab w:val="left" w:pos="14740"/>
        </w:tabs>
        <w:spacing w:before="120" w:after="120"/>
        <w:rPr>
          <w:rFonts w:eastAsia="Calibri"/>
          <w:b/>
          <w:noProof w:val="0"/>
          <w:szCs w:val="22"/>
        </w:rPr>
      </w:pPr>
    </w:p>
    <w:p w:rsidR="00BE4F00" w:rsidRPr="00036A98" w:rsidP="007B2924">
      <w:pPr>
        <w:tabs>
          <w:tab w:val="right" w:leader="dot" w:pos="9790"/>
          <w:tab w:val="left" w:pos="14740"/>
        </w:tabs>
        <w:spacing w:before="120" w:after="120"/>
        <w:jc w:val="center"/>
        <w:rPr>
          <w:rFonts w:eastAsia="Calibri"/>
          <w:noProof w:val="0"/>
          <w:szCs w:val="22"/>
        </w:rPr>
      </w:pPr>
    </w:p>
    <w:p w:rsidR="000F4EF7" w:rsidRPr="00036A98" w:rsidP="007B2924">
      <w:pPr>
        <w:shd w:val="clear" w:color="auto" w:fill="4FCDFF" w:themeFill="accent2" w:themeFillTint="99"/>
        <w:tabs>
          <w:tab w:val="right" w:leader="dot" w:pos="9790"/>
          <w:tab w:val="left" w:pos="14740"/>
        </w:tabs>
        <w:spacing w:before="120"/>
        <w:jc w:val="center"/>
        <w:rPr>
          <w:rFonts w:eastAsia="Calibri"/>
          <w:b/>
          <w:noProof w:val="0"/>
          <w:szCs w:val="23"/>
        </w:rPr>
      </w:pPr>
      <w:r w:rsidRPr="00036A98">
        <w:rPr>
          <w:b/>
          <w:noProof w:val="0"/>
        </w:rPr>
        <w:t>Seriously injured persons in railway accidents in Bulgaria, in the 2013–2017 period, divided by type of accident and risk category of the persons:</w:t>
      </w:r>
    </w:p>
    <w:p w:rsidR="00BE4F00" w:rsidRPr="00036A98" w:rsidP="007B2924">
      <w:pPr>
        <w:rPr>
          <w:rFonts w:eastAsia="Calibri"/>
          <w:noProof w:val="0"/>
        </w:rPr>
      </w:pPr>
      <w:r w:rsidRPr="00036A98">
        <w:rPr>
          <w:rFonts w:eastAsia="Calibri"/>
          <w:lang w:val="fr-FR" w:eastAsia="fr-FR" w:bidi="ar-SA"/>
        </w:rPr>
        <w:drawing>
          <wp:inline distT="0" distB="0" distL="0" distR="0">
            <wp:extent cx="6030595" cy="4255770"/>
            <wp:effectExtent l="19050" t="19050" r="27305"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099451" name="1.3.png"/>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6030595" cy="4255770"/>
                    </a:xfrm>
                    <a:prstGeom prst="rect">
                      <a:avLst/>
                    </a:prstGeom>
                    <a:ln w="3175">
                      <a:solidFill>
                        <a:schemeClr val="tx1"/>
                      </a:solidFill>
                    </a:ln>
                  </pic:spPr>
                </pic:pic>
              </a:graphicData>
            </a:graphic>
          </wp:inline>
        </w:drawing>
      </w:r>
    </w:p>
    <w:p w:rsidR="00D91031" w:rsidRPr="00036A98" w:rsidP="007B2924">
      <w:pPr>
        <w:rPr>
          <w:rFonts w:eastAsia="Calibri"/>
          <w:noProof w:val="0"/>
        </w:rPr>
      </w:pPr>
    </w:p>
    <w:p w:rsidR="00950805" w:rsidRPr="00036A98" w:rsidP="007B2924">
      <w:pPr>
        <w:tabs>
          <w:tab w:val="right" w:leader="dot" w:pos="9790"/>
          <w:tab w:val="left" w:pos="14740"/>
        </w:tabs>
        <w:spacing w:before="120"/>
        <w:jc w:val="center"/>
        <w:rPr>
          <w:rFonts w:eastAsia="Calibri"/>
          <w:b/>
          <w:noProof w:val="0"/>
          <w:szCs w:val="22"/>
        </w:rPr>
      </w:pPr>
      <w:r w:rsidRPr="00036A98">
        <w:rPr>
          <w:rFonts w:eastAsia="Calibri"/>
          <w:b/>
          <w:szCs w:val="22"/>
          <w:lang w:val="fr-FR" w:eastAsia="fr-FR" w:bidi="ar-SA"/>
        </w:rPr>
        <w:drawing>
          <wp:inline distT="0" distB="0" distL="0" distR="0">
            <wp:extent cx="6027089" cy="4460682"/>
            <wp:effectExtent l="19050" t="19050" r="12065" b="165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0609" name="1.4.png"/>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6030595" cy="4463277"/>
                    </a:xfrm>
                    <a:prstGeom prst="rect">
                      <a:avLst/>
                    </a:prstGeom>
                    <a:ln w="3175">
                      <a:solidFill>
                        <a:schemeClr val="tx1"/>
                      </a:solidFill>
                    </a:ln>
                  </pic:spPr>
                </pic:pic>
              </a:graphicData>
            </a:graphic>
          </wp:inline>
        </w:drawing>
      </w:r>
    </w:p>
    <w:p w:rsidR="000F4EF7" w:rsidRPr="00036A98" w:rsidP="007B2924">
      <w:pPr>
        <w:shd w:val="clear" w:color="auto" w:fill="4FCDFF" w:themeFill="accent2" w:themeFillTint="99"/>
        <w:tabs>
          <w:tab w:val="right" w:leader="dot" w:pos="9790"/>
          <w:tab w:val="left" w:pos="14740"/>
        </w:tabs>
        <w:spacing w:before="120" w:after="120"/>
        <w:jc w:val="center"/>
        <w:rPr>
          <w:rFonts w:eastAsia="Calibri"/>
          <w:b/>
          <w:noProof w:val="0"/>
          <w:szCs w:val="22"/>
        </w:rPr>
      </w:pPr>
      <w:r w:rsidRPr="00036A98">
        <w:rPr>
          <w:rFonts w:eastAsia="Calibri"/>
          <w:b/>
          <w:szCs w:val="22"/>
          <w:lang w:val="fr-FR" w:eastAsia="fr-FR" w:bidi="ar-SA"/>
        </w:rPr>
        <w:drawing>
          <wp:anchor distT="0" distB="0" distL="114300" distR="114300" simplePos="0" relativeHeight="251677696" behindDoc="1" locked="0" layoutInCell="1" allowOverlap="1">
            <wp:simplePos x="0" y="0"/>
            <wp:positionH relativeFrom="column">
              <wp:posOffset>3164205</wp:posOffset>
            </wp:positionH>
            <wp:positionV relativeFrom="paragraph">
              <wp:posOffset>224155</wp:posOffset>
            </wp:positionV>
            <wp:extent cx="2838450" cy="3279140"/>
            <wp:effectExtent l="19050" t="19050" r="19050" b="1651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749125" name="2.2.png"/>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2838450" cy="327914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036A98">
        <w:rPr>
          <w:rFonts w:eastAsia="Calibri"/>
          <w:b/>
          <w:szCs w:val="22"/>
          <w:lang w:val="fr-FR" w:eastAsia="fr-FR" w:bidi="ar-SA"/>
        </w:rPr>
        <w:drawing>
          <wp:anchor distT="0" distB="0" distL="114300" distR="114300" simplePos="0" relativeHeight="251676672" behindDoc="1" locked="0" layoutInCell="1" allowOverlap="1">
            <wp:simplePos x="0" y="0"/>
            <wp:positionH relativeFrom="column">
              <wp:posOffset>-6350</wp:posOffset>
            </wp:positionH>
            <wp:positionV relativeFrom="paragraph">
              <wp:posOffset>220980</wp:posOffset>
            </wp:positionV>
            <wp:extent cx="3013075" cy="3287395"/>
            <wp:effectExtent l="19050" t="19050" r="15875" b="273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79218" name="2.1.png"/>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3013075" cy="328739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036A98">
        <w:rPr>
          <w:b/>
          <w:noProof w:val="0"/>
        </w:rPr>
        <w:t>Data on the traffic</w:t>
      </w:r>
      <w:r>
        <w:rPr>
          <w:rStyle w:val="FootnoteReference"/>
          <w:b/>
          <w:noProof w:val="0"/>
        </w:rPr>
        <w:footnoteReference w:id="46"/>
      </w:r>
      <w:r w:rsidRPr="00036A98">
        <w:rPr>
          <w:b/>
          <w:noProof w:val="0"/>
        </w:rPr>
        <w:t>in Bulgaria in the 2013–2017 period:</w:t>
      </w: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r w:rsidRPr="00036A98">
        <w:rPr>
          <w:rFonts w:eastAsia="Calibri"/>
          <w:b/>
          <w:szCs w:val="22"/>
          <w:lang w:val="fr-FR" w:eastAsia="fr-FR" w:bidi="ar-SA"/>
        </w:rPr>
        <w:drawing>
          <wp:anchor distT="0" distB="0" distL="114300" distR="114300" simplePos="0" relativeHeight="251679744" behindDoc="1" locked="0" layoutInCell="1" allowOverlap="1">
            <wp:simplePos x="0" y="0"/>
            <wp:positionH relativeFrom="column">
              <wp:posOffset>3154045</wp:posOffset>
            </wp:positionH>
            <wp:positionV relativeFrom="paragraph">
              <wp:posOffset>175895</wp:posOffset>
            </wp:positionV>
            <wp:extent cx="2849880" cy="4134485"/>
            <wp:effectExtent l="19050" t="19050" r="26670" b="1841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941738" name="2.3.png"/>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tretch>
                      <a:fillRect/>
                    </a:stretch>
                  </pic:blipFill>
                  <pic:spPr>
                    <a:xfrm>
                      <a:off x="0" y="0"/>
                      <a:ext cx="2849880" cy="413448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036A98">
        <w:rPr>
          <w:rFonts w:eastAsia="Calibri"/>
          <w:b/>
          <w:szCs w:val="22"/>
          <w:lang w:val="fr-FR" w:eastAsia="fr-FR" w:bidi="ar-SA"/>
        </w:rPr>
        <w:drawing>
          <wp:anchor distT="0" distB="0" distL="114300" distR="114300" simplePos="0" relativeHeight="251678720" behindDoc="1" locked="0" layoutInCell="1" allowOverlap="1">
            <wp:simplePos x="0" y="0"/>
            <wp:positionH relativeFrom="column">
              <wp:posOffset>-10160</wp:posOffset>
            </wp:positionH>
            <wp:positionV relativeFrom="paragraph">
              <wp:posOffset>172085</wp:posOffset>
            </wp:positionV>
            <wp:extent cx="3016250" cy="4150360"/>
            <wp:effectExtent l="19050" t="19050" r="12700" b="2159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2614" name="2.4.png"/>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3016250" cy="415036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7613CF" w:rsidRPr="00036A98" w:rsidP="007B2924">
      <w:pPr>
        <w:tabs>
          <w:tab w:val="right" w:leader="dot" w:pos="9790"/>
          <w:tab w:val="left" w:pos="14740"/>
        </w:tabs>
        <w:spacing w:before="120" w:after="120"/>
        <w:rPr>
          <w:rFonts w:eastAsia="Calibri"/>
          <w:b/>
          <w:noProof w:val="0"/>
          <w:szCs w:val="22"/>
        </w:rPr>
      </w:pPr>
    </w:p>
    <w:p w:rsidR="002E041B" w:rsidRPr="00036A98" w:rsidP="007B2924">
      <w:pPr>
        <w:shd w:val="clear" w:color="auto" w:fill="4FCDFF" w:themeFill="accent2" w:themeFillTint="99"/>
        <w:tabs>
          <w:tab w:val="right" w:leader="dot" w:pos="9790"/>
          <w:tab w:val="left" w:pos="14740"/>
        </w:tabs>
        <w:ind w:hanging="142"/>
        <w:jc w:val="center"/>
        <w:rPr>
          <w:rFonts w:eastAsia="Calibri"/>
          <w:b/>
          <w:noProof w:val="0"/>
          <w:szCs w:val="23"/>
        </w:rPr>
      </w:pPr>
      <w:r w:rsidRPr="00036A98">
        <w:rPr>
          <w:b/>
          <w:noProof w:val="0"/>
        </w:rPr>
        <w:t>Data on the technical safety of the railway infrastructure</w:t>
      </w:r>
      <w:r>
        <w:rPr>
          <w:rStyle w:val="FootnoteReference"/>
          <w:b/>
          <w:noProof w:val="0"/>
        </w:rPr>
        <w:footnoteReference w:id="47"/>
      </w:r>
    </w:p>
    <w:p w:rsidR="00672608" w:rsidRPr="00036A98" w:rsidP="007B2924">
      <w:pPr>
        <w:shd w:val="clear" w:color="auto" w:fill="4FCDFF" w:themeFill="accent2" w:themeFillTint="99"/>
        <w:tabs>
          <w:tab w:val="right" w:leader="dot" w:pos="9790"/>
          <w:tab w:val="left" w:pos="14740"/>
        </w:tabs>
        <w:ind w:left="-142" w:firstLine="142"/>
        <w:jc w:val="center"/>
        <w:rPr>
          <w:rFonts w:eastAsia="Calibri"/>
          <w:b/>
          <w:noProof w:val="0"/>
          <w:szCs w:val="23"/>
        </w:rPr>
      </w:pPr>
      <w:r w:rsidRPr="00036A98">
        <w:rPr>
          <w:b/>
          <w:noProof w:val="0"/>
        </w:rPr>
        <w:t>in</w:t>
      </w:r>
      <w:r w:rsidRPr="00036A98">
        <w:rPr>
          <w:b/>
          <w:noProof w:val="0"/>
        </w:rPr>
        <w:t xml:space="preserve"> Bulgaria, in the 2013–2017 period:</w:t>
      </w:r>
    </w:p>
    <w:p w:rsidR="001F6363" w:rsidRPr="00036A98" w:rsidP="007B2924">
      <w:pPr>
        <w:tabs>
          <w:tab w:val="right" w:leader="dot" w:pos="9790"/>
          <w:tab w:val="left" w:pos="14740"/>
        </w:tabs>
        <w:rPr>
          <w:rFonts w:eastAsia="Calibri"/>
          <w:b/>
          <w:noProof w:val="0"/>
          <w:sz w:val="23"/>
          <w:szCs w:val="23"/>
        </w:rPr>
      </w:pPr>
      <w:r w:rsidRPr="00036A98">
        <w:rPr>
          <w:rFonts w:eastAsia="Calibri"/>
          <w:b/>
          <w:szCs w:val="22"/>
          <w:lang w:val="fr-FR" w:eastAsia="fr-FR" w:bidi="ar-SA"/>
        </w:rPr>
        <w:drawing>
          <wp:anchor distT="0" distB="0" distL="114300" distR="114300" simplePos="0" relativeHeight="251669504" behindDoc="1" locked="0" layoutInCell="1" allowOverlap="1">
            <wp:simplePos x="0" y="0"/>
            <wp:positionH relativeFrom="column">
              <wp:posOffset>3002915</wp:posOffset>
            </wp:positionH>
            <wp:positionV relativeFrom="paragraph">
              <wp:posOffset>128132</wp:posOffset>
            </wp:positionV>
            <wp:extent cx="3021330" cy="2766695"/>
            <wp:effectExtent l="19050" t="19050" r="26670" b="146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89902" name="5.2.png"/>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a:xfrm>
                      <a:off x="0" y="0"/>
                      <a:ext cx="3021330" cy="276669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036A98">
        <w:rPr>
          <w:rFonts w:eastAsia="Calibri"/>
          <w:b/>
          <w:sz w:val="23"/>
          <w:szCs w:val="23"/>
          <w:lang w:val="fr-FR" w:eastAsia="fr-FR" w:bidi="ar-SA"/>
        </w:rPr>
        <w:drawing>
          <wp:anchor distT="0" distB="0" distL="114300" distR="114300" simplePos="0" relativeHeight="251668480" behindDoc="1" locked="0" layoutInCell="1" allowOverlap="1">
            <wp:simplePos x="0" y="0"/>
            <wp:positionH relativeFrom="column">
              <wp:posOffset>-113665</wp:posOffset>
            </wp:positionH>
            <wp:positionV relativeFrom="paragraph">
              <wp:posOffset>129540</wp:posOffset>
            </wp:positionV>
            <wp:extent cx="2965450" cy="2766695"/>
            <wp:effectExtent l="19050" t="19050" r="25400" b="146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01757" name="5.1.png"/>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a:xfrm>
                      <a:off x="0" y="0"/>
                      <a:ext cx="2965450" cy="276669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F6363" w:rsidRPr="00036A98" w:rsidP="007B2924">
      <w:pPr>
        <w:tabs>
          <w:tab w:val="right" w:leader="dot" w:pos="9790"/>
          <w:tab w:val="left" w:pos="14740"/>
        </w:tabs>
        <w:rPr>
          <w:rFonts w:eastAsia="Calibri"/>
          <w:b/>
          <w:noProof w:val="0"/>
          <w:sz w:val="23"/>
          <w:szCs w:val="23"/>
        </w:rPr>
      </w:pPr>
    </w:p>
    <w:p w:rsidR="001623A6" w:rsidRPr="00036A98" w:rsidP="00F40AC8">
      <w:pPr>
        <w:tabs>
          <w:tab w:val="right" w:leader="dot" w:pos="9790"/>
          <w:tab w:val="left" w:pos="14740"/>
        </w:tabs>
        <w:rPr>
          <w:rFonts w:eastAsia="Calibri"/>
          <w:b/>
          <w:noProof w:val="0"/>
          <w:szCs w:val="23"/>
        </w:rPr>
      </w:pPr>
      <w:r w:rsidRPr="00036A98">
        <w:rPr>
          <w:b/>
          <w:noProof w:val="0"/>
          <w:shd w:val="clear" w:color="auto" w:fill="4FCDFF" w:themeFill="accent2" w:themeFillTint="99"/>
        </w:rPr>
        <w:t>Data on the total number of railway level crossings in Bulgaria, in the 2013–2017 period, divided into ‘active’ and ‘passive’ level crossings</w:t>
      </w:r>
      <w:r>
        <w:rPr>
          <w:rStyle w:val="FootnoteReference"/>
          <w:b/>
          <w:noProof w:val="0"/>
          <w:shd w:val="clear" w:color="auto" w:fill="4FCDFF" w:themeFill="accent2" w:themeFillTint="99"/>
        </w:rPr>
        <w:footnoteReference w:id="48"/>
      </w:r>
    </w:p>
    <w:p w:rsidR="00672608" w:rsidRPr="00036A98" w:rsidP="007B2924">
      <w:pPr>
        <w:tabs>
          <w:tab w:val="right" w:leader="dot" w:pos="9790"/>
          <w:tab w:val="left" w:pos="14740"/>
        </w:tabs>
        <w:spacing w:before="120" w:after="120"/>
        <w:jc w:val="center"/>
        <w:rPr>
          <w:rFonts w:eastAsia="Calibri"/>
          <w:b/>
          <w:noProof w:val="0"/>
          <w:szCs w:val="22"/>
        </w:rPr>
      </w:pPr>
      <w:r w:rsidRPr="00036A98">
        <w:rPr>
          <w:rFonts w:eastAsia="Calibri"/>
          <w:b/>
          <w:szCs w:val="22"/>
          <w:lang w:val="fr-FR" w:eastAsia="fr-FR" w:bidi="ar-SA"/>
        </w:rPr>
        <w:drawing>
          <wp:inline distT="0" distB="0" distL="0" distR="0">
            <wp:extent cx="4579952" cy="3633746"/>
            <wp:effectExtent l="19050" t="19050" r="11430"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563117" name="5.3.png"/>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a:xfrm>
                      <a:off x="0" y="0"/>
                      <a:ext cx="4580592" cy="3634254"/>
                    </a:xfrm>
                    <a:prstGeom prst="rect">
                      <a:avLst/>
                    </a:prstGeom>
                    <a:ln w="3175">
                      <a:solidFill>
                        <a:schemeClr val="tx1"/>
                      </a:solidFill>
                    </a:ln>
                  </pic:spPr>
                </pic:pic>
              </a:graphicData>
            </a:graphic>
          </wp:inline>
        </w:drawing>
      </w:r>
    </w:p>
    <w:p w:rsidR="001D48F6" w:rsidRPr="00036A98" w:rsidP="007B2924">
      <w:pPr>
        <w:shd w:val="clear" w:color="auto" w:fill="4FCDFF" w:themeFill="accent2" w:themeFillTint="99"/>
        <w:tabs>
          <w:tab w:val="right" w:leader="dot" w:pos="9790"/>
          <w:tab w:val="left" w:pos="14740"/>
        </w:tabs>
        <w:spacing w:before="120" w:after="120"/>
        <w:ind w:right="-142"/>
        <w:jc w:val="center"/>
        <w:rPr>
          <w:rFonts w:eastAsia="Calibri"/>
          <w:b/>
          <w:noProof w:val="0"/>
          <w:sz w:val="23"/>
          <w:szCs w:val="23"/>
        </w:rPr>
      </w:pPr>
      <w:r w:rsidRPr="00036A98">
        <w:rPr>
          <w:b/>
          <w:noProof w:val="0"/>
          <w:sz w:val="23"/>
        </w:rPr>
        <w:t>Fatalities and weighted serious injuries (FWSIs</w:t>
      </w:r>
      <w:r w:rsidRPr="00036A98">
        <w:rPr>
          <w:b/>
          <w:noProof w:val="0"/>
          <w:sz w:val="23"/>
        </w:rPr>
        <w:t>)</w:t>
      </w:r>
      <w:r>
        <w:rPr>
          <w:rStyle w:val="FootnoteReference"/>
          <w:b/>
          <w:noProof w:val="0"/>
          <w:sz w:val="23"/>
        </w:rPr>
        <w:footnoteReference w:id="49"/>
      </w:r>
      <w:r w:rsidRPr="00036A98">
        <w:rPr>
          <w:b/>
          <w:noProof w:val="0"/>
          <w:sz w:val="23"/>
        </w:rPr>
        <w:t>of persons of the following risk categories: ‘Passengers,’ ‘Employees’ and ‘Level crossing users’ (CST 3.1), in the 2013–2017 period:</w:t>
      </w:r>
    </w:p>
    <w:p w:rsidR="00C90BDC" w:rsidRPr="00036A98" w:rsidP="007B2924">
      <w:pPr>
        <w:tabs>
          <w:tab w:val="right" w:leader="dot" w:pos="9790"/>
          <w:tab w:val="left" w:pos="14740"/>
        </w:tabs>
        <w:spacing w:before="120" w:after="120"/>
        <w:rPr>
          <w:rFonts w:eastAsia="Calibri"/>
          <w:b/>
          <w:noProof w:val="0"/>
          <w:szCs w:val="22"/>
        </w:rPr>
      </w:pPr>
      <w:r w:rsidRPr="00036A98">
        <w:rPr>
          <w:rFonts w:eastAsia="Calibri"/>
          <w:b/>
          <w:szCs w:val="22"/>
          <w:lang w:val="fr-FR" w:eastAsia="fr-FR" w:bidi="ar-SA"/>
        </w:rPr>
        <w:drawing>
          <wp:anchor distT="0" distB="0" distL="114300" distR="114300" simplePos="0" relativeHeight="251670528" behindDoc="1" locked="0" layoutInCell="1" allowOverlap="1">
            <wp:simplePos x="0" y="0"/>
            <wp:positionH relativeFrom="column">
              <wp:posOffset>-2540</wp:posOffset>
            </wp:positionH>
            <wp:positionV relativeFrom="paragraph">
              <wp:posOffset>7620</wp:posOffset>
            </wp:positionV>
            <wp:extent cx="2981325" cy="3331210"/>
            <wp:effectExtent l="19050" t="19050" r="28575" b="215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344567" name="3.1.png"/>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a:xfrm>
                      <a:off x="0" y="0"/>
                      <a:ext cx="2981325" cy="333121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036A98">
        <w:rPr>
          <w:rFonts w:eastAsia="Calibri"/>
          <w:b/>
          <w:szCs w:val="22"/>
          <w:lang w:val="fr-FR" w:eastAsia="fr-FR" w:bidi="ar-SA"/>
        </w:rPr>
        <w:drawing>
          <wp:anchor distT="0" distB="0" distL="114300" distR="114300" simplePos="0" relativeHeight="251671552" behindDoc="1" locked="0" layoutInCell="1" allowOverlap="1">
            <wp:simplePos x="0" y="0"/>
            <wp:positionH relativeFrom="column">
              <wp:posOffset>3424555</wp:posOffset>
            </wp:positionH>
            <wp:positionV relativeFrom="paragraph">
              <wp:posOffset>7620</wp:posOffset>
            </wp:positionV>
            <wp:extent cx="2691765" cy="3331210"/>
            <wp:effectExtent l="19050" t="19050" r="13335" b="21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89983" name="3.2.png"/>
                    <pic:cNvPicPr/>
                  </pic:nvPicPr>
                  <pic:blipFill>
                    <a:blip xmlns:r="http://schemas.openxmlformats.org/officeDocument/2006/relationships" r:embed="rId44">
                      <a:extLst>
                        <a:ext xmlns:a="http://schemas.openxmlformats.org/drawingml/2006/main" uri="{28A0092B-C50C-407E-A947-70E740481C1C}">
                          <a14:useLocalDpi xmlns:a14="http://schemas.microsoft.com/office/drawing/2010/main" val="0"/>
                        </a:ext>
                      </a:extLst>
                    </a:blip>
                    <a:stretch>
                      <a:fillRect/>
                    </a:stretch>
                  </pic:blipFill>
                  <pic:spPr>
                    <a:xfrm>
                      <a:off x="0" y="0"/>
                      <a:ext cx="2691765" cy="333121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34281C" w:rsidRPr="00036A98" w:rsidP="007B2924">
      <w:pPr>
        <w:tabs>
          <w:tab w:val="right" w:leader="dot" w:pos="9790"/>
          <w:tab w:val="left" w:pos="14740"/>
        </w:tabs>
        <w:spacing w:before="120" w:after="120"/>
        <w:rPr>
          <w:rFonts w:eastAsia="Calibri"/>
          <w:b/>
          <w:noProof w:val="0"/>
          <w:szCs w:val="22"/>
        </w:rPr>
      </w:pPr>
    </w:p>
    <w:p w:rsidR="00E874E5" w:rsidRPr="00036A98" w:rsidP="007B2924">
      <w:pPr>
        <w:tabs>
          <w:tab w:val="right" w:leader="dot" w:pos="9790"/>
          <w:tab w:val="left" w:pos="14740"/>
        </w:tabs>
        <w:spacing w:before="120" w:after="120"/>
        <w:rPr>
          <w:rFonts w:eastAsia="Calibri"/>
          <w:b/>
          <w:noProof w:val="0"/>
          <w:szCs w:val="22"/>
        </w:rPr>
      </w:pPr>
    </w:p>
    <w:p w:rsidR="00E874E5" w:rsidRPr="00036A98" w:rsidP="007B2924">
      <w:pPr>
        <w:tabs>
          <w:tab w:val="right" w:leader="dot" w:pos="9790"/>
          <w:tab w:val="left" w:pos="14740"/>
        </w:tabs>
        <w:spacing w:before="120" w:after="120"/>
        <w:rPr>
          <w:rFonts w:eastAsia="Calibri"/>
          <w:b/>
          <w:noProof w:val="0"/>
          <w:szCs w:val="22"/>
        </w:rPr>
      </w:pPr>
    </w:p>
    <w:p w:rsidR="00E874E5" w:rsidRPr="00036A98" w:rsidP="007B2924">
      <w:pPr>
        <w:tabs>
          <w:tab w:val="right" w:leader="dot" w:pos="9790"/>
          <w:tab w:val="left" w:pos="14740"/>
        </w:tabs>
        <w:spacing w:before="120" w:after="120"/>
        <w:rPr>
          <w:rFonts w:eastAsia="Calibri"/>
          <w:b/>
          <w:noProof w:val="0"/>
          <w:szCs w:val="22"/>
        </w:rPr>
      </w:pPr>
    </w:p>
    <w:p w:rsidR="00E874E5" w:rsidRPr="00036A98" w:rsidP="007B2924">
      <w:pPr>
        <w:tabs>
          <w:tab w:val="right" w:leader="dot" w:pos="9790"/>
          <w:tab w:val="left" w:pos="14740"/>
        </w:tabs>
        <w:spacing w:before="120" w:after="120"/>
        <w:rPr>
          <w:rFonts w:eastAsia="Calibri"/>
          <w:b/>
          <w:noProof w:val="0"/>
          <w:szCs w:val="22"/>
        </w:rPr>
      </w:pPr>
    </w:p>
    <w:p w:rsidR="00E874E5" w:rsidRPr="00036A98" w:rsidP="007B2924">
      <w:pPr>
        <w:tabs>
          <w:tab w:val="right" w:leader="dot" w:pos="9790"/>
          <w:tab w:val="left" w:pos="14740"/>
        </w:tabs>
        <w:spacing w:before="120" w:after="120"/>
        <w:rPr>
          <w:rFonts w:eastAsia="Calibri"/>
          <w:b/>
          <w:noProof w:val="0"/>
          <w:szCs w:val="22"/>
        </w:rPr>
      </w:pPr>
    </w:p>
    <w:p w:rsidR="00E874E5" w:rsidRPr="00036A98" w:rsidP="007B2924">
      <w:pPr>
        <w:tabs>
          <w:tab w:val="right" w:leader="dot" w:pos="9790"/>
          <w:tab w:val="left" w:pos="14740"/>
        </w:tabs>
        <w:spacing w:before="120" w:after="120"/>
        <w:rPr>
          <w:rFonts w:eastAsia="Calibri"/>
          <w:b/>
          <w:noProof w:val="0"/>
          <w:szCs w:val="22"/>
        </w:rPr>
      </w:pPr>
    </w:p>
    <w:p w:rsidR="00E874E5" w:rsidRPr="00036A98" w:rsidP="007B2924">
      <w:pPr>
        <w:tabs>
          <w:tab w:val="right" w:leader="dot" w:pos="9790"/>
          <w:tab w:val="left" w:pos="14740"/>
        </w:tabs>
        <w:spacing w:before="120" w:after="120"/>
        <w:rPr>
          <w:rFonts w:eastAsia="Calibri"/>
          <w:b/>
          <w:noProof w:val="0"/>
          <w:szCs w:val="22"/>
        </w:rPr>
      </w:pPr>
    </w:p>
    <w:p w:rsidR="00E874E5" w:rsidRPr="00036A98" w:rsidP="007B2924">
      <w:pPr>
        <w:tabs>
          <w:tab w:val="right" w:leader="dot" w:pos="9790"/>
          <w:tab w:val="left" w:pos="14740"/>
        </w:tabs>
        <w:spacing w:before="120" w:after="120"/>
        <w:rPr>
          <w:rFonts w:eastAsia="Calibri"/>
          <w:b/>
          <w:noProof w:val="0"/>
          <w:szCs w:val="22"/>
        </w:rPr>
      </w:pPr>
    </w:p>
    <w:p w:rsidR="00E874E5" w:rsidRPr="00036A98" w:rsidP="007B2924">
      <w:pPr>
        <w:tabs>
          <w:tab w:val="right" w:leader="dot" w:pos="9790"/>
          <w:tab w:val="left" w:pos="14740"/>
        </w:tabs>
        <w:spacing w:before="120" w:after="120"/>
        <w:rPr>
          <w:rFonts w:eastAsia="Calibri"/>
          <w:b/>
          <w:noProof w:val="0"/>
          <w:szCs w:val="22"/>
        </w:rPr>
      </w:pPr>
    </w:p>
    <w:p w:rsidR="00E874E5" w:rsidRPr="00036A98" w:rsidP="007B2924">
      <w:pPr>
        <w:tabs>
          <w:tab w:val="right" w:leader="dot" w:pos="9790"/>
          <w:tab w:val="left" w:pos="14740"/>
        </w:tabs>
        <w:spacing w:before="120" w:after="120"/>
        <w:rPr>
          <w:rFonts w:eastAsia="Calibri"/>
          <w:b/>
          <w:noProof w:val="0"/>
          <w:szCs w:val="22"/>
        </w:rPr>
      </w:pPr>
    </w:p>
    <w:p w:rsidR="00E874E5" w:rsidRPr="00036A98" w:rsidP="007B2924">
      <w:pPr>
        <w:tabs>
          <w:tab w:val="right" w:leader="dot" w:pos="9790"/>
          <w:tab w:val="left" w:pos="14740"/>
        </w:tabs>
        <w:spacing w:before="120" w:after="120"/>
        <w:rPr>
          <w:rFonts w:eastAsia="Calibri"/>
          <w:b/>
          <w:noProof w:val="0"/>
          <w:szCs w:val="22"/>
        </w:rPr>
      </w:pPr>
    </w:p>
    <w:p w:rsidR="0034281C" w:rsidRPr="00036A98" w:rsidP="007B2924">
      <w:pPr>
        <w:tabs>
          <w:tab w:val="right" w:leader="dot" w:pos="9790"/>
          <w:tab w:val="left" w:pos="14740"/>
        </w:tabs>
        <w:spacing w:before="120" w:after="120"/>
        <w:rPr>
          <w:rFonts w:eastAsia="Calibri"/>
          <w:b/>
          <w:noProof w:val="0"/>
          <w:szCs w:val="22"/>
        </w:rPr>
      </w:pPr>
    </w:p>
    <w:p w:rsidR="0034281C" w:rsidRPr="00036A98" w:rsidP="007B2924">
      <w:pPr>
        <w:tabs>
          <w:tab w:val="right" w:leader="dot" w:pos="9790"/>
          <w:tab w:val="left" w:pos="14740"/>
        </w:tabs>
        <w:spacing w:before="120" w:after="120"/>
        <w:rPr>
          <w:rFonts w:eastAsia="Calibri"/>
          <w:b/>
          <w:noProof w:val="0"/>
          <w:szCs w:val="22"/>
        </w:rPr>
      </w:pPr>
      <w:r w:rsidRPr="00036A98">
        <w:rPr>
          <w:rFonts w:eastAsia="Calibri"/>
          <w:b/>
          <w:szCs w:val="22"/>
          <w:lang w:val="fr-FR" w:eastAsia="fr-FR" w:bidi="ar-SA"/>
        </w:rPr>
        <w:drawing>
          <wp:anchor distT="0" distB="0" distL="114300" distR="114300" simplePos="0" relativeHeight="251666432" behindDoc="1" locked="0" layoutInCell="1" allowOverlap="1">
            <wp:simplePos x="0" y="0"/>
            <wp:positionH relativeFrom="column">
              <wp:posOffset>3424555</wp:posOffset>
            </wp:positionH>
            <wp:positionV relativeFrom="paragraph">
              <wp:posOffset>116840</wp:posOffset>
            </wp:positionV>
            <wp:extent cx="2694940" cy="4142105"/>
            <wp:effectExtent l="19050" t="19050" r="10160" b="10795"/>
            <wp:wrapThrough wrapText="bothSides">
              <wp:wrapPolygon>
                <wp:start x="-153" y="-99"/>
                <wp:lineTo x="-153" y="21557"/>
                <wp:lineTo x="21529" y="21557"/>
                <wp:lineTo x="21529" y="-99"/>
                <wp:lineTo x="-153" y="-99"/>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973526" name="3.4.png"/>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a:xfrm>
                      <a:off x="0" y="0"/>
                      <a:ext cx="2694940" cy="414210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036A98">
        <w:rPr>
          <w:rFonts w:eastAsia="Calibri"/>
          <w:b/>
          <w:szCs w:val="22"/>
          <w:lang w:val="fr-FR" w:eastAsia="fr-FR" w:bidi="ar-SA"/>
        </w:rPr>
        <w:drawing>
          <wp:anchor distT="0" distB="0" distL="114300" distR="114300" simplePos="0" relativeHeight="251667456" behindDoc="1" locked="0" layoutInCell="1" allowOverlap="1">
            <wp:simplePos x="0" y="0"/>
            <wp:positionH relativeFrom="column">
              <wp:posOffset>-1905</wp:posOffset>
            </wp:positionH>
            <wp:positionV relativeFrom="paragraph">
              <wp:posOffset>116840</wp:posOffset>
            </wp:positionV>
            <wp:extent cx="2981325" cy="4131310"/>
            <wp:effectExtent l="19050" t="19050" r="28575" b="215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26788" name="3.3.png"/>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a:xfrm>
                      <a:off x="0" y="0"/>
                      <a:ext cx="2981325" cy="413131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34281C" w:rsidRPr="00036A98" w:rsidP="007B2924">
      <w:pPr>
        <w:tabs>
          <w:tab w:val="right" w:leader="dot" w:pos="9790"/>
          <w:tab w:val="left" w:pos="14740"/>
        </w:tabs>
        <w:spacing w:before="120" w:after="120"/>
        <w:rPr>
          <w:rFonts w:eastAsia="Calibri"/>
          <w:b/>
          <w:noProof w:val="0"/>
          <w:szCs w:val="22"/>
        </w:rPr>
      </w:pPr>
    </w:p>
    <w:p w:rsidR="0034281C" w:rsidRPr="00036A98" w:rsidP="007B2924">
      <w:pPr>
        <w:tabs>
          <w:tab w:val="right" w:leader="dot" w:pos="9790"/>
          <w:tab w:val="left" w:pos="14740"/>
        </w:tabs>
        <w:spacing w:before="120" w:after="120"/>
        <w:rPr>
          <w:rFonts w:eastAsia="Calibri"/>
          <w:b/>
          <w:noProof w:val="0"/>
          <w:szCs w:val="22"/>
        </w:rPr>
      </w:pPr>
    </w:p>
    <w:p w:rsidR="0034281C" w:rsidRPr="00036A98" w:rsidP="007B2924">
      <w:pPr>
        <w:tabs>
          <w:tab w:val="right" w:leader="dot" w:pos="9790"/>
          <w:tab w:val="left" w:pos="14740"/>
        </w:tabs>
        <w:spacing w:before="120" w:after="120"/>
        <w:rPr>
          <w:rFonts w:eastAsia="Calibri"/>
          <w:b/>
          <w:noProof w:val="0"/>
          <w:szCs w:val="22"/>
        </w:rPr>
      </w:pPr>
    </w:p>
    <w:p w:rsidR="0034281C" w:rsidRPr="00036A98" w:rsidP="007B2924">
      <w:pPr>
        <w:tabs>
          <w:tab w:val="right" w:leader="dot" w:pos="9790"/>
          <w:tab w:val="left" w:pos="14740"/>
        </w:tabs>
        <w:spacing w:before="120" w:after="120"/>
        <w:rPr>
          <w:rFonts w:eastAsia="Calibri"/>
          <w:b/>
          <w:noProof w:val="0"/>
          <w:szCs w:val="22"/>
        </w:rPr>
      </w:pPr>
    </w:p>
    <w:p w:rsidR="0034281C" w:rsidRPr="00036A98" w:rsidP="007B2924">
      <w:pPr>
        <w:tabs>
          <w:tab w:val="right" w:leader="dot" w:pos="9790"/>
          <w:tab w:val="left" w:pos="14740"/>
        </w:tabs>
        <w:spacing w:before="120" w:after="120"/>
        <w:rPr>
          <w:rFonts w:eastAsia="Calibri"/>
          <w:b/>
          <w:noProof w:val="0"/>
          <w:szCs w:val="22"/>
        </w:rPr>
      </w:pPr>
    </w:p>
    <w:p w:rsidR="00C90BDC" w:rsidRPr="00036A98" w:rsidP="007B2924">
      <w:pPr>
        <w:tabs>
          <w:tab w:val="right" w:leader="dot" w:pos="9790"/>
          <w:tab w:val="left" w:pos="14740"/>
        </w:tabs>
        <w:spacing w:before="120" w:after="120"/>
        <w:jc w:val="center"/>
        <w:rPr>
          <w:rFonts w:eastAsia="Calibri"/>
          <w:b/>
          <w:noProof w:val="0"/>
          <w:szCs w:val="22"/>
        </w:rPr>
      </w:pPr>
    </w:p>
    <w:p w:rsidR="0034281C" w:rsidRPr="00036A98" w:rsidP="007B2924">
      <w:pPr>
        <w:tabs>
          <w:tab w:val="right" w:leader="dot" w:pos="9790"/>
          <w:tab w:val="left" w:pos="14740"/>
        </w:tabs>
        <w:spacing w:before="120" w:after="120"/>
        <w:jc w:val="center"/>
        <w:rPr>
          <w:rFonts w:eastAsia="Calibri"/>
          <w:b/>
          <w:noProof w:val="0"/>
          <w:szCs w:val="22"/>
        </w:rPr>
      </w:pPr>
    </w:p>
    <w:p w:rsidR="0034281C" w:rsidRPr="00036A98" w:rsidP="007B2924">
      <w:pPr>
        <w:tabs>
          <w:tab w:val="right" w:leader="dot" w:pos="9790"/>
          <w:tab w:val="left" w:pos="14740"/>
        </w:tabs>
        <w:spacing w:before="120" w:after="120"/>
        <w:jc w:val="center"/>
        <w:rPr>
          <w:rFonts w:eastAsia="Calibri"/>
          <w:b/>
          <w:noProof w:val="0"/>
          <w:szCs w:val="22"/>
        </w:rPr>
      </w:pPr>
    </w:p>
    <w:p w:rsidR="0034281C" w:rsidRPr="00036A98" w:rsidP="007B2924">
      <w:pPr>
        <w:tabs>
          <w:tab w:val="right" w:leader="dot" w:pos="9790"/>
          <w:tab w:val="left" w:pos="14740"/>
        </w:tabs>
        <w:spacing w:before="120" w:after="120"/>
        <w:jc w:val="center"/>
        <w:rPr>
          <w:rFonts w:eastAsia="Calibri"/>
          <w:b/>
          <w:noProof w:val="0"/>
          <w:szCs w:val="22"/>
        </w:rPr>
      </w:pPr>
    </w:p>
    <w:p w:rsidR="0034281C" w:rsidRPr="00036A98" w:rsidP="007B2924">
      <w:pPr>
        <w:tabs>
          <w:tab w:val="right" w:leader="dot" w:pos="9790"/>
          <w:tab w:val="left" w:pos="14740"/>
        </w:tabs>
        <w:spacing w:before="120" w:after="120"/>
        <w:jc w:val="center"/>
        <w:rPr>
          <w:rFonts w:eastAsia="Calibri"/>
          <w:b/>
          <w:noProof w:val="0"/>
          <w:szCs w:val="22"/>
        </w:rPr>
      </w:pPr>
    </w:p>
    <w:p w:rsidR="0034281C" w:rsidRPr="00036A98" w:rsidP="007B2924">
      <w:pPr>
        <w:tabs>
          <w:tab w:val="right" w:leader="dot" w:pos="9790"/>
          <w:tab w:val="left" w:pos="14740"/>
        </w:tabs>
        <w:spacing w:before="120" w:after="120"/>
        <w:jc w:val="center"/>
        <w:rPr>
          <w:rFonts w:eastAsia="Calibri"/>
          <w:b/>
          <w:noProof w:val="0"/>
          <w:szCs w:val="22"/>
        </w:rPr>
      </w:pPr>
    </w:p>
    <w:p w:rsidR="0034281C" w:rsidRPr="00036A98" w:rsidP="007B2924">
      <w:pPr>
        <w:tabs>
          <w:tab w:val="right" w:leader="dot" w:pos="9790"/>
          <w:tab w:val="left" w:pos="14740"/>
        </w:tabs>
        <w:spacing w:before="120" w:after="120"/>
        <w:jc w:val="center"/>
        <w:rPr>
          <w:rFonts w:eastAsia="Calibri"/>
          <w:b/>
          <w:noProof w:val="0"/>
          <w:szCs w:val="22"/>
        </w:rPr>
      </w:pPr>
    </w:p>
    <w:p w:rsidR="0034281C" w:rsidRPr="00036A98" w:rsidP="007B2924">
      <w:pPr>
        <w:tabs>
          <w:tab w:val="right" w:leader="dot" w:pos="9790"/>
          <w:tab w:val="left" w:pos="14740"/>
        </w:tabs>
        <w:spacing w:before="120" w:after="120"/>
        <w:jc w:val="center"/>
        <w:rPr>
          <w:rFonts w:eastAsia="Calibri"/>
          <w:b/>
          <w:noProof w:val="0"/>
          <w:szCs w:val="22"/>
        </w:rPr>
      </w:pPr>
    </w:p>
    <w:p w:rsidR="0034281C" w:rsidRPr="00036A98" w:rsidP="007B2924">
      <w:pPr>
        <w:tabs>
          <w:tab w:val="right" w:leader="dot" w:pos="9790"/>
          <w:tab w:val="left" w:pos="14740"/>
        </w:tabs>
        <w:spacing w:before="120" w:after="120"/>
        <w:jc w:val="center"/>
        <w:rPr>
          <w:rFonts w:eastAsia="Calibri"/>
          <w:b/>
          <w:noProof w:val="0"/>
          <w:szCs w:val="22"/>
        </w:rPr>
      </w:pPr>
      <w:r w:rsidRPr="00036A98">
        <w:rPr>
          <w:b/>
          <w:noProof w:val="0"/>
        </w:rPr>
        <w:t xml:space="preserve">  </w:t>
      </w:r>
    </w:p>
    <w:p w:rsidR="00C90BDC" w:rsidRPr="00036A98" w:rsidP="007B2924">
      <w:pPr>
        <w:tabs>
          <w:tab w:val="right" w:leader="dot" w:pos="9790"/>
          <w:tab w:val="left" w:pos="14740"/>
        </w:tabs>
        <w:spacing w:before="120" w:after="120"/>
        <w:rPr>
          <w:rFonts w:eastAsia="Calibri"/>
          <w:b/>
          <w:noProof w:val="0"/>
          <w:szCs w:val="22"/>
        </w:rPr>
      </w:pPr>
    </w:p>
    <w:p w:rsidR="00E874E5" w:rsidRPr="00036A98" w:rsidP="007B2924">
      <w:pPr>
        <w:tabs>
          <w:tab w:val="right" w:leader="dot" w:pos="9790"/>
          <w:tab w:val="left" w:pos="14740"/>
        </w:tabs>
        <w:spacing w:before="120" w:after="120"/>
        <w:rPr>
          <w:rFonts w:eastAsia="Calibri"/>
          <w:b/>
          <w:noProof w:val="0"/>
          <w:szCs w:val="22"/>
        </w:rPr>
      </w:pPr>
    </w:p>
    <w:p w:rsidR="008E283E" w:rsidRPr="00036A98" w:rsidP="007B2924">
      <w:pPr>
        <w:tabs>
          <w:tab w:val="right" w:leader="dot" w:pos="9790"/>
          <w:tab w:val="left" w:pos="14740"/>
        </w:tabs>
        <w:spacing w:before="120" w:after="120"/>
        <w:rPr>
          <w:rFonts w:eastAsia="Calibri"/>
          <w:b/>
          <w:noProof w:val="0"/>
          <w:szCs w:val="22"/>
        </w:rPr>
      </w:pPr>
    </w:p>
    <w:p w:rsidR="008E283E" w:rsidRPr="00036A98" w:rsidP="007B2924">
      <w:pPr>
        <w:tabs>
          <w:tab w:val="right" w:leader="dot" w:pos="9790"/>
          <w:tab w:val="left" w:pos="14740"/>
        </w:tabs>
        <w:spacing w:before="120" w:after="120"/>
        <w:rPr>
          <w:rFonts w:eastAsia="Calibri"/>
          <w:b/>
          <w:noProof w:val="0"/>
          <w:szCs w:val="22"/>
        </w:rPr>
      </w:pPr>
    </w:p>
    <w:p w:rsidR="0034281C" w:rsidRPr="00036A98" w:rsidP="00BC4485">
      <w:pPr>
        <w:keepNext/>
        <w:shd w:val="clear" w:color="auto" w:fill="4FCDFF" w:themeFill="accent2" w:themeFillTint="99"/>
        <w:tabs>
          <w:tab w:val="right" w:leader="dot" w:pos="9790"/>
          <w:tab w:val="left" w:pos="14740"/>
        </w:tabs>
        <w:jc w:val="center"/>
        <w:rPr>
          <w:rFonts w:eastAsia="Calibri"/>
          <w:b/>
          <w:noProof w:val="0"/>
          <w:szCs w:val="23"/>
          <w:shd w:val="clear" w:color="auto" w:fill="4FCDFF" w:themeFill="accent2" w:themeFillTint="99"/>
        </w:rPr>
      </w:pPr>
      <w:r w:rsidRPr="00036A98">
        <w:rPr>
          <w:b/>
          <w:noProof w:val="0"/>
          <w:shd w:val="clear" w:color="auto" w:fill="4FCDFF" w:themeFill="accent2" w:themeFillTint="99"/>
        </w:rPr>
        <w:t xml:space="preserve">Fatalities and weighted serious </w:t>
      </w:r>
    </w:p>
    <w:p w:rsidR="00363B2F" w:rsidRPr="00036A98" w:rsidP="007B2924">
      <w:pPr>
        <w:shd w:val="clear" w:color="auto" w:fill="4FCDFF" w:themeFill="accent2" w:themeFillTint="99"/>
        <w:tabs>
          <w:tab w:val="right" w:leader="dot" w:pos="9790"/>
          <w:tab w:val="left" w:pos="14740"/>
        </w:tabs>
        <w:jc w:val="center"/>
        <w:rPr>
          <w:rFonts w:eastAsia="Calibri"/>
          <w:b/>
          <w:noProof w:val="0"/>
          <w:szCs w:val="23"/>
        </w:rPr>
      </w:pPr>
      <w:r w:rsidRPr="00036A98">
        <w:rPr>
          <w:b/>
          <w:noProof w:val="0"/>
          <w:shd w:val="clear" w:color="auto" w:fill="4FCDFF" w:themeFill="accent2" w:themeFillTint="99"/>
        </w:rPr>
        <w:t>injuries</w:t>
      </w:r>
      <w:r w:rsidRPr="00036A98">
        <w:rPr>
          <w:b/>
          <w:noProof w:val="0"/>
          <w:shd w:val="clear" w:color="auto" w:fill="4FCDFF" w:themeFill="accent2" w:themeFillTint="99"/>
        </w:rPr>
        <w:t xml:space="preserve"> (FWSIs) of persons of the following RCs: ‘Level crossing users’ (CST 3.2), ‘Unauthorised persons,’ ‘Others’ and ‘All,’ in the 2013–2017 period:</w:t>
      </w:r>
    </w:p>
    <w:p w:rsidR="00AF082A" w:rsidRPr="00036A98" w:rsidP="007B2924">
      <w:pPr>
        <w:tabs>
          <w:tab w:val="right" w:leader="dot" w:pos="9790"/>
          <w:tab w:val="left" w:pos="14740"/>
        </w:tabs>
        <w:jc w:val="both"/>
        <w:rPr>
          <w:rFonts w:eastAsia="Calibri"/>
          <w:b/>
          <w:noProof w:val="0"/>
          <w:szCs w:val="22"/>
        </w:rPr>
      </w:pPr>
    </w:p>
    <w:p w:rsidR="00AF082A" w:rsidRPr="00036A98" w:rsidP="007B2924">
      <w:pPr>
        <w:tabs>
          <w:tab w:val="right" w:leader="dot" w:pos="9790"/>
          <w:tab w:val="left" w:pos="14740"/>
        </w:tabs>
        <w:jc w:val="both"/>
        <w:rPr>
          <w:rFonts w:eastAsia="Calibri"/>
          <w:b/>
          <w:noProof w:val="0"/>
          <w:szCs w:val="22"/>
        </w:rPr>
      </w:pPr>
      <w:r w:rsidRPr="00036A98">
        <w:rPr>
          <w:rFonts w:eastAsia="Calibri"/>
          <w:b/>
          <w:szCs w:val="22"/>
          <w:lang w:val="fr-FR" w:eastAsia="fr-FR" w:bidi="ar-SA"/>
        </w:rPr>
        <w:drawing>
          <wp:anchor distT="0" distB="0" distL="114300" distR="114300" simplePos="0" relativeHeight="251673600" behindDoc="1" locked="0" layoutInCell="1" allowOverlap="1">
            <wp:simplePos x="0" y="0"/>
            <wp:positionH relativeFrom="column">
              <wp:posOffset>3122295</wp:posOffset>
            </wp:positionH>
            <wp:positionV relativeFrom="paragraph">
              <wp:posOffset>-1905</wp:posOffset>
            </wp:positionV>
            <wp:extent cx="2882900" cy="3609340"/>
            <wp:effectExtent l="19050" t="19050" r="12700" b="101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456044" name="3.6.png"/>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a:xfrm>
                      <a:off x="0" y="0"/>
                      <a:ext cx="2882900" cy="360934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036A98">
        <w:rPr>
          <w:rFonts w:eastAsia="Calibri"/>
          <w:b/>
          <w:szCs w:val="22"/>
          <w:lang w:val="fr-FR" w:eastAsia="fr-FR" w:bidi="ar-SA"/>
        </w:rPr>
        <w:drawing>
          <wp:anchor distT="0" distB="0" distL="114300" distR="114300" simplePos="0" relativeHeight="251672576" behindDoc="1" locked="0" layoutInCell="1" allowOverlap="1">
            <wp:simplePos x="0" y="0"/>
            <wp:positionH relativeFrom="column">
              <wp:posOffset>-1933</wp:posOffset>
            </wp:positionH>
            <wp:positionV relativeFrom="paragraph">
              <wp:posOffset>-1822</wp:posOffset>
            </wp:positionV>
            <wp:extent cx="2886323" cy="3609892"/>
            <wp:effectExtent l="19050" t="19050" r="9525" b="1016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3242" name="3.5.png"/>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2886323" cy="3609892"/>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AF082A" w:rsidRPr="00036A98" w:rsidP="007B2924">
      <w:pPr>
        <w:tabs>
          <w:tab w:val="right" w:leader="dot" w:pos="9790"/>
          <w:tab w:val="left" w:pos="14740"/>
        </w:tabs>
        <w:jc w:val="both"/>
        <w:rPr>
          <w:rFonts w:eastAsia="Calibri"/>
          <w:b/>
          <w:noProof w:val="0"/>
          <w:szCs w:val="22"/>
        </w:rPr>
      </w:pPr>
    </w:p>
    <w:p w:rsidR="006A3A79" w:rsidRPr="00036A98" w:rsidP="007B2924">
      <w:pPr>
        <w:tabs>
          <w:tab w:val="right" w:leader="dot" w:pos="9790"/>
          <w:tab w:val="left" w:pos="14740"/>
        </w:tabs>
        <w:rPr>
          <w:rFonts w:eastAsia="Calibri"/>
          <w:b/>
          <w:noProof w:val="0"/>
          <w:szCs w:val="22"/>
        </w:rPr>
      </w:pPr>
    </w:p>
    <w:p w:rsidR="002611B8" w:rsidRPr="00036A98" w:rsidP="007B2924">
      <w:pPr>
        <w:tabs>
          <w:tab w:val="right" w:leader="dot" w:pos="9790"/>
          <w:tab w:val="left" w:pos="14740"/>
        </w:tabs>
        <w:jc w:val="both"/>
        <w:rPr>
          <w:rFonts w:eastAsia="Calibri"/>
          <w:b/>
          <w:noProof w:val="0"/>
          <w:szCs w:val="22"/>
        </w:rPr>
      </w:pPr>
    </w:p>
    <w:p w:rsidR="002611B8" w:rsidRPr="00036A98" w:rsidP="007B2924">
      <w:pPr>
        <w:tabs>
          <w:tab w:val="right" w:leader="dot" w:pos="9790"/>
          <w:tab w:val="left" w:pos="14740"/>
        </w:tabs>
        <w:jc w:val="both"/>
        <w:rPr>
          <w:rFonts w:eastAsia="Calibri"/>
          <w:b/>
          <w:noProof w:val="0"/>
          <w:szCs w:val="22"/>
        </w:rPr>
      </w:pPr>
    </w:p>
    <w:p w:rsidR="00B143F6" w:rsidRPr="00036A98" w:rsidP="007B2924">
      <w:pPr>
        <w:tabs>
          <w:tab w:val="right" w:leader="dot" w:pos="9790"/>
          <w:tab w:val="left" w:pos="14740"/>
        </w:tabs>
        <w:jc w:val="both"/>
        <w:rPr>
          <w:rFonts w:eastAsia="Calibri"/>
          <w:b/>
          <w:noProof w:val="0"/>
          <w:szCs w:val="22"/>
        </w:rPr>
      </w:pPr>
    </w:p>
    <w:p w:rsidR="00B143F6" w:rsidRPr="00036A98" w:rsidP="007B2924">
      <w:pPr>
        <w:tabs>
          <w:tab w:val="right" w:leader="dot" w:pos="9790"/>
          <w:tab w:val="left" w:pos="14740"/>
        </w:tabs>
        <w:jc w:val="both"/>
        <w:rPr>
          <w:rFonts w:eastAsia="Calibri"/>
          <w:b/>
          <w:noProof w:val="0"/>
          <w:szCs w:val="22"/>
        </w:rPr>
      </w:pPr>
    </w:p>
    <w:p w:rsidR="00B143F6" w:rsidRPr="00036A98" w:rsidP="007B2924">
      <w:pPr>
        <w:tabs>
          <w:tab w:val="right" w:leader="dot" w:pos="9790"/>
          <w:tab w:val="left" w:pos="14740"/>
        </w:tabs>
        <w:jc w:val="both"/>
        <w:rPr>
          <w:rFonts w:eastAsia="Calibri"/>
          <w:b/>
          <w:noProof w:val="0"/>
          <w:szCs w:val="22"/>
        </w:rPr>
      </w:pPr>
    </w:p>
    <w:p w:rsidR="00B143F6" w:rsidRPr="00036A98" w:rsidP="007B2924">
      <w:pPr>
        <w:tabs>
          <w:tab w:val="right" w:leader="dot" w:pos="9790"/>
          <w:tab w:val="left" w:pos="14740"/>
        </w:tabs>
        <w:jc w:val="both"/>
        <w:rPr>
          <w:rFonts w:eastAsia="Calibri"/>
          <w:b/>
          <w:noProof w:val="0"/>
          <w:szCs w:val="22"/>
        </w:rPr>
      </w:pPr>
    </w:p>
    <w:p w:rsidR="00B143F6" w:rsidRPr="00036A98" w:rsidP="007B2924">
      <w:pPr>
        <w:tabs>
          <w:tab w:val="right" w:leader="dot" w:pos="9790"/>
          <w:tab w:val="left" w:pos="14740"/>
        </w:tabs>
        <w:jc w:val="both"/>
        <w:rPr>
          <w:rFonts w:eastAsia="Calibri"/>
          <w:b/>
          <w:noProof w:val="0"/>
          <w:szCs w:val="22"/>
        </w:rPr>
      </w:pPr>
    </w:p>
    <w:p w:rsidR="00023C20" w:rsidRPr="00036A98" w:rsidP="007B2924">
      <w:pPr>
        <w:tabs>
          <w:tab w:val="right" w:leader="dot" w:pos="9790"/>
          <w:tab w:val="left" w:pos="14740"/>
        </w:tabs>
        <w:jc w:val="both"/>
        <w:rPr>
          <w:rFonts w:eastAsia="Calibri"/>
          <w:b/>
          <w:noProof w:val="0"/>
          <w:szCs w:val="22"/>
        </w:rPr>
      </w:pPr>
    </w:p>
    <w:p w:rsidR="00023C20" w:rsidRPr="00036A98" w:rsidP="007B2924">
      <w:pPr>
        <w:tabs>
          <w:tab w:val="right" w:leader="dot" w:pos="9790"/>
          <w:tab w:val="left" w:pos="14740"/>
        </w:tabs>
        <w:jc w:val="both"/>
        <w:rPr>
          <w:rFonts w:eastAsia="Calibri"/>
          <w:b/>
          <w:noProof w:val="0"/>
          <w:szCs w:val="22"/>
        </w:rPr>
      </w:pPr>
    </w:p>
    <w:p w:rsidR="00023C20" w:rsidRPr="00036A98" w:rsidP="007B2924">
      <w:pPr>
        <w:tabs>
          <w:tab w:val="right" w:leader="dot" w:pos="9790"/>
          <w:tab w:val="left" w:pos="14740"/>
        </w:tabs>
        <w:jc w:val="both"/>
        <w:rPr>
          <w:rFonts w:eastAsia="Calibri"/>
          <w:b/>
          <w:noProof w:val="0"/>
          <w:szCs w:val="22"/>
        </w:rPr>
      </w:pPr>
    </w:p>
    <w:p w:rsidR="00023C20" w:rsidRPr="00036A98" w:rsidP="007B2924">
      <w:pPr>
        <w:tabs>
          <w:tab w:val="right" w:leader="dot" w:pos="9790"/>
          <w:tab w:val="left" w:pos="14740"/>
        </w:tabs>
        <w:jc w:val="both"/>
        <w:rPr>
          <w:rFonts w:eastAsia="Calibri"/>
          <w:b/>
          <w:noProof w:val="0"/>
          <w:szCs w:val="22"/>
        </w:rPr>
      </w:pPr>
    </w:p>
    <w:p w:rsidR="00023C20" w:rsidRPr="00036A98" w:rsidP="007B2924">
      <w:pPr>
        <w:tabs>
          <w:tab w:val="right" w:leader="dot" w:pos="9790"/>
          <w:tab w:val="left" w:pos="14740"/>
        </w:tabs>
        <w:jc w:val="both"/>
        <w:rPr>
          <w:rFonts w:eastAsia="Calibri"/>
          <w:b/>
          <w:noProof w:val="0"/>
          <w:szCs w:val="22"/>
        </w:rPr>
      </w:pPr>
    </w:p>
    <w:p w:rsidR="00023C20" w:rsidRPr="00036A98" w:rsidP="007B2924">
      <w:pPr>
        <w:tabs>
          <w:tab w:val="right" w:leader="dot" w:pos="9790"/>
          <w:tab w:val="left" w:pos="14740"/>
        </w:tabs>
        <w:jc w:val="both"/>
        <w:rPr>
          <w:rFonts w:eastAsia="Calibri"/>
          <w:b/>
          <w:noProof w:val="0"/>
          <w:szCs w:val="22"/>
        </w:rPr>
      </w:pPr>
    </w:p>
    <w:p w:rsidR="00023C20" w:rsidRPr="00036A98" w:rsidP="007B2924">
      <w:pPr>
        <w:tabs>
          <w:tab w:val="right" w:leader="dot" w:pos="9790"/>
          <w:tab w:val="left" w:pos="14740"/>
        </w:tabs>
        <w:jc w:val="both"/>
        <w:rPr>
          <w:rFonts w:eastAsia="Calibri"/>
          <w:b/>
          <w:noProof w:val="0"/>
          <w:szCs w:val="22"/>
        </w:rPr>
      </w:pPr>
    </w:p>
    <w:p w:rsidR="00023C20" w:rsidRPr="00036A98" w:rsidP="007B2924">
      <w:pPr>
        <w:tabs>
          <w:tab w:val="right" w:leader="dot" w:pos="9790"/>
          <w:tab w:val="left" w:pos="14740"/>
        </w:tabs>
        <w:jc w:val="both"/>
        <w:rPr>
          <w:rFonts w:eastAsia="Calibri"/>
          <w:b/>
          <w:noProof w:val="0"/>
          <w:szCs w:val="22"/>
        </w:rPr>
      </w:pPr>
    </w:p>
    <w:p w:rsidR="00023C20" w:rsidRPr="00036A98" w:rsidP="007B2924">
      <w:pPr>
        <w:tabs>
          <w:tab w:val="right" w:leader="dot" w:pos="9790"/>
          <w:tab w:val="left" w:pos="14740"/>
        </w:tabs>
        <w:jc w:val="both"/>
        <w:rPr>
          <w:rFonts w:eastAsia="Calibri"/>
          <w:b/>
          <w:noProof w:val="0"/>
          <w:szCs w:val="22"/>
        </w:rPr>
      </w:pPr>
    </w:p>
    <w:p w:rsidR="00023C20" w:rsidRPr="00036A98" w:rsidP="007B2924">
      <w:pPr>
        <w:tabs>
          <w:tab w:val="right" w:leader="dot" w:pos="9790"/>
          <w:tab w:val="left" w:pos="14740"/>
        </w:tabs>
        <w:jc w:val="both"/>
        <w:rPr>
          <w:rFonts w:eastAsia="Calibri"/>
          <w:b/>
          <w:noProof w:val="0"/>
          <w:szCs w:val="22"/>
        </w:rPr>
      </w:pPr>
    </w:p>
    <w:p w:rsidR="00B143F6" w:rsidRPr="00036A98" w:rsidP="007B2924">
      <w:pPr>
        <w:tabs>
          <w:tab w:val="right" w:leader="dot" w:pos="9790"/>
          <w:tab w:val="left" w:pos="14740"/>
        </w:tabs>
        <w:jc w:val="both"/>
        <w:rPr>
          <w:rFonts w:eastAsia="Calibri"/>
          <w:b/>
          <w:noProof w:val="0"/>
          <w:szCs w:val="22"/>
        </w:rPr>
      </w:pPr>
    </w:p>
    <w:p w:rsidR="00BD6D1D" w:rsidRPr="00036A98" w:rsidP="007B2924">
      <w:pPr>
        <w:tabs>
          <w:tab w:val="right" w:leader="dot" w:pos="9790"/>
          <w:tab w:val="left" w:pos="14740"/>
        </w:tabs>
        <w:jc w:val="both"/>
        <w:rPr>
          <w:rFonts w:eastAsia="Calibri"/>
          <w:b/>
          <w:noProof w:val="0"/>
          <w:szCs w:val="22"/>
        </w:rPr>
      </w:pPr>
    </w:p>
    <w:p w:rsidR="00BD6D1D" w:rsidRPr="00036A98" w:rsidP="007B2924">
      <w:pPr>
        <w:tabs>
          <w:tab w:val="right" w:leader="dot" w:pos="9790"/>
          <w:tab w:val="left" w:pos="14740"/>
        </w:tabs>
        <w:jc w:val="both"/>
        <w:rPr>
          <w:rFonts w:eastAsia="Calibri"/>
          <w:b/>
          <w:noProof w:val="0"/>
          <w:szCs w:val="22"/>
        </w:rPr>
      </w:pPr>
      <w:r w:rsidRPr="00036A98">
        <w:rPr>
          <w:rFonts w:eastAsia="Calibri"/>
          <w:lang w:val="fr-FR" w:eastAsia="fr-FR" w:bidi="ar-SA"/>
        </w:rPr>
        <w:drawing>
          <wp:anchor distT="0" distB="0" distL="114300" distR="114300" simplePos="0" relativeHeight="251674624" behindDoc="1" locked="0" layoutInCell="1" allowOverlap="1">
            <wp:simplePos x="0" y="0"/>
            <wp:positionH relativeFrom="column">
              <wp:posOffset>3122930</wp:posOffset>
            </wp:positionH>
            <wp:positionV relativeFrom="paragraph">
              <wp:posOffset>78105</wp:posOffset>
            </wp:positionV>
            <wp:extent cx="2877185" cy="3863975"/>
            <wp:effectExtent l="19050" t="19050" r="18415" b="222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869076" name="3.8.png"/>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2877185" cy="38639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Pr="00036A98">
        <w:rPr>
          <w:rFonts w:eastAsia="Calibri"/>
          <w:lang w:val="fr-FR" w:eastAsia="fr-FR" w:bidi="ar-SA"/>
        </w:rPr>
        <w:drawing>
          <wp:anchor distT="0" distB="0" distL="114300" distR="114300" simplePos="0" relativeHeight="251675648" behindDoc="1" locked="0" layoutInCell="1" allowOverlap="1">
            <wp:simplePos x="0" y="0"/>
            <wp:positionH relativeFrom="column">
              <wp:posOffset>-1905</wp:posOffset>
            </wp:positionH>
            <wp:positionV relativeFrom="paragraph">
              <wp:posOffset>81280</wp:posOffset>
            </wp:positionV>
            <wp:extent cx="2893695" cy="3863975"/>
            <wp:effectExtent l="19050" t="19050" r="20955" b="222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88412" name="3.7.png"/>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2893695" cy="3863975"/>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p>
    <w:p w:rsidR="00BD6D1D" w:rsidRPr="00036A98" w:rsidP="007B2924">
      <w:pPr>
        <w:tabs>
          <w:tab w:val="right" w:leader="dot" w:pos="9790"/>
          <w:tab w:val="left" w:pos="14740"/>
        </w:tabs>
        <w:jc w:val="both"/>
        <w:rPr>
          <w:rFonts w:eastAsia="Calibri"/>
          <w:b/>
          <w:noProof w:val="0"/>
          <w:szCs w:val="22"/>
        </w:rPr>
      </w:pPr>
    </w:p>
    <w:p w:rsidR="00B143F6" w:rsidRPr="00036A98" w:rsidP="007B2924">
      <w:pPr>
        <w:tabs>
          <w:tab w:val="right" w:leader="dot" w:pos="9790"/>
          <w:tab w:val="left" w:pos="14740"/>
        </w:tabs>
        <w:jc w:val="both"/>
        <w:rPr>
          <w:rFonts w:eastAsia="Calibri"/>
          <w:b/>
          <w:noProof w:val="0"/>
          <w:szCs w:val="22"/>
        </w:rPr>
      </w:pPr>
    </w:p>
    <w:p w:rsidR="00036021" w:rsidRPr="00036A98" w:rsidP="007B2924">
      <w:pPr>
        <w:rPr>
          <w:rFonts w:eastAsia="Calibri"/>
        </w:rPr>
      </w:pPr>
      <w:bookmarkStart w:id="335" w:name="_Toc462235827"/>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CB584D" w:rsidRPr="00036A98" w:rsidP="007B2924">
      <w:pPr>
        <w:rPr>
          <w:rFonts w:eastAsia="Calibri"/>
        </w:rPr>
      </w:pPr>
    </w:p>
    <w:p w:rsidR="00036021" w:rsidRPr="00036A98" w:rsidP="007B2924">
      <w:pPr>
        <w:rPr>
          <w:rFonts w:eastAsia="Calibri"/>
        </w:rPr>
      </w:pPr>
    </w:p>
    <w:p w:rsidR="00181BE3" w:rsidRPr="00036A98" w:rsidP="007B2924">
      <w:pPr>
        <w:pStyle w:val="Heading2"/>
        <w:numPr>
          <w:ilvl w:val="0"/>
          <w:numId w:val="0"/>
        </w:numPr>
        <w:ind w:left="720"/>
        <w:rPr>
          <w:rFonts w:eastAsia="Calibri"/>
          <w:spacing w:val="0"/>
          <w:szCs w:val="20"/>
        </w:rPr>
      </w:pPr>
      <w:bookmarkStart w:id="336" w:name="_Toc491789308"/>
      <w:bookmarkStart w:id="337" w:name="_Toc491791304"/>
      <w:bookmarkStart w:id="338" w:name="_Toc490231037"/>
      <w:bookmarkStart w:id="339" w:name="_Toc462754810"/>
      <w:bookmarkStart w:id="340" w:name="_Toc490231929"/>
      <w:bookmarkStart w:id="341" w:name="_Toc490232057"/>
      <w:bookmarkStart w:id="342" w:name="_Toc491352185"/>
      <w:bookmarkStart w:id="343" w:name="_Toc491788118"/>
      <w:bookmarkStart w:id="344" w:name="_Toc491789309"/>
      <w:bookmarkStart w:id="345" w:name="_Toc491791305"/>
      <w:bookmarkStart w:id="346" w:name="_Toc525214783"/>
      <w:bookmarkEnd w:id="336"/>
      <w:bookmarkEnd w:id="337"/>
      <w:r w:rsidRPr="00036A98">
        <w:t>Annex C.</w:t>
      </w:r>
      <w:bookmarkEnd w:id="338"/>
      <w:r w:rsidRPr="00036A98">
        <w:t xml:space="preserve"> </w:t>
      </w:r>
      <w:hyperlink w:anchor="_Toc313523813" w:history="1">
        <w:bookmarkStart w:id="347" w:name="_Toc490231038"/>
        <w:r w:rsidRPr="00036A98">
          <w:t>Changes in legislation</w:t>
        </w:r>
        <w:bookmarkEnd w:id="335"/>
        <w:bookmarkEnd w:id="339"/>
        <w:bookmarkEnd w:id="340"/>
        <w:bookmarkEnd w:id="341"/>
        <w:bookmarkEnd w:id="342"/>
        <w:bookmarkEnd w:id="343"/>
        <w:bookmarkEnd w:id="344"/>
        <w:bookmarkEnd w:id="345"/>
        <w:bookmarkEnd w:id="346"/>
        <w:bookmarkEnd w:id="347"/>
      </w:hyperlink>
    </w:p>
    <w:p w:rsidR="00E64455" w:rsidRPr="00036A98" w:rsidP="007B2924">
      <w:pPr>
        <w:tabs>
          <w:tab w:val="right" w:leader="dot" w:pos="9790"/>
          <w:tab w:val="left" w:pos="14740"/>
        </w:tabs>
        <w:jc w:val="both"/>
        <w:rPr>
          <w:rFonts w:eastAsia="Calibri"/>
          <w:sz w:val="28"/>
          <w:szCs w:val="22"/>
        </w:rPr>
      </w:pPr>
      <w:r w:rsidRPr="00036A98">
        <w:rPr>
          <w:rFonts w:eastAsia="Calibri"/>
          <w:bCs/>
          <w:lang w:val="fr-FR" w:eastAsia="fr-FR" w:bidi="ar-SA"/>
        </w:rPr>
        <w:drawing>
          <wp:anchor distT="0" distB="0" distL="114300" distR="114300" simplePos="0" relativeHeight="251658240" behindDoc="0" locked="0" layoutInCell="1" allowOverlap="1">
            <wp:simplePos x="0" y="0"/>
            <wp:positionH relativeFrom="column">
              <wp:posOffset>3698875</wp:posOffset>
            </wp:positionH>
            <wp:positionV relativeFrom="paragraph">
              <wp:posOffset>287655</wp:posOffset>
            </wp:positionV>
            <wp:extent cx="2329180" cy="1224915"/>
            <wp:effectExtent l="0" t="0" r="109220" b="108585"/>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880392" name="Picture 7" descr="D:\My Documents (D)\ИА ЖА\БЕЗОПАСНОСТ\ГДБ\ГДБ 2015\Photos for NSA-ASR-2015\9453284916_315061057c_c.jpg"/>
                    <pic:cNvPicPr>
                      <a:picLocks noChangeAspect="1" noChangeArrowheads="1"/>
                    </pic:cNvPicPr>
                  </pic:nvPicPr>
                  <pic:blipFill>
                    <a:blip xmlns:r="http://schemas.openxmlformats.org/officeDocument/2006/relationships" r:embed="rId5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329180" cy="1224915"/>
                    </a:xfrm>
                    <a:prstGeom prst="rect">
                      <a:avLst/>
                    </a:prstGeom>
                    <a:noFill/>
                    <a:ln>
                      <a:noFill/>
                    </a:ln>
                    <a:effectLst>
                      <a:outerShdw blurRad="50800" dist="88900" dir="2700000" sx="100000" sy="100000" kx="0" ky="0" algn="tl" rotWithShape="0">
                        <a:prstClr val="black">
                          <a:alpha val="40000"/>
                        </a:prstClr>
                      </a:outerShdw>
                    </a:effectLst>
                  </pic:spPr>
                </pic:pic>
              </a:graphicData>
            </a:graphic>
          </wp:anchor>
        </w:drawing>
      </w:r>
      <w:r w:rsidRPr="00036A98">
        <w:rPr>
          <w:b/>
          <w:caps/>
        </w:rPr>
        <w:t>(</w:t>
      </w:r>
      <w:r w:rsidRPr="00036A98">
        <w:rPr>
          <w:b/>
        </w:rPr>
        <w:t>Annex to Section F of this Report</w:t>
      </w:r>
      <w:r w:rsidRPr="00036A98">
        <w:rPr>
          <w:b/>
          <w:caps/>
        </w:rPr>
        <w:t>)</w:t>
      </w:r>
    </w:p>
    <w:p w:rsidR="00851D43" w:rsidRPr="00036A98" w:rsidP="007B2924">
      <w:pPr>
        <w:spacing w:after="40"/>
        <w:jc w:val="both"/>
        <w:rPr>
          <w:rFonts w:eastAsia="Calibri"/>
          <w:i/>
          <w:noProof w:val="0"/>
          <w:sz w:val="22"/>
        </w:rPr>
      </w:pPr>
    </w:p>
    <w:p w:rsidR="00245131" w:rsidRPr="00036A98" w:rsidP="007B2924">
      <w:pPr>
        <w:spacing w:after="240"/>
        <w:ind w:firstLine="709"/>
        <w:contextualSpacing/>
        <w:jc w:val="both"/>
        <w:rPr>
          <w:rFonts w:eastAsia="Calibri"/>
          <w:noProof w:val="0"/>
        </w:rPr>
      </w:pPr>
      <w:r w:rsidRPr="00036A98">
        <w:t xml:space="preserve">In 2017, in the Bulgarian railway legislation, no amendments were made related to the transposition of amendments to Directive 2004/49/EC of 29 April 2004 on safety on the Community’s railways. </w:t>
      </w:r>
    </w:p>
    <w:p w:rsidR="008F4C62" w:rsidRPr="00036A98" w:rsidP="007B2924">
      <w:pPr>
        <w:spacing w:after="40"/>
        <w:jc w:val="both"/>
        <w:rPr>
          <w:rFonts w:eastAsia="Calibri"/>
          <w:i/>
          <w:noProof w:val="0"/>
          <w:sz w:val="22"/>
        </w:rPr>
      </w:pPr>
    </w:p>
    <w:p w:rsidR="00245131" w:rsidRPr="00036A98" w:rsidP="007B2924">
      <w:pPr>
        <w:pStyle w:val="Caption"/>
        <w:jc w:val="both"/>
        <w:rPr>
          <w:color w:val="auto"/>
          <w:sz w:val="24"/>
        </w:rPr>
      </w:pPr>
    </w:p>
    <w:p w:rsidR="00851D43" w:rsidRPr="00036A98" w:rsidP="007B2924">
      <w:pPr>
        <w:pStyle w:val="Caption"/>
        <w:jc w:val="both"/>
        <w:rPr>
          <w:rFonts w:eastAsia="Calibri"/>
          <w:b w:val="0"/>
          <w:noProof w:val="0"/>
          <w:color w:val="auto"/>
          <w:sz w:val="24"/>
        </w:rPr>
      </w:pPr>
      <w:r w:rsidRPr="00036A98">
        <w:rPr>
          <w:color w:val="auto"/>
          <w:sz w:val="24"/>
        </w:rPr>
        <w:t xml:space="preserve">Table 10. </w:t>
      </w:r>
      <w:r w:rsidRPr="00036A98">
        <w:rPr>
          <w:b w:val="0"/>
          <w:noProof w:val="0"/>
          <w:color w:val="auto"/>
          <w:sz w:val="24"/>
        </w:rPr>
        <w:t>Status of the transposition of the amendments to Directive 2004/49/EC in the Bulgarian legislation as of 31 December 2017—</w:t>
      </w:r>
      <w:r w:rsidRPr="00036A98">
        <w:rPr>
          <w:color w:val="auto"/>
          <w:sz w:val="24"/>
        </w:rPr>
        <w:t>Annex to Section F.1 of this Report</w:t>
      </w:r>
      <w:r w:rsidRPr="00036A98">
        <w:rPr>
          <w:b w:val="0"/>
          <w:noProof w:val="0"/>
          <w:color w:val="auto"/>
          <w:sz w:val="24"/>
        </w:rPr>
        <w:t>.</w:t>
      </w:r>
    </w:p>
    <w:p w:rsidR="00666B95" w:rsidRPr="00036A98" w:rsidP="002404B8">
      <w:pPr>
        <w:pStyle w:val="Caption"/>
        <w:keepNext/>
        <w:jc w:val="center"/>
        <w:rPr>
          <w:color w:val="000000" w:themeColor="text1"/>
          <w:sz w:val="16"/>
        </w:rPr>
      </w:pPr>
      <w:r w:rsidRPr="00036A98">
        <w:rPr>
          <w:color w:val="000000" w:themeColor="text1"/>
          <w:sz w:val="16"/>
        </w:rPr>
        <w:t xml:space="preserve">Table 10: </w:t>
      </w:r>
      <w:r w:rsidRPr="00036A98">
        <w:rPr>
          <w:b w:val="0"/>
          <w:color w:val="000000" w:themeColor="text1"/>
          <w:sz w:val="16"/>
        </w:rPr>
        <w:t>Status of the transposition of the amendments to Directive 2004/49/EC in the Bulgarian legislation as of 31 December 2016—Annex to Section F.1 of this Report</w:t>
      </w:r>
      <w:r w:rsidRPr="00036A98">
        <w:rPr>
          <w:color w:val="000000" w:themeColor="text1"/>
          <w:sz w:val="16"/>
        </w:rPr>
        <w:t>.</w:t>
      </w:r>
    </w:p>
    <w:tbl>
      <w:tblPr>
        <w:tblStyle w:val="TableGrid"/>
        <w:tblW w:w="5000" w:type="pct"/>
        <w:tblLook w:val="02A0"/>
      </w:tblPr>
      <w:tblGrid>
        <w:gridCol w:w="1788"/>
        <w:gridCol w:w="1827"/>
        <w:gridCol w:w="3772"/>
        <w:gridCol w:w="2100"/>
      </w:tblGrid>
      <w:tr w:rsidTr="00F72BC6">
        <w:tblPrEx>
          <w:tblW w:w="5000" w:type="pct"/>
          <w:tblLook w:val="02A0"/>
        </w:tblPrEx>
        <w:tc>
          <w:tcPr>
            <w:tcW w:w="942" w:type="pct"/>
          </w:tcPr>
          <w:p w:rsidR="00851D43" w:rsidRPr="00036A98" w:rsidP="007B2924">
            <w:pPr>
              <w:jc w:val="center"/>
              <w:rPr>
                <w:rFonts w:eastAsia="Calibri"/>
                <w:noProof w:val="0"/>
              </w:rPr>
            </w:pPr>
            <w:r w:rsidRPr="00036A98">
              <w:t>Amendments</w:t>
            </w:r>
          </w:p>
          <w:p w:rsidR="00851D43" w:rsidRPr="00036A98" w:rsidP="007B2924">
            <w:pPr>
              <w:jc w:val="center"/>
              <w:rPr>
                <w:rFonts w:eastAsia="Calibri"/>
                <w:noProof w:val="0"/>
              </w:rPr>
            </w:pPr>
            <w:r w:rsidRPr="00036A98">
              <w:t>to Directive 2004/49/EC</w:t>
            </w:r>
          </w:p>
        </w:tc>
        <w:tc>
          <w:tcPr>
            <w:tcW w:w="963" w:type="pct"/>
          </w:tcPr>
          <w:p w:rsidR="00851D43" w:rsidRPr="00036A98" w:rsidP="007B2924">
            <w:pPr>
              <w:jc w:val="center"/>
              <w:rPr>
                <w:rFonts w:eastAsia="Calibri"/>
                <w:noProof w:val="0"/>
              </w:rPr>
            </w:pPr>
            <w:r w:rsidRPr="00036A98">
              <w:t>Transposed</w:t>
            </w:r>
          </w:p>
          <w:p w:rsidR="00851D43" w:rsidRPr="00036A98" w:rsidP="007B2924">
            <w:pPr>
              <w:jc w:val="center"/>
              <w:rPr>
                <w:rFonts w:eastAsia="Calibri"/>
                <w:noProof w:val="0"/>
              </w:rPr>
            </w:pPr>
            <w:r w:rsidRPr="00036A98">
              <w:t>(Yes/No)</w:t>
            </w:r>
          </w:p>
        </w:tc>
        <w:tc>
          <w:tcPr>
            <w:tcW w:w="1988" w:type="pct"/>
          </w:tcPr>
          <w:p w:rsidR="00851D43" w:rsidRPr="00036A98" w:rsidP="007B2924">
            <w:pPr>
              <w:jc w:val="center"/>
              <w:rPr>
                <w:rFonts w:eastAsia="Calibri"/>
                <w:bCs/>
                <w:noProof w:val="0"/>
              </w:rPr>
            </w:pPr>
            <w:r w:rsidRPr="00036A98">
              <w:t>Legal references</w:t>
            </w:r>
          </w:p>
        </w:tc>
        <w:tc>
          <w:tcPr>
            <w:tcW w:w="1107" w:type="pct"/>
          </w:tcPr>
          <w:p w:rsidR="00181BE3" w:rsidRPr="00036A98" w:rsidP="007B2924">
            <w:pPr>
              <w:jc w:val="center"/>
              <w:rPr>
                <w:rFonts w:eastAsia="Calibri"/>
                <w:bCs/>
                <w:noProof w:val="0"/>
              </w:rPr>
            </w:pPr>
            <w:r w:rsidRPr="00036A98">
              <w:t>Date of entry</w:t>
            </w:r>
          </w:p>
          <w:p w:rsidR="00851D43" w:rsidRPr="00036A98" w:rsidP="007B2924">
            <w:pPr>
              <w:jc w:val="center"/>
              <w:rPr>
                <w:rFonts w:eastAsia="Calibri"/>
                <w:bCs/>
                <w:noProof w:val="0"/>
              </w:rPr>
            </w:pPr>
            <w:r w:rsidRPr="00036A98">
              <w:t>into force</w:t>
            </w:r>
          </w:p>
        </w:tc>
      </w:tr>
      <w:tr w:rsidTr="00F72BC6">
        <w:tblPrEx>
          <w:tblW w:w="5000" w:type="pct"/>
          <w:tblLook w:val="02A0"/>
        </w:tblPrEx>
        <w:tc>
          <w:tcPr>
            <w:tcW w:w="942" w:type="pct"/>
          </w:tcPr>
          <w:p w:rsidR="00851D43" w:rsidRPr="00036A98" w:rsidP="007B2924">
            <w:pPr>
              <w:spacing w:before="120" w:after="120"/>
              <w:jc w:val="both"/>
              <w:rPr>
                <w:rFonts w:eastAsia="Calibri"/>
                <w:noProof w:val="0"/>
              </w:rPr>
            </w:pPr>
            <w:r w:rsidRPr="00036A98">
              <w:t>Directive 2008/57/EC</w:t>
            </w:r>
          </w:p>
        </w:tc>
        <w:tc>
          <w:tcPr>
            <w:tcW w:w="963" w:type="pct"/>
          </w:tcPr>
          <w:p w:rsidR="00851D43" w:rsidRPr="00036A98" w:rsidP="007B2924">
            <w:pPr>
              <w:spacing w:before="120" w:after="120"/>
              <w:jc w:val="center"/>
              <w:rPr>
                <w:rFonts w:eastAsia="Calibri"/>
                <w:noProof w:val="0"/>
              </w:rPr>
            </w:pPr>
            <w:r w:rsidRPr="00036A98">
              <w:t>Yes</w:t>
            </w:r>
          </w:p>
        </w:tc>
        <w:tc>
          <w:tcPr>
            <w:tcW w:w="1988" w:type="pct"/>
          </w:tcPr>
          <w:p w:rsidR="00851D43" w:rsidRPr="00036A98" w:rsidP="007B2924">
            <w:pPr>
              <w:autoSpaceDE w:val="0"/>
              <w:autoSpaceDN w:val="0"/>
              <w:adjustRightInd w:val="0"/>
              <w:spacing w:before="120" w:after="120"/>
              <w:jc w:val="both"/>
              <w:rPr>
                <w:rFonts w:eastAsia="Calibri"/>
                <w:noProof w:val="0"/>
                <w:szCs w:val="20"/>
              </w:rPr>
            </w:pPr>
            <w:r w:rsidRPr="00036A98">
              <w:t>Ordinance No 57 of 9 June 2004 on the conditions and essential requirements for the railway infrastructure and rolling stock aimed at achieving interoperability of the national railway system with the railway system within the European Union, Chapter V, Section IV ‘Authorisation for placing into service of a vehicle’.</w:t>
            </w:r>
          </w:p>
        </w:tc>
        <w:tc>
          <w:tcPr>
            <w:tcW w:w="1107" w:type="pct"/>
          </w:tcPr>
          <w:p w:rsidR="00851D43" w:rsidRPr="00036A98" w:rsidP="007B2924">
            <w:pPr>
              <w:spacing w:before="120" w:after="120"/>
              <w:jc w:val="center"/>
              <w:rPr>
                <w:rFonts w:eastAsia="Calibri"/>
                <w:noProof w:val="0"/>
              </w:rPr>
            </w:pPr>
            <w:r w:rsidRPr="00036A98">
              <w:t>26 October 2010</w:t>
            </w:r>
          </w:p>
        </w:tc>
      </w:tr>
      <w:tr w:rsidTr="00F72BC6">
        <w:tblPrEx>
          <w:tblW w:w="5000" w:type="pct"/>
          <w:tblLook w:val="02A0"/>
        </w:tblPrEx>
        <w:tc>
          <w:tcPr>
            <w:tcW w:w="942" w:type="pct"/>
          </w:tcPr>
          <w:p w:rsidR="00851D43" w:rsidRPr="00036A98" w:rsidP="007B2924">
            <w:pPr>
              <w:spacing w:before="120" w:after="120"/>
              <w:jc w:val="both"/>
              <w:rPr>
                <w:rFonts w:eastAsia="Calibri"/>
                <w:noProof w:val="0"/>
              </w:rPr>
            </w:pPr>
            <w:r w:rsidRPr="00036A98">
              <w:t>Directive 2008/110/EC</w:t>
            </w:r>
          </w:p>
        </w:tc>
        <w:tc>
          <w:tcPr>
            <w:tcW w:w="963" w:type="pct"/>
          </w:tcPr>
          <w:p w:rsidR="00851D43" w:rsidRPr="00036A98" w:rsidP="007B2924">
            <w:pPr>
              <w:spacing w:before="120" w:after="120"/>
              <w:jc w:val="center"/>
              <w:rPr>
                <w:rFonts w:eastAsia="Calibri"/>
                <w:noProof w:val="0"/>
              </w:rPr>
            </w:pPr>
            <w:r w:rsidRPr="00036A98">
              <w:t>Yes</w:t>
            </w:r>
          </w:p>
        </w:tc>
        <w:tc>
          <w:tcPr>
            <w:tcW w:w="1988" w:type="pct"/>
          </w:tcPr>
          <w:p w:rsidR="00851D43" w:rsidRPr="00036A98" w:rsidP="007B2924">
            <w:pPr>
              <w:spacing w:before="120" w:after="120"/>
              <w:jc w:val="both"/>
              <w:rPr>
                <w:rFonts w:eastAsia="Calibri"/>
                <w:noProof w:val="0"/>
              </w:rPr>
            </w:pPr>
            <w:r w:rsidRPr="00036A98">
              <w:t>Ordinance No 59 of 5 December 2006 on safety management in railway transport.</w:t>
            </w:r>
          </w:p>
        </w:tc>
        <w:tc>
          <w:tcPr>
            <w:tcW w:w="1107" w:type="pct"/>
          </w:tcPr>
          <w:p w:rsidR="00851D43" w:rsidRPr="00036A98" w:rsidP="007B2924">
            <w:pPr>
              <w:spacing w:before="120" w:after="120"/>
              <w:jc w:val="center"/>
              <w:rPr>
                <w:rFonts w:eastAsia="Calibri"/>
                <w:noProof w:val="0"/>
              </w:rPr>
            </w:pPr>
            <w:r w:rsidRPr="00036A98">
              <w:t>28 December 2010</w:t>
            </w:r>
          </w:p>
        </w:tc>
      </w:tr>
      <w:tr w:rsidTr="00F72BC6">
        <w:tblPrEx>
          <w:tblW w:w="5000" w:type="pct"/>
          <w:tblLook w:val="02A0"/>
        </w:tblPrEx>
        <w:tc>
          <w:tcPr>
            <w:tcW w:w="942" w:type="pct"/>
          </w:tcPr>
          <w:p w:rsidR="00851D43" w:rsidRPr="00036A98" w:rsidP="007B2924">
            <w:pPr>
              <w:spacing w:before="120" w:after="120"/>
              <w:jc w:val="both"/>
              <w:rPr>
                <w:rFonts w:eastAsia="Calibri"/>
                <w:noProof w:val="0"/>
              </w:rPr>
            </w:pPr>
            <w:r w:rsidRPr="00036A98">
              <w:t>Directive 2009/149/EC</w:t>
            </w:r>
          </w:p>
        </w:tc>
        <w:tc>
          <w:tcPr>
            <w:tcW w:w="963" w:type="pct"/>
          </w:tcPr>
          <w:p w:rsidR="00851D43" w:rsidRPr="00036A98" w:rsidP="007B2924">
            <w:pPr>
              <w:spacing w:before="120" w:after="120"/>
              <w:jc w:val="center"/>
              <w:rPr>
                <w:rFonts w:eastAsia="Calibri"/>
                <w:noProof w:val="0"/>
              </w:rPr>
            </w:pPr>
            <w:r w:rsidRPr="00036A98">
              <w:t>Yes</w:t>
            </w:r>
          </w:p>
        </w:tc>
        <w:tc>
          <w:tcPr>
            <w:tcW w:w="1988" w:type="pct"/>
          </w:tcPr>
          <w:p w:rsidR="00851D43" w:rsidRPr="00036A98" w:rsidP="007B2924">
            <w:pPr>
              <w:spacing w:before="120" w:after="120"/>
              <w:jc w:val="both"/>
              <w:rPr>
                <w:rFonts w:eastAsia="Calibri"/>
                <w:noProof w:val="0"/>
              </w:rPr>
            </w:pPr>
            <w:r w:rsidRPr="00036A98">
              <w:t>Ordinance No 59, Annex 1.</w:t>
            </w:r>
          </w:p>
        </w:tc>
        <w:tc>
          <w:tcPr>
            <w:tcW w:w="1107" w:type="pct"/>
          </w:tcPr>
          <w:p w:rsidR="00851D43" w:rsidRPr="00036A98" w:rsidP="007B2924">
            <w:pPr>
              <w:spacing w:before="120" w:after="120"/>
              <w:jc w:val="center"/>
              <w:rPr>
                <w:rFonts w:eastAsia="Calibri"/>
                <w:noProof w:val="0"/>
              </w:rPr>
            </w:pPr>
            <w:r w:rsidRPr="00036A98">
              <w:t>22 June 2010</w:t>
            </w:r>
          </w:p>
        </w:tc>
      </w:tr>
      <w:tr w:rsidTr="00F72BC6">
        <w:tblPrEx>
          <w:tblW w:w="5000" w:type="pct"/>
          <w:tblLook w:val="02A0"/>
        </w:tblPrEx>
        <w:tc>
          <w:tcPr>
            <w:tcW w:w="942" w:type="pct"/>
          </w:tcPr>
          <w:p w:rsidR="00E03FE3" w:rsidRPr="00036A98" w:rsidP="007B2924">
            <w:pPr>
              <w:spacing w:before="120" w:after="120"/>
              <w:jc w:val="both"/>
              <w:rPr>
                <w:rFonts w:eastAsia="Calibri"/>
                <w:noProof w:val="0"/>
              </w:rPr>
            </w:pPr>
            <w:r w:rsidRPr="00036A98">
              <w:t>Directive 2014/88/EU</w:t>
            </w:r>
          </w:p>
        </w:tc>
        <w:tc>
          <w:tcPr>
            <w:tcW w:w="963" w:type="pct"/>
          </w:tcPr>
          <w:p w:rsidR="00E03FE3" w:rsidRPr="00036A98" w:rsidP="007B2924">
            <w:pPr>
              <w:spacing w:before="120" w:after="120"/>
              <w:jc w:val="center"/>
              <w:rPr>
                <w:rFonts w:eastAsia="Calibri"/>
                <w:noProof w:val="0"/>
              </w:rPr>
            </w:pPr>
            <w:r w:rsidRPr="00036A98">
              <w:t>Yes</w:t>
            </w:r>
          </w:p>
        </w:tc>
        <w:tc>
          <w:tcPr>
            <w:tcW w:w="1988" w:type="pct"/>
          </w:tcPr>
          <w:p w:rsidR="00E03FE3" w:rsidRPr="00036A98" w:rsidP="007B2924">
            <w:pPr>
              <w:spacing w:before="120" w:after="120"/>
              <w:jc w:val="both"/>
              <w:rPr>
                <w:rFonts w:eastAsia="Calibri"/>
                <w:noProof w:val="0"/>
              </w:rPr>
            </w:pPr>
            <w:r w:rsidRPr="00036A98">
              <w:t>Ordinance No 59, Annex 1.</w:t>
            </w:r>
          </w:p>
        </w:tc>
        <w:tc>
          <w:tcPr>
            <w:tcW w:w="1107" w:type="pct"/>
          </w:tcPr>
          <w:p w:rsidR="00E03FE3" w:rsidRPr="00036A98" w:rsidP="007B2924">
            <w:pPr>
              <w:spacing w:before="120" w:after="120"/>
              <w:jc w:val="center"/>
              <w:rPr>
                <w:rFonts w:eastAsia="Calibri"/>
                <w:noProof w:val="0"/>
              </w:rPr>
            </w:pPr>
            <w:r w:rsidRPr="00036A98">
              <w:t>31 July 2015</w:t>
            </w:r>
          </w:p>
        </w:tc>
      </w:tr>
    </w:tbl>
    <w:p w:rsidR="00851D43" w:rsidRPr="00036A98" w:rsidP="007B2924">
      <w:pPr>
        <w:spacing w:after="120"/>
        <w:jc w:val="both"/>
        <w:rPr>
          <w:rFonts w:eastAsia="Calibri"/>
          <w:i/>
          <w:noProof w:val="0"/>
          <w:sz w:val="20"/>
          <w:szCs w:val="22"/>
        </w:rPr>
      </w:pPr>
    </w:p>
    <w:p w:rsidR="00181BE3" w:rsidRPr="00036A98" w:rsidP="007B2924">
      <w:pPr>
        <w:spacing w:after="120"/>
        <w:jc w:val="both"/>
        <w:rPr>
          <w:rFonts w:eastAsia="Calibri"/>
          <w:i/>
          <w:noProof w:val="0"/>
          <w:sz w:val="20"/>
          <w:szCs w:val="22"/>
        </w:rPr>
      </w:pPr>
    </w:p>
    <w:p w:rsidR="00181BE3" w:rsidRPr="00036A98" w:rsidP="007B2924">
      <w:pPr>
        <w:spacing w:after="120"/>
        <w:jc w:val="both"/>
        <w:rPr>
          <w:rFonts w:eastAsia="Calibri"/>
          <w:i/>
          <w:noProof w:val="0"/>
          <w:sz w:val="20"/>
          <w:szCs w:val="22"/>
        </w:rPr>
      </w:pPr>
    </w:p>
    <w:p w:rsidR="00181BE3" w:rsidRPr="00036A98" w:rsidP="007B2924">
      <w:pPr>
        <w:jc w:val="both"/>
        <w:rPr>
          <w:rFonts w:eastAsia="Calibri"/>
          <w:sz w:val="20"/>
          <w:szCs w:val="22"/>
        </w:rPr>
        <w:sectPr w:rsidSect="00E3421A">
          <w:headerReference w:type="first" r:id="rId52"/>
          <w:footerReference w:type="first" r:id="rId53"/>
          <w:pgSz w:w="11906" w:h="16838" w:code="9"/>
          <w:pgMar w:top="1134" w:right="991" w:bottom="720" w:left="1418" w:header="150" w:footer="227" w:gutter="0"/>
          <w:pgBorders w:offsetFrom="page">
            <w:top w:val="single" w:sz="4" w:space="24" w:color="0B5294" w:themeColor="accent1" w:themeShade="BF"/>
            <w:left w:val="single" w:sz="4" w:space="24" w:color="0B5294" w:themeColor="accent1" w:themeShade="BF"/>
            <w:bottom w:val="single" w:sz="4" w:space="24" w:color="0B5294" w:themeColor="accent1" w:themeShade="BF"/>
            <w:right w:val="single" w:sz="4" w:space="24" w:color="0B5294" w:themeColor="accent1" w:themeShade="BF"/>
          </w:pgBorders>
          <w:cols w:space="708"/>
          <w:titlePg/>
          <w:docGrid w:linePitch="360"/>
        </w:sectPr>
      </w:pPr>
    </w:p>
    <w:p w:rsidR="004241B6" w:rsidRPr="00036A98" w:rsidP="007B2924">
      <w:pPr>
        <w:pStyle w:val="Heading1"/>
        <w:rPr>
          <w:rFonts w:eastAsia="Calibri"/>
          <w:i/>
        </w:rPr>
      </w:pPr>
      <w:bookmarkStart w:id="348" w:name="_Toc462754811"/>
      <w:bookmarkStart w:id="349" w:name="_Toc462235829"/>
      <w:bookmarkStart w:id="350" w:name="_Toc490231039"/>
      <w:bookmarkStart w:id="351" w:name="_Toc490231930"/>
      <w:bookmarkStart w:id="352" w:name="_Toc490232058"/>
      <w:bookmarkStart w:id="353" w:name="_Toc491352186"/>
      <w:bookmarkStart w:id="354" w:name="_Toc491788119"/>
      <w:bookmarkStart w:id="355" w:name="_Toc491789310"/>
      <w:bookmarkStart w:id="356" w:name="_Toc491791306"/>
      <w:bookmarkStart w:id="357" w:name="_Toc525214784"/>
      <w:r w:rsidRPr="00036A98">
        <w:t xml:space="preserve">Table </w:t>
      </w:r>
      <w:bookmarkEnd w:id="348"/>
      <w:bookmarkEnd w:id="349"/>
      <w:r w:rsidRPr="00036A98">
        <w:t xml:space="preserve">11. Legislative and regulatory changes in the field of railway transport of Bulgaria, published in the State Gazette and entering into force in the period between 1 January 2017 and 31 December 2017 </w:t>
      </w:r>
      <w:r w:rsidRPr="00036A98">
        <w:rPr>
          <w:i/>
        </w:rPr>
        <w:t>(Annex to Section F.2 of this Report).</w:t>
      </w:r>
      <w:bookmarkEnd w:id="350"/>
      <w:bookmarkEnd w:id="351"/>
      <w:bookmarkEnd w:id="352"/>
      <w:bookmarkEnd w:id="353"/>
      <w:bookmarkEnd w:id="354"/>
      <w:bookmarkEnd w:id="355"/>
      <w:bookmarkEnd w:id="356"/>
      <w:bookmarkEnd w:id="357"/>
    </w:p>
    <w:p w:rsidR="002404B8" w:rsidRPr="00036A98" w:rsidP="002404B8">
      <w:pPr>
        <w:rPr>
          <w:rFonts w:eastAsia="Calibri"/>
        </w:rPr>
      </w:pPr>
    </w:p>
    <w:tbl>
      <w:tblPr>
        <w:tblStyle w:val="TableGrid"/>
        <w:tblW w:w="15843" w:type="dxa"/>
        <w:tblLayout w:type="fixed"/>
        <w:tblLook w:val="02A0"/>
      </w:tblPr>
      <w:tblGrid>
        <w:gridCol w:w="2422"/>
        <w:gridCol w:w="2824"/>
        <w:gridCol w:w="1406"/>
        <w:gridCol w:w="7631"/>
        <w:gridCol w:w="1560"/>
      </w:tblGrid>
      <w:tr w:rsidTr="00F72BC6">
        <w:tblPrEx>
          <w:tblW w:w="15843" w:type="dxa"/>
          <w:tblLayout w:type="fixed"/>
          <w:tblLook w:val="02A0"/>
        </w:tblPrEx>
        <w:trPr>
          <w:trHeight w:val="225"/>
        </w:trPr>
        <w:tc>
          <w:tcPr>
            <w:tcW w:w="2422" w:type="dxa"/>
          </w:tcPr>
          <w:p w:rsidR="003060AA" w:rsidRPr="00036A98" w:rsidP="007B2924">
            <w:pPr>
              <w:spacing w:before="60" w:after="60"/>
              <w:jc w:val="center"/>
              <w:rPr>
                <w:rFonts w:eastAsia="Calibri"/>
                <w:noProof w:val="0"/>
                <w:sz w:val="20"/>
                <w:szCs w:val="22"/>
              </w:rPr>
            </w:pPr>
            <w:r w:rsidRPr="00036A98">
              <w:rPr>
                <w:noProof w:val="0"/>
                <w:sz w:val="20"/>
              </w:rPr>
              <w:t>LEGISLATION</w:t>
            </w:r>
          </w:p>
          <w:p w:rsidR="003060AA" w:rsidRPr="00036A98" w:rsidP="007B2924">
            <w:pPr>
              <w:spacing w:before="60" w:after="60"/>
              <w:jc w:val="center"/>
              <w:rPr>
                <w:rFonts w:eastAsia="Calibri"/>
                <w:noProof w:val="0"/>
                <w:sz w:val="20"/>
                <w:szCs w:val="22"/>
              </w:rPr>
            </w:pPr>
            <w:r w:rsidRPr="00036A98">
              <w:rPr>
                <w:noProof w:val="0"/>
                <w:sz w:val="20"/>
              </w:rPr>
              <w:t>AND REGULATION</w:t>
            </w:r>
          </w:p>
        </w:tc>
        <w:tc>
          <w:tcPr>
            <w:tcW w:w="2824" w:type="dxa"/>
          </w:tcPr>
          <w:p w:rsidR="003060AA" w:rsidRPr="00036A98" w:rsidP="007B2924">
            <w:pPr>
              <w:spacing w:before="60" w:after="60"/>
              <w:jc w:val="center"/>
              <w:rPr>
                <w:rFonts w:eastAsia="Calibri"/>
                <w:bCs/>
                <w:noProof w:val="0"/>
                <w:szCs w:val="22"/>
              </w:rPr>
            </w:pPr>
            <w:r w:rsidRPr="00036A98">
              <w:t>Legal references</w:t>
            </w:r>
          </w:p>
        </w:tc>
        <w:tc>
          <w:tcPr>
            <w:tcW w:w="1406" w:type="dxa"/>
          </w:tcPr>
          <w:p w:rsidR="003060AA" w:rsidRPr="00036A98" w:rsidP="007B2924">
            <w:pPr>
              <w:spacing w:before="60" w:after="60"/>
              <w:jc w:val="center"/>
              <w:rPr>
                <w:rFonts w:eastAsia="Calibri"/>
                <w:bCs/>
                <w:noProof w:val="0"/>
                <w:szCs w:val="22"/>
              </w:rPr>
            </w:pPr>
            <w:r w:rsidRPr="00036A98">
              <w:t>Entry into force, date</w:t>
            </w:r>
          </w:p>
        </w:tc>
        <w:tc>
          <w:tcPr>
            <w:tcW w:w="7631" w:type="dxa"/>
          </w:tcPr>
          <w:p w:rsidR="003060AA" w:rsidRPr="00036A98" w:rsidP="007B2924">
            <w:pPr>
              <w:spacing w:before="60" w:after="60"/>
              <w:jc w:val="center"/>
              <w:rPr>
                <w:rFonts w:eastAsia="Calibri"/>
                <w:bCs/>
                <w:noProof w:val="0"/>
                <w:szCs w:val="22"/>
              </w:rPr>
            </w:pPr>
            <w:r w:rsidRPr="00036A98">
              <w:t>Description of the change</w:t>
            </w:r>
          </w:p>
        </w:tc>
        <w:tc>
          <w:tcPr>
            <w:tcW w:w="1560" w:type="dxa"/>
          </w:tcPr>
          <w:p w:rsidR="003060AA" w:rsidRPr="00036A98" w:rsidP="007B2924">
            <w:pPr>
              <w:spacing w:before="60" w:after="60"/>
              <w:jc w:val="center"/>
              <w:rPr>
                <w:rFonts w:eastAsia="Calibri"/>
                <w:bCs/>
                <w:noProof w:val="0"/>
                <w:szCs w:val="22"/>
              </w:rPr>
            </w:pPr>
            <w:r w:rsidRPr="00036A98">
              <w:t>Reasons for the change</w:t>
            </w:r>
          </w:p>
        </w:tc>
      </w:tr>
      <w:tr w:rsidTr="00F72BC6">
        <w:tblPrEx>
          <w:tblW w:w="15843" w:type="dxa"/>
          <w:tblLayout w:type="fixed"/>
          <w:tblLook w:val="02A0"/>
        </w:tblPrEx>
        <w:trPr>
          <w:trHeight w:val="225"/>
        </w:trPr>
        <w:tc>
          <w:tcPr>
            <w:tcW w:w="2422" w:type="dxa"/>
          </w:tcPr>
          <w:p w:rsidR="002D53A8" w:rsidRPr="00036A98" w:rsidP="007B2924">
            <w:pPr>
              <w:spacing w:after="120"/>
              <w:jc w:val="both"/>
              <w:rPr>
                <w:rFonts w:eastAsia="Calibri"/>
                <w:noProof w:val="0"/>
                <w:sz w:val="20"/>
                <w:szCs w:val="20"/>
              </w:rPr>
            </w:pPr>
            <w:r w:rsidRPr="00036A98">
              <w:rPr>
                <w:noProof w:val="0"/>
                <w:sz w:val="20"/>
              </w:rPr>
              <w:t>Concerning the NSA</w:t>
            </w:r>
          </w:p>
        </w:tc>
        <w:tc>
          <w:tcPr>
            <w:tcW w:w="2824" w:type="dxa"/>
          </w:tcPr>
          <w:p w:rsidR="002D53A8" w:rsidRPr="00036A98" w:rsidP="007B2924">
            <w:pPr>
              <w:jc w:val="center"/>
              <w:rPr>
                <w:rFonts w:eastAsia="Calibri"/>
                <w:noProof w:val="0"/>
                <w:sz w:val="26"/>
                <w:szCs w:val="26"/>
              </w:rPr>
            </w:pPr>
            <w:r w:rsidRPr="00036A98">
              <w:rPr>
                <w:noProof w:val="0"/>
                <w:sz w:val="26"/>
              </w:rPr>
              <w:t>-</w:t>
            </w:r>
          </w:p>
        </w:tc>
        <w:tc>
          <w:tcPr>
            <w:tcW w:w="1406" w:type="dxa"/>
          </w:tcPr>
          <w:p w:rsidR="002D53A8" w:rsidRPr="00036A98" w:rsidP="007B2924">
            <w:pPr>
              <w:spacing w:after="120"/>
              <w:jc w:val="center"/>
              <w:rPr>
                <w:rFonts w:eastAsia="Calibri"/>
                <w:noProof w:val="0"/>
                <w:sz w:val="26"/>
                <w:szCs w:val="26"/>
              </w:rPr>
            </w:pPr>
            <w:r w:rsidRPr="00036A98">
              <w:rPr>
                <w:noProof w:val="0"/>
                <w:sz w:val="26"/>
              </w:rPr>
              <w:t>-</w:t>
            </w:r>
          </w:p>
        </w:tc>
        <w:tc>
          <w:tcPr>
            <w:tcW w:w="7631" w:type="dxa"/>
          </w:tcPr>
          <w:p w:rsidR="002D53A8" w:rsidRPr="00036A98" w:rsidP="007B2924">
            <w:pPr>
              <w:jc w:val="center"/>
              <w:rPr>
                <w:sz w:val="26"/>
                <w:szCs w:val="26"/>
              </w:rPr>
            </w:pPr>
            <w:r w:rsidRPr="00036A98">
              <w:rPr>
                <w:sz w:val="26"/>
              </w:rPr>
              <w:t>-</w:t>
            </w:r>
          </w:p>
        </w:tc>
        <w:tc>
          <w:tcPr>
            <w:tcW w:w="1560" w:type="dxa"/>
          </w:tcPr>
          <w:p w:rsidR="002D53A8" w:rsidRPr="00036A98" w:rsidP="007B2924">
            <w:pPr>
              <w:tabs>
                <w:tab w:val="left" w:pos="615"/>
                <w:tab w:val="center" w:pos="1876"/>
              </w:tabs>
              <w:jc w:val="center"/>
              <w:rPr>
                <w:sz w:val="26"/>
                <w:szCs w:val="26"/>
              </w:rPr>
            </w:pPr>
            <w:r w:rsidRPr="00036A98">
              <w:rPr>
                <w:sz w:val="26"/>
              </w:rPr>
              <w:t>-</w:t>
            </w:r>
          </w:p>
        </w:tc>
      </w:tr>
      <w:tr w:rsidTr="00F72BC6">
        <w:tblPrEx>
          <w:tblW w:w="15843" w:type="dxa"/>
          <w:tblLayout w:type="fixed"/>
          <w:tblLook w:val="02A0"/>
        </w:tblPrEx>
        <w:trPr>
          <w:trHeight w:val="450"/>
        </w:trPr>
        <w:tc>
          <w:tcPr>
            <w:tcW w:w="2422" w:type="dxa"/>
          </w:tcPr>
          <w:p w:rsidR="00031EBC" w:rsidRPr="00036A98" w:rsidP="007B2924">
            <w:pPr>
              <w:spacing w:after="120"/>
              <w:jc w:val="both"/>
              <w:rPr>
                <w:rFonts w:eastAsia="Calibri"/>
                <w:noProof w:val="0"/>
                <w:sz w:val="20"/>
                <w:szCs w:val="20"/>
              </w:rPr>
            </w:pPr>
            <w:r w:rsidRPr="00036A98">
              <w:rPr>
                <w:noProof w:val="0"/>
                <w:sz w:val="20"/>
              </w:rPr>
              <w:t xml:space="preserve">Concerning </w:t>
            </w:r>
            <w:r w:rsidRPr="00036A98">
              <w:rPr>
                <w:noProof w:val="0"/>
                <w:sz w:val="20"/>
              </w:rPr>
              <w:t>NoBos</w:t>
            </w:r>
            <w:r w:rsidRPr="00036A98">
              <w:rPr>
                <w:noProof w:val="0"/>
                <w:sz w:val="20"/>
              </w:rPr>
              <w:t xml:space="preserve">, </w:t>
            </w:r>
            <w:r w:rsidRPr="00036A98">
              <w:rPr>
                <w:noProof w:val="0"/>
                <w:sz w:val="20"/>
              </w:rPr>
              <w:t>DeBos</w:t>
            </w:r>
            <w:r w:rsidRPr="00036A98">
              <w:rPr>
                <w:noProof w:val="0"/>
                <w:sz w:val="20"/>
              </w:rPr>
              <w:t>, Assessment Bodies, third parties of registration, examination, etc.</w:t>
            </w:r>
          </w:p>
        </w:tc>
        <w:tc>
          <w:tcPr>
            <w:tcW w:w="2824" w:type="dxa"/>
          </w:tcPr>
          <w:p w:rsidR="00031EBC" w:rsidRPr="00036A98" w:rsidP="007B2924">
            <w:pPr>
              <w:jc w:val="center"/>
              <w:rPr>
                <w:sz w:val="26"/>
                <w:szCs w:val="26"/>
              </w:rPr>
            </w:pPr>
            <w:r w:rsidRPr="00036A98">
              <w:rPr>
                <w:sz w:val="26"/>
              </w:rPr>
              <w:t>-</w:t>
            </w:r>
          </w:p>
        </w:tc>
        <w:tc>
          <w:tcPr>
            <w:tcW w:w="1406" w:type="dxa"/>
          </w:tcPr>
          <w:p w:rsidR="00031EBC" w:rsidRPr="00036A98" w:rsidP="007B2924">
            <w:pPr>
              <w:jc w:val="center"/>
              <w:rPr>
                <w:sz w:val="26"/>
                <w:szCs w:val="26"/>
              </w:rPr>
            </w:pPr>
            <w:r w:rsidRPr="00036A98">
              <w:rPr>
                <w:sz w:val="26"/>
              </w:rPr>
              <w:t>-</w:t>
            </w:r>
          </w:p>
        </w:tc>
        <w:tc>
          <w:tcPr>
            <w:tcW w:w="7631" w:type="dxa"/>
          </w:tcPr>
          <w:p w:rsidR="003342F5" w:rsidRPr="00036A98" w:rsidP="007B2924">
            <w:pPr>
              <w:jc w:val="center"/>
              <w:rPr>
                <w:sz w:val="26"/>
                <w:szCs w:val="26"/>
              </w:rPr>
            </w:pPr>
            <w:r w:rsidRPr="00036A98">
              <w:rPr>
                <w:sz w:val="26"/>
              </w:rPr>
              <w:t>-</w:t>
            </w:r>
          </w:p>
        </w:tc>
        <w:tc>
          <w:tcPr>
            <w:tcW w:w="1560" w:type="dxa"/>
          </w:tcPr>
          <w:p w:rsidR="00031EBC" w:rsidRPr="00036A98" w:rsidP="007B2924">
            <w:pPr>
              <w:tabs>
                <w:tab w:val="left" w:pos="615"/>
                <w:tab w:val="center" w:pos="1876"/>
              </w:tabs>
              <w:jc w:val="center"/>
              <w:rPr>
                <w:sz w:val="26"/>
                <w:szCs w:val="26"/>
              </w:rPr>
            </w:pPr>
            <w:r w:rsidRPr="00036A98">
              <w:rPr>
                <w:sz w:val="26"/>
              </w:rPr>
              <w:t>-</w:t>
            </w:r>
          </w:p>
        </w:tc>
      </w:tr>
      <w:tr w:rsidTr="00F72BC6">
        <w:tblPrEx>
          <w:tblW w:w="15843" w:type="dxa"/>
          <w:tblLayout w:type="fixed"/>
          <w:tblLook w:val="02A0"/>
        </w:tblPrEx>
        <w:trPr>
          <w:trHeight w:val="351"/>
        </w:trPr>
        <w:tc>
          <w:tcPr>
            <w:tcW w:w="2422" w:type="dxa"/>
          </w:tcPr>
          <w:p w:rsidR="00C675DA" w:rsidRPr="00036A98" w:rsidP="007B2924">
            <w:pPr>
              <w:spacing w:after="120"/>
              <w:jc w:val="both"/>
              <w:rPr>
                <w:rFonts w:eastAsia="Calibri"/>
                <w:noProof w:val="0"/>
                <w:sz w:val="20"/>
                <w:szCs w:val="20"/>
              </w:rPr>
            </w:pPr>
            <w:r w:rsidRPr="00036A98">
              <w:rPr>
                <w:noProof w:val="0"/>
                <w:sz w:val="20"/>
              </w:rPr>
              <w:t>Concerning the RU/IM/ECM</w:t>
            </w:r>
          </w:p>
        </w:tc>
        <w:tc>
          <w:tcPr>
            <w:tcW w:w="2824" w:type="dxa"/>
          </w:tcPr>
          <w:p w:rsidR="00C675DA" w:rsidRPr="00036A98" w:rsidP="007B2924">
            <w:pPr>
              <w:spacing w:after="120"/>
              <w:jc w:val="center"/>
              <w:rPr>
                <w:rFonts w:eastAsia="Calibri"/>
                <w:noProof w:val="0"/>
                <w:sz w:val="26"/>
                <w:szCs w:val="26"/>
              </w:rPr>
            </w:pPr>
            <w:r w:rsidRPr="00036A98">
              <w:rPr>
                <w:noProof w:val="0"/>
                <w:sz w:val="26"/>
              </w:rPr>
              <w:t>-</w:t>
            </w:r>
          </w:p>
        </w:tc>
        <w:tc>
          <w:tcPr>
            <w:tcW w:w="1406" w:type="dxa"/>
          </w:tcPr>
          <w:p w:rsidR="00C675DA" w:rsidRPr="00036A98" w:rsidP="007B2924">
            <w:pPr>
              <w:spacing w:after="120"/>
              <w:jc w:val="center"/>
              <w:rPr>
                <w:rFonts w:eastAsia="Calibri"/>
                <w:noProof w:val="0"/>
                <w:sz w:val="26"/>
                <w:szCs w:val="26"/>
              </w:rPr>
            </w:pPr>
            <w:r w:rsidRPr="00036A98">
              <w:rPr>
                <w:noProof w:val="0"/>
                <w:sz w:val="26"/>
              </w:rPr>
              <w:t>-</w:t>
            </w:r>
          </w:p>
        </w:tc>
        <w:tc>
          <w:tcPr>
            <w:tcW w:w="7631" w:type="dxa"/>
          </w:tcPr>
          <w:p w:rsidR="000E55C7" w:rsidRPr="00036A98" w:rsidP="007B2924">
            <w:pPr>
              <w:jc w:val="center"/>
              <w:rPr>
                <w:sz w:val="26"/>
                <w:szCs w:val="26"/>
              </w:rPr>
            </w:pPr>
            <w:r w:rsidRPr="00036A98">
              <w:rPr>
                <w:sz w:val="26"/>
              </w:rPr>
              <w:t>-</w:t>
            </w:r>
          </w:p>
        </w:tc>
        <w:tc>
          <w:tcPr>
            <w:tcW w:w="1560" w:type="dxa"/>
          </w:tcPr>
          <w:p w:rsidR="00C675DA" w:rsidRPr="00036A98" w:rsidP="007B2924">
            <w:pPr>
              <w:tabs>
                <w:tab w:val="left" w:pos="615"/>
                <w:tab w:val="center" w:pos="1876"/>
              </w:tabs>
              <w:jc w:val="center"/>
              <w:rPr>
                <w:noProof w:val="0"/>
                <w:sz w:val="26"/>
                <w:szCs w:val="26"/>
              </w:rPr>
            </w:pPr>
            <w:r w:rsidRPr="00036A98">
              <w:rPr>
                <w:noProof w:val="0"/>
                <w:sz w:val="26"/>
              </w:rPr>
              <w:t>-</w:t>
            </w:r>
          </w:p>
        </w:tc>
      </w:tr>
      <w:tr w:rsidTr="00F72BC6">
        <w:tblPrEx>
          <w:tblW w:w="15843" w:type="dxa"/>
          <w:tblLayout w:type="fixed"/>
          <w:tblLook w:val="02A0"/>
        </w:tblPrEx>
        <w:trPr>
          <w:trHeight w:val="351"/>
        </w:trPr>
        <w:tc>
          <w:tcPr>
            <w:tcW w:w="2422" w:type="dxa"/>
          </w:tcPr>
          <w:p w:rsidR="00305C6F" w:rsidRPr="00036A98" w:rsidP="007B2924">
            <w:pPr>
              <w:spacing w:after="120"/>
              <w:jc w:val="both"/>
              <w:rPr>
                <w:rFonts w:eastAsia="Calibri"/>
                <w:noProof w:val="0"/>
                <w:sz w:val="20"/>
                <w:szCs w:val="20"/>
              </w:rPr>
            </w:pPr>
            <w:r w:rsidRPr="00036A98">
              <w:rPr>
                <w:noProof w:val="0"/>
                <w:sz w:val="20"/>
              </w:rPr>
              <w:t>Application of other requirements of the EU (relating to railway safety)</w:t>
            </w:r>
          </w:p>
        </w:tc>
        <w:tc>
          <w:tcPr>
            <w:tcW w:w="2824" w:type="dxa"/>
          </w:tcPr>
          <w:p w:rsidR="00305C6F" w:rsidRPr="00036A98" w:rsidP="007B2924">
            <w:pPr>
              <w:spacing w:after="120"/>
              <w:jc w:val="both"/>
              <w:rPr>
                <w:rFonts w:eastAsia="Calibri"/>
                <w:noProof w:val="0"/>
                <w:sz w:val="19"/>
                <w:szCs w:val="19"/>
              </w:rPr>
            </w:pPr>
            <w:r w:rsidRPr="00036A98">
              <w:rPr>
                <w:noProof w:val="0"/>
                <w:sz w:val="19"/>
              </w:rPr>
              <w:t>Ordinance No 56 of 14 February 2003 on the requirements, conditions and procedure for the training of the candidates for the acquisition of qualifications required by the personnel responsible for the railway transport safety, or recognition of such qualifications, and the procedure for conducting examinations of personnel responsible for the transport safety</w:t>
            </w:r>
          </w:p>
        </w:tc>
        <w:tc>
          <w:tcPr>
            <w:tcW w:w="1406" w:type="dxa"/>
          </w:tcPr>
          <w:p w:rsidR="00305C6F" w:rsidRPr="00036A98" w:rsidP="007B2924">
            <w:pPr>
              <w:spacing w:after="120"/>
              <w:jc w:val="both"/>
              <w:rPr>
                <w:rFonts w:eastAsia="Calibri"/>
                <w:noProof w:val="0"/>
                <w:sz w:val="18"/>
                <w:szCs w:val="19"/>
              </w:rPr>
            </w:pPr>
            <w:r w:rsidRPr="00036A98">
              <w:rPr>
                <w:noProof w:val="0"/>
                <w:sz w:val="18"/>
              </w:rPr>
              <w:t>amended</w:t>
            </w:r>
            <w:r w:rsidRPr="00036A98">
              <w:rPr>
                <w:noProof w:val="0"/>
                <w:sz w:val="18"/>
              </w:rPr>
              <w:t xml:space="preserve"> State Gazette (SG), No 69 of 2 September 2016, effective as of 1 July 2016.</w:t>
            </w:r>
          </w:p>
        </w:tc>
        <w:tc>
          <w:tcPr>
            <w:tcW w:w="7631" w:type="dxa"/>
          </w:tcPr>
          <w:p w:rsidR="00251C5B" w:rsidRPr="00036A98" w:rsidP="007B2924">
            <w:pPr>
              <w:ind w:firstLine="278"/>
              <w:jc w:val="both"/>
              <w:rPr>
                <w:sz w:val="18"/>
                <w:szCs w:val="26"/>
              </w:rPr>
            </w:pPr>
            <w:r w:rsidRPr="00036A98">
              <w:rPr>
                <w:sz w:val="18"/>
              </w:rPr>
              <w:t>Directive (EU) 2016/882 amends Annex VI, item 8 of Directive 2007/59/EC of the European Parliament and of the Council of 23 October 2007 on the certification of train drivers operating locomotives and trains on the railway system in the Community. The amendment is related to the need of reducing the linguistic requirements for train drivers in respect of sections between the borders of the Member States of the European Union and the stations located near them and designated for carrying out cross-border operations by relieving the train drivers concerned of the linguistic B1 level requirements.</w:t>
            </w:r>
          </w:p>
          <w:p w:rsidR="00411A51" w:rsidRPr="00036A98" w:rsidP="007B2924">
            <w:pPr>
              <w:ind w:firstLine="278"/>
              <w:jc w:val="both"/>
              <w:rPr>
                <w:sz w:val="18"/>
                <w:szCs w:val="26"/>
              </w:rPr>
            </w:pPr>
            <w:r w:rsidRPr="00036A98">
              <w:rPr>
                <w:sz w:val="18"/>
              </w:rPr>
              <w:t>Language B1 level requirements for train drivers are an unnecessarily heavy burden in a number of specific cases where train drivers only reach the border station in the neighbouring Member State and this has an impact on the continuity of cross-border operations.</w:t>
            </w:r>
          </w:p>
          <w:p w:rsidR="00305C6F" w:rsidRPr="00036A98" w:rsidP="007B2924">
            <w:pPr>
              <w:ind w:firstLine="278"/>
              <w:jc w:val="both"/>
              <w:rPr>
                <w:sz w:val="18"/>
                <w:szCs w:val="26"/>
              </w:rPr>
            </w:pPr>
            <w:r w:rsidRPr="00036A98">
              <w:rPr>
                <w:sz w:val="18"/>
              </w:rPr>
              <w:t>As a condition for the exemption from the level B1 language requirements, it is foreseen to introduce sufficient measures to ensure communication between the relevant train drivers and the infrastructure manager’s staff in routine, degraded and emergency conditions in order to avoid a possible negative impact on the safety of the railway system.</w:t>
            </w:r>
          </w:p>
        </w:tc>
        <w:tc>
          <w:tcPr>
            <w:tcW w:w="1560" w:type="dxa"/>
          </w:tcPr>
          <w:p w:rsidR="00305C6F" w:rsidRPr="00036A98" w:rsidP="007B2924">
            <w:pPr>
              <w:tabs>
                <w:tab w:val="left" w:pos="615"/>
                <w:tab w:val="center" w:pos="1876"/>
              </w:tabs>
              <w:jc w:val="both"/>
              <w:rPr>
                <w:noProof w:val="0"/>
                <w:sz w:val="19"/>
                <w:szCs w:val="19"/>
              </w:rPr>
            </w:pPr>
            <w:r w:rsidRPr="00036A98">
              <w:rPr>
                <w:sz w:val="19"/>
              </w:rPr>
              <w:t xml:space="preserve">Transposition </w:t>
            </w:r>
            <w:r w:rsidRPr="00036A98">
              <w:rPr>
                <w:noProof w:val="0"/>
                <w:sz w:val="20"/>
              </w:rPr>
              <w:t xml:space="preserve">of </w:t>
            </w:r>
            <w:r w:rsidRPr="00036A98">
              <w:rPr>
                <w:sz w:val="19"/>
              </w:rPr>
              <w:t>the requirements of Commission Directive (EU) 2016/882 of 1 June 2016 amending Directive 2007/59/EC of the European Parliament and of the Council as regards language requirements</w:t>
            </w:r>
          </w:p>
        </w:tc>
      </w:tr>
    </w:tbl>
    <w:p w:rsidR="00DD15B1" w:rsidRPr="00036A98" w:rsidP="002404B8">
      <w:pPr>
        <w:spacing w:before="120"/>
        <w:jc w:val="both"/>
        <w:rPr>
          <w:rFonts w:eastAsia="Calibri"/>
          <w:noProof w:val="0"/>
          <w:sz w:val="22"/>
          <w:szCs w:val="22"/>
        </w:rPr>
      </w:pPr>
    </w:p>
    <w:sectPr w:rsidSect="00E3421A">
      <w:pgSz w:w="16838" w:h="11906" w:orient="landscape" w:code="9"/>
      <w:pgMar w:top="851" w:right="536" w:bottom="568" w:left="720" w:header="284" w:footer="284" w:gutter="0"/>
      <w:pgBorders w:offsetFrom="page">
        <w:top w:val="single" w:sz="4" w:space="24" w:color="0B5294" w:themeColor="accent1" w:themeShade="BF"/>
        <w:left w:val="single" w:sz="4" w:space="24" w:color="0B5294" w:themeColor="accent1" w:themeShade="BF"/>
        <w:bottom w:val="single" w:sz="4" w:space="24" w:color="0B5294" w:themeColor="accent1" w:themeShade="BF"/>
        <w:right w:val="single" w:sz="4" w:space="24" w:color="0B5294" w:themeColor="accent1" w:themeShade="BF"/>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EUAlbertina">
    <w:altName w:val="Arial"/>
    <w:panose1 w:val="00000000000000000000"/>
    <w:charset w:val="CC"/>
    <w:family w:val="swiss"/>
    <w:notTrueType/>
    <w:pitch w:val="default"/>
    <w:sig w:usb0="00000001"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F5A3F" w:rsidRPr="00036A98" w:rsidP="00390E69">
    <w:pPr>
      <w:pStyle w:val="Footer"/>
      <w:framePr w:wrap="around" w:vAnchor="text" w:hAnchor="margin" w:xAlign="right" w:y="1"/>
      <w:rPr>
        <w:rStyle w:val="PageNumber"/>
      </w:rPr>
    </w:pPr>
    <w:r w:rsidRPr="00036A98">
      <w:rPr>
        <w:rStyle w:val="PageNumber"/>
      </w:rPr>
      <w:fldChar w:fldCharType="begin"/>
    </w:r>
    <w:r w:rsidRPr="00036A98">
      <w:rPr>
        <w:rStyle w:val="PageNumber"/>
      </w:rPr>
      <w:instrText xml:space="preserve">PAGE  </w:instrText>
    </w:r>
    <w:r w:rsidRPr="00036A98">
      <w:rPr>
        <w:rStyle w:val="PageNumber"/>
      </w:rPr>
      <w:fldChar w:fldCharType="separate"/>
    </w:r>
    <w:r w:rsidRPr="00036A98">
      <w:rPr>
        <w:rStyle w:val="PageNumber"/>
      </w:rPr>
      <w:fldChar w:fldCharType="end"/>
    </w:r>
  </w:p>
  <w:p w:rsidR="002F5A3F" w:rsidRPr="00036A98" w:rsidP="00A13D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F5A3F" w:rsidRPr="00036A98">
    <w:pPr>
      <w:pStyle w:val="Footer"/>
      <w:rPr>
        <w:sz w:val="2"/>
        <w:szCs w:val="2"/>
      </w:rPr>
    </w:pPr>
    <w:r w:rsidRPr="00036A98">
      <w:rPr>
        <w:sz w:val="2"/>
        <w:szCs w:val="2"/>
        <w:lang w:val="fr-FR" w:eastAsia="fr-FR" w:bidi="ar-SA"/>
      </w:rPr>
      <mc:AlternateContent>
        <mc:Choice Requires="wpg">
          <w:drawing>
            <wp:anchor distT="0" distB="0" distL="114300" distR="114300" simplePos="0" relativeHeight="251658240" behindDoc="0" locked="0" layoutInCell="1" allowOverlap="1">
              <wp:simplePos x="0" y="0"/>
              <wp:positionH relativeFrom="page">
                <wp:posOffset>301625</wp:posOffset>
              </wp:positionH>
              <wp:positionV relativeFrom="line">
                <wp:posOffset>-15875</wp:posOffset>
              </wp:positionV>
              <wp:extent cx="6926580" cy="347345"/>
              <wp:effectExtent l="0" t="0" r="26670" b="14605"/>
              <wp:wrapTopAndBottom/>
              <wp:docPr id="265" name="Group 156"/>
              <wp:cNvGraphicFramePr/>
              <a:graphic xmlns:a="http://schemas.openxmlformats.org/drawingml/2006/main">
                <a:graphicData uri="http://schemas.microsoft.com/office/word/2010/wordprocessingGroup">
                  <wpg:wgp xmlns:wpg="http://schemas.microsoft.com/office/word/2010/wordprocessingGroup">
                    <wpg:cNvGrpSpPr/>
                    <wpg:grpSpPr>
                      <a:xfrm>
                        <a:off x="0" y="0"/>
                        <a:ext cx="6926580" cy="347345"/>
                        <a:chOff x="321" y="14850"/>
                        <a:chExt cx="11601" cy="547"/>
                      </a:xfrm>
                    </wpg:grpSpPr>
                    <wps:wsp xmlns:wps="http://schemas.microsoft.com/office/word/2010/wordprocessingShape">
                      <wps:cNvPr id="266" name="Rectangle 157"/>
                      <wps:cNvSpPr>
                        <a:spLocks noChangeArrowheads="1"/>
                      </wps:cNvSpPr>
                      <wps:spPr bwMode="auto">
                        <a:xfrm>
                          <a:off x="374" y="14903"/>
                          <a:ext cx="9346" cy="432"/>
                        </a:xfrm>
                        <a:prstGeom prst="rect">
                          <a:avLst/>
                        </a:prstGeom>
                        <a:solidFill>
                          <a:schemeClr val="accent2">
                            <a:lumMod val="75000"/>
                          </a:schemeClr>
                        </a:solidFill>
                        <a:extLst>
                          <a:ext xmlns:a="http://schemas.openxmlformats.org/drawingml/2006/main" uri="{91240B29-F687-4F45-9708-019B960494DF}">
                            <a14:hiddenLine xmlns:a14="http://schemas.microsoft.com/office/drawing/2010/main" w="9525">
                              <a:solidFill>
                                <a:srgbClr val="943634"/>
                              </a:solidFill>
                              <a:miter lim="800000"/>
                              <a:headEnd/>
                              <a:tailEnd/>
                            </a14:hiddenLine>
                          </a:ext>
                        </a:extLst>
                      </wps:spPr>
                      <wps:txbx>
                        <w:txbxContent>
                          <w:p w:rsidR="002F5A3F" w:rsidRPr="00015036">
                            <w:pPr>
                              <w:pStyle w:val="Footer"/>
                              <w:jc w:val="right"/>
                              <w:rPr>
                                <w:color w:val="FFFFFF" w:themeColor="background1"/>
                                <w:spacing w:val="20"/>
                                <w:sz w:val="20"/>
                              </w:rPr>
                            </w:pPr>
                            <w:r>
                              <w:rPr>
                                <w:color w:val="FFFFFF" w:themeColor="background1"/>
                                <w:spacing w:val="20"/>
                                <w:sz w:val="20"/>
                              </w:rPr>
                              <w:t>Annual safety report of the NSA of the Republic of Bulgaria 2017</w:t>
                            </w:r>
                          </w:p>
                          <w:p w:rsidR="002F5A3F" w:rsidRPr="00015036">
                            <w:pPr>
                              <w:pStyle w:val="Header"/>
                              <w:rPr>
                                <w:color w:val="FFFFFF" w:themeColor="background1"/>
                                <w:spacing w:val="20"/>
                                <w:sz w:val="20"/>
                              </w:rPr>
                            </w:pPr>
                          </w:p>
                        </w:txbxContent>
                      </wps:txbx>
                      <wps:bodyPr rot="0" vert="horz" wrap="square" anchor="t" anchorCtr="0" upright="1"/>
                    </wps:wsp>
                    <wps:wsp xmlns:wps="http://schemas.microsoft.com/office/word/2010/wordprocessingShape">
                      <wps:cNvPr id="267" name="Rectangle 158"/>
                      <wps:cNvSpPr>
                        <a:spLocks noChangeArrowheads="1"/>
                      </wps:cNvSpPr>
                      <wps:spPr bwMode="auto">
                        <a:xfrm>
                          <a:off x="9763" y="14903"/>
                          <a:ext cx="2102" cy="432"/>
                        </a:xfrm>
                        <a:prstGeom prst="rect">
                          <a:avLst/>
                        </a:prstGeom>
                        <a:solidFill>
                          <a:schemeClr val="accent2">
                            <a:lumMod val="75000"/>
                          </a:schemeClr>
                        </a:solidFill>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F5A3F">
                            <w:pPr>
                              <w:pStyle w:val="Footer"/>
                              <w:rPr>
                                <w:color w:val="FFFFFF" w:themeColor="background1"/>
                              </w:rPr>
                            </w:pPr>
                            <w:r>
                              <w:rPr>
                                <w:color w:val="FFFFFF" w:themeColor="background1"/>
                              </w:rPr>
                              <w:t xml:space="preserve">page </w:t>
                            </w:r>
                            <w:r>
                              <w:rPr>
                                <w:noProof w:val="0"/>
                              </w:rPr>
                              <w:fldChar w:fldCharType="begin"/>
                            </w:r>
                            <w:r>
                              <w:instrText xml:space="preserve"> PAGE   \* MERGEFORMAT </w:instrText>
                            </w:r>
                            <w:r>
                              <w:rPr>
                                <w:noProof w:val="0"/>
                              </w:rPr>
                              <w:fldChar w:fldCharType="separate"/>
                            </w:r>
                            <w:r w:rsidRPr="00627A16" w:rsidR="00627A16">
                              <w:rPr>
                                <w:color w:val="FFFFFF" w:themeColor="background1"/>
                              </w:rPr>
                              <w:t>10</w:t>
                            </w:r>
                            <w:r>
                              <w:rPr>
                                <w:color w:val="FFFFFF" w:themeColor="background1"/>
                              </w:rPr>
                              <w:fldChar w:fldCharType="end"/>
                            </w:r>
                          </w:p>
                        </w:txbxContent>
                      </wps:txbx>
                      <wps:bodyPr rot="0" vert="horz" wrap="square" anchor="t" anchorCtr="0" upright="1"/>
                    </wps:wsp>
                    <wps:wsp xmlns:wps="http://schemas.microsoft.com/office/word/2010/wordprocessingShape">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Group 156" o:spid="_x0000_s2049" style="width:545.4pt;height:27.35pt;margin-top:-1.25pt;margin-left:23.75pt;mso-position-horizontal-relative:page;mso-position-vertical-relative:line;position:absolute;z-index:251659264" coordorigin="321,14850" coordsize="11601,547">
              <v:rect id="Rectangle 157" o:spid="_x0000_s2050" style="width:9346;height:432;left:374;mso-wrap-style:square;position:absolute;top:14903;visibility:visible;v-text-anchor:top" fillcolor="#0075a2" stroked="f" strokecolor="#943634">
                <v:textbox>
                  <w:txbxContent>
                    <w:p w:rsidR="002F5A3F" w:rsidRPr="00015036">
                      <w:pPr>
                        <w:pStyle w:val="Footer"/>
                        <w:jc w:val="right"/>
                        <w:rPr>
                          <w:color w:val="FFFFFF" w:themeColor="background1"/>
                          <w:spacing w:val="20"/>
                          <w:sz w:val="20"/>
                        </w:rPr>
                      </w:pPr>
                      <w:r>
                        <w:rPr>
                          <w:color w:val="FFFFFF" w:themeColor="background1"/>
                          <w:spacing w:val="20"/>
                          <w:sz w:val="20"/>
                        </w:rPr>
                        <w:t>Annual safety report of the NSA of the Republic of Bulgaria 2017</w:t>
                      </w:r>
                    </w:p>
                    <w:p w:rsidR="002F5A3F" w:rsidRPr="00015036">
                      <w:pPr>
                        <w:pStyle w:val="Header"/>
                        <w:rPr>
                          <w:color w:val="FFFFFF" w:themeColor="background1"/>
                          <w:spacing w:val="20"/>
                          <w:sz w:val="20"/>
                        </w:rPr>
                      </w:pPr>
                    </w:p>
                  </w:txbxContent>
                </v:textbox>
              </v:rect>
              <v:rect id="Rectangle 158" o:spid="_x0000_s2051" style="width:2102;height:432;left:9763;mso-wrap-style:square;position:absolute;top:14903;visibility:visible;v-text-anchor:top" fillcolor="#0075a2" stroked="f">
                <v:textbox>
                  <w:txbxContent>
                    <w:p w:rsidR="002F5A3F">
                      <w:pPr>
                        <w:pStyle w:val="Footer"/>
                        <w:rPr>
                          <w:color w:val="FFFFFF" w:themeColor="background1"/>
                        </w:rPr>
                      </w:pPr>
                      <w:r>
                        <w:rPr>
                          <w:color w:val="FFFFFF" w:themeColor="background1"/>
                        </w:rPr>
                        <w:t xml:space="preserve">page </w:t>
                      </w:r>
                      <w:r>
                        <w:rPr>
                          <w:noProof w:val="0"/>
                        </w:rPr>
                        <w:fldChar w:fldCharType="begin"/>
                      </w:r>
                      <w:r>
                        <w:instrText xml:space="preserve"> PAGE   \* MERGEFORMAT </w:instrText>
                      </w:r>
                      <w:r>
                        <w:rPr>
                          <w:noProof w:val="0"/>
                        </w:rPr>
                        <w:fldChar w:fldCharType="separate"/>
                      </w:r>
                      <w:r w:rsidRPr="00627A16" w:rsidR="00627A16">
                        <w:rPr>
                          <w:color w:val="FFFFFF" w:themeColor="background1"/>
                        </w:rPr>
                        <w:t>10</w:t>
                      </w:r>
                      <w:r>
                        <w:rPr>
                          <w:color w:val="FFFFFF" w:themeColor="background1"/>
                        </w:rPr>
                        <w:fldChar w:fldCharType="end"/>
                      </w:r>
                    </w:p>
                  </w:txbxContent>
                </v:textbox>
              </v:rect>
              <v:rect id="Rectangle 159" o:spid="_x0000_s2052" style="width:11601;height:547;left:321;mso-wrap-style:square;position:absolute;top:14850;visibility:visible;v-text-anchor:top" filled="f"/>
              <w10:wrap type="topAndBottom"/>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44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EA4022" w:rsidRPr="00036A98">
      <w:r w:rsidRPr="00036A98">
        <w:separator/>
      </w:r>
    </w:p>
  </w:footnote>
  <w:footnote w:type="continuationSeparator" w:id="1">
    <w:p w:rsidR="00EA4022" w:rsidRPr="00036A98">
      <w:r w:rsidRPr="00036A98">
        <w:continuationSeparator/>
      </w:r>
    </w:p>
  </w:footnote>
  <w:footnote w:id="2">
    <w:p w:rsidR="002F5A3F" w:rsidRPr="00036A98" w:rsidP="00D83831">
      <w:pPr>
        <w:pStyle w:val="FootnoteText"/>
        <w:spacing w:line="240" w:lineRule="exact"/>
        <w:rPr>
          <w:sz w:val="16"/>
          <w:szCs w:val="16"/>
        </w:rPr>
      </w:pPr>
      <w:r w:rsidRPr="00036A98">
        <w:rPr>
          <w:rStyle w:val="FootnoteReference"/>
          <w:rFonts w:asciiTheme="minorHAnsi" w:hAnsiTheme="minorHAnsi"/>
        </w:rPr>
        <w:footnoteRef/>
      </w:r>
      <w:r w:rsidRPr="00036A98">
        <w:rPr>
          <w:sz w:val="16"/>
        </w:rPr>
        <w:t>AISIAS—Administrative Information System for Integrated Administrative Services</w:t>
      </w:r>
    </w:p>
  </w:footnote>
  <w:footnote w:id="3">
    <w:p w:rsidR="002F5A3F" w:rsidRPr="00036A98" w:rsidP="00D83831">
      <w:pPr>
        <w:pStyle w:val="FootnoteText"/>
        <w:spacing w:line="240" w:lineRule="exact"/>
        <w:jc w:val="both"/>
        <w:rPr>
          <w:sz w:val="16"/>
          <w:szCs w:val="16"/>
        </w:rPr>
      </w:pPr>
      <w:r w:rsidRPr="00036A98">
        <w:rPr>
          <w:rStyle w:val="FootnoteReference"/>
          <w:sz w:val="16"/>
        </w:rPr>
        <w:footnoteRef/>
      </w:r>
      <w:r w:rsidRPr="00036A98">
        <w:rPr>
          <w:sz w:val="16"/>
        </w:rPr>
        <w:t xml:space="preserve">NSA &amp; NIB reports: </w:t>
      </w:r>
      <w:hyperlink r:id="rId1" w:history="1">
        <w:r w:rsidRPr="00036A98">
          <w:rPr>
            <w:rStyle w:val="Hyperlink"/>
            <w:sz w:val="16"/>
          </w:rPr>
          <w:t>https://eradis.era.europa.eu/safety_docs/AnnualReport/default.aspx</w:t>
        </w:r>
      </w:hyperlink>
    </w:p>
  </w:footnote>
  <w:footnote w:id="4">
    <w:p w:rsidR="002F5A3F" w:rsidRPr="00036A98" w:rsidP="00D83831">
      <w:pPr>
        <w:pStyle w:val="FootnoteText"/>
        <w:spacing w:line="240" w:lineRule="exact"/>
      </w:pPr>
      <w:r w:rsidRPr="00036A98">
        <w:rPr>
          <w:rStyle w:val="FootnoteReference"/>
          <w:sz w:val="16"/>
        </w:rPr>
        <w:footnoteRef/>
      </w:r>
      <w:hyperlink r:id="rId2" w:history="1">
        <w:r w:rsidRPr="00036A98">
          <w:rPr>
            <w:rStyle w:val="Hyperlink"/>
            <w:sz w:val="16"/>
          </w:rPr>
          <w:t>https://erail.era.europa.eu/safety-indicators.aspx</w:t>
        </w:r>
      </w:hyperlink>
    </w:p>
  </w:footnote>
  <w:footnote w:id="5">
    <w:p w:rsidR="002F5A3F" w:rsidRPr="00036A98" w:rsidP="006261F5">
      <w:pPr>
        <w:pStyle w:val="FootnoteText"/>
        <w:jc w:val="both"/>
        <w:rPr>
          <w:sz w:val="16"/>
          <w:szCs w:val="16"/>
        </w:rPr>
      </w:pPr>
      <w:r w:rsidRPr="00036A98">
        <w:rPr>
          <w:rStyle w:val="FootnoteReference"/>
          <w:color w:val="7030A0"/>
          <w:sz w:val="16"/>
        </w:rPr>
        <w:footnoteRef/>
      </w:r>
      <w:r w:rsidRPr="00036A98">
        <w:rPr>
          <w:sz w:val="16"/>
        </w:rPr>
        <w:t>‘</w:t>
      </w:r>
      <w:r w:rsidRPr="00036A98">
        <w:rPr>
          <w:i/>
          <w:sz w:val="16"/>
        </w:rPr>
        <w:t>Significant accident</w:t>
      </w:r>
      <w:r w:rsidRPr="00036A98">
        <w:rPr>
          <w:sz w:val="16"/>
        </w:rPr>
        <w:t>’ means any accident involving at least one rail vehicle in motion, resulting in at least one killed or seriously injured person, or in significant damage to stock, track, other installations or environment, or extensive disruptions to traffic. Accidents in workshops, warehouses and depots are excluded (definition of Item 1.1 of the Appendix to Annex I of the RSD and Ordinance No 59).</w:t>
      </w:r>
    </w:p>
  </w:footnote>
  <w:footnote w:id="6">
    <w:p w:rsidR="002F5A3F" w:rsidRPr="00036A98">
      <w:pPr>
        <w:pStyle w:val="FootnoteText"/>
        <w:rPr>
          <w:sz w:val="16"/>
          <w:szCs w:val="16"/>
        </w:rPr>
      </w:pPr>
      <w:r w:rsidRPr="00036A98">
        <w:rPr>
          <w:rStyle w:val="FootnoteReference"/>
          <w:sz w:val="16"/>
        </w:rPr>
        <w:footnoteRef/>
      </w:r>
      <w:r w:rsidRPr="00036A98">
        <w:rPr>
          <w:i/>
          <w:sz w:val="16"/>
        </w:rPr>
        <w:t>RS</w:t>
      </w:r>
      <w:r w:rsidRPr="00036A98">
        <w:rPr>
          <w:sz w:val="16"/>
        </w:rPr>
        <w:t>—Rolling Stock</w:t>
      </w:r>
    </w:p>
  </w:footnote>
  <w:footnote w:id="7">
    <w:p w:rsidR="002F5A3F" w:rsidRPr="00036A98" w:rsidP="00325EC8">
      <w:pPr>
        <w:pStyle w:val="FootnoteText"/>
        <w:jc w:val="both"/>
        <w:rPr>
          <w:sz w:val="16"/>
          <w:szCs w:val="16"/>
        </w:rPr>
      </w:pPr>
      <w:r w:rsidRPr="00036A98">
        <w:rPr>
          <w:rStyle w:val="FootnoteReference"/>
          <w:sz w:val="16"/>
        </w:rPr>
        <w:footnoteRef/>
      </w:r>
      <w:r w:rsidRPr="00036A98">
        <w:rPr>
          <w:sz w:val="16"/>
        </w:rPr>
        <w:t>‘</w:t>
      </w:r>
      <w:r w:rsidRPr="00036A98">
        <w:rPr>
          <w:i/>
          <w:sz w:val="16"/>
        </w:rPr>
        <w:t>Death (killed person)</w:t>
      </w:r>
      <w:r w:rsidRPr="00036A98">
        <w:rPr>
          <w:sz w:val="16"/>
        </w:rPr>
        <w:t>’ means any person killed immediately or dying within 30 days as a result of an accident, excluding any suicide (definition of Item 1.18 of the Appendix to Annex I of the RSD and Ordinance No 59).</w:t>
      </w:r>
    </w:p>
  </w:footnote>
  <w:footnote w:id="8">
    <w:p w:rsidR="002F5A3F" w:rsidRPr="00036A98" w:rsidP="00325EC8">
      <w:pPr>
        <w:pStyle w:val="FootnoteText"/>
        <w:jc w:val="both"/>
        <w:rPr>
          <w:sz w:val="16"/>
          <w:szCs w:val="16"/>
        </w:rPr>
      </w:pPr>
      <w:r w:rsidRPr="00036A98">
        <w:rPr>
          <w:rStyle w:val="FootnoteReference"/>
          <w:sz w:val="16"/>
        </w:rPr>
        <w:footnoteRef/>
      </w:r>
      <w:r w:rsidRPr="00036A98">
        <w:rPr>
          <w:sz w:val="16"/>
        </w:rPr>
        <w:t>‘</w:t>
      </w:r>
      <w:r w:rsidRPr="00036A98">
        <w:rPr>
          <w:i/>
          <w:sz w:val="16"/>
        </w:rPr>
        <w:t>Serious injury (seriously injured person)</w:t>
      </w:r>
      <w:r w:rsidRPr="00036A98">
        <w:rPr>
          <w:sz w:val="16"/>
        </w:rPr>
        <w:t>’ means any person injured who was hospitalised for more than 24 hours as a result of an accident, excluding any attempted suicide (Item 1.19 of the Appendix to Annex I of the RSD and Ordinance No 59)</w:t>
      </w:r>
    </w:p>
  </w:footnote>
  <w:footnote w:id="9">
    <w:p w:rsidR="002F5A3F" w:rsidRPr="00036A98" w:rsidP="00325EC8">
      <w:pPr>
        <w:pStyle w:val="FootnoteText"/>
        <w:jc w:val="both"/>
        <w:rPr>
          <w:sz w:val="16"/>
          <w:szCs w:val="16"/>
        </w:rPr>
      </w:pPr>
      <w:r w:rsidRPr="00036A98">
        <w:rPr>
          <w:rStyle w:val="FootnoteReference"/>
          <w:sz w:val="16"/>
        </w:rPr>
        <w:footnoteRef/>
      </w:r>
      <w:r w:rsidRPr="00036A98">
        <w:rPr>
          <w:i/>
          <w:sz w:val="16"/>
        </w:rPr>
        <w:t>Commission Decision 2009/460/EC</w:t>
      </w:r>
      <w:r w:rsidRPr="00036A98">
        <w:rPr>
          <w:sz w:val="16"/>
        </w:rPr>
        <w:t xml:space="preserve"> of 5 June 2009 on the adoption of a common safety method for assessment of achievement of safety targets, as referred to in Article 6 of Directive 2004/49/EC of the European Parliament and of the Council</w:t>
      </w:r>
    </w:p>
  </w:footnote>
  <w:footnote w:id="10">
    <w:p w:rsidR="002F5A3F" w:rsidRPr="00036A98" w:rsidP="00325EC8">
      <w:pPr>
        <w:pStyle w:val="FootnoteText"/>
        <w:jc w:val="both"/>
        <w:rPr>
          <w:sz w:val="16"/>
          <w:szCs w:val="16"/>
        </w:rPr>
      </w:pPr>
      <w:r w:rsidRPr="00036A98">
        <w:rPr>
          <w:rStyle w:val="FootnoteReference"/>
          <w:sz w:val="16"/>
        </w:rPr>
        <w:footnoteRef/>
      </w:r>
      <w:r w:rsidRPr="00036A98">
        <w:rPr>
          <w:sz w:val="16"/>
        </w:rPr>
        <w:t xml:space="preserve"> ‘</w:t>
      </w:r>
      <w:r w:rsidRPr="00036A98">
        <w:rPr>
          <w:i/>
          <w:sz w:val="16"/>
        </w:rPr>
        <w:t>Passenger</w:t>
      </w:r>
      <w:r w:rsidRPr="00036A98">
        <w:rPr>
          <w:sz w:val="16"/>
        </w:rPr>
        <w:t>’ means any person, excluding a member of the train crew, who makes a trip by a rail vehicle. The accident statistics includes passengers trying to embark onto or disembark from a moving train (item 1.12 of the Appendix to Annex I of the RSD and Ordinance No 59).</w:t>
      </w:r>
    </w:p>
  </w:footnote>
  <w:footnote w:id="11">
    <w:p w:rsidR="002F5A3F" w:rsidRPr="00036A98" w:rsidP="001807A6">
      <w:pPr>
        <w:pStyle w:val="FootnoteText"/>
        <w:spacing w:after="20"/>
        <w:jc w:val="both"/>
        <w:rPr>
          <w:sz w:val="16"/>
          <w:szCs w:val="16"/>
        </w:rPr>
      </w:pPr>
      <w:r w:rsidRPr="00036A98">
        <w:rPr>
          <w:rStyle w:val="FootnoteReference"/>
          <w:sz w:val="16"/>
        </w:rPr>
        <w:footnoteRef/>
      </w:r>
      <w:r w:rsidRPr="00036A98">
        <w:rPr>
          <w:sz w:val="16"/>
        </w:rPr>
        <w:t>‘</w:t>
      </w:r>
      <w:r w:rsidRPr="00036A98">
        <w:rPr>
          <w:i/>
          <w:sz w:val="16"/>
        </w:rPr>
        <w:t>Employee or contractor</w:t>
      </w:r>
      <w:r w:rsidRPr="00036A98">
        <w:rPr>
          <w:sz w:val="16"/>
        </w:rPr>
        <w:t>’ means any person whose employment is in connection with a railway and is at work at the time of the accident, including the staff of contractors, self-employed contractors, the crew of the train and persons handling rolling stock and infrastructure installations (definition of Item 1.13 of the Appendix to Annex I of the RSD and Ordinance No 59).</w:t>
      </w:r>
    </w:p>
  </w:footnote>
  <w:footnote w:id="12">
    <w:p w:rsidR="002F5A3F" w:rsidRPr="00036A98" w:rsidP="001807A6">
      <w:pPr>
        <w:pStyle w:val="FootnoteText"/>
        <w:spacing w:after="20"/>
        <w:jc w:val="both"/>
        <w:rPr>
          <w:rFonts w:asciiTheme="minorHAnsi" w:hAnsiTheme="minorHAnsi"/>
          <w:sz w:val="16"/>
          <w:szCs w:val="16"/>
        </w:rPr>
      </w:pPr>
      <w:r w:rsidRPr="00036A98">
        <w:rPr>
          <w:rStyle w:val="FootnoteReference"/>
          <w:sz w:val="16"/>
        </w:rPr>
        <w:footnoteRef/>
      </w:r>
      <w:r w:rsidRPr="00036A98">
        <w:rPr>
          <w:sz w:val="16"/>
        </w:rPr>
        <w:t>‘</w:t>
      </w:r>
      <w:r w:rsidRPr="00036A98">
        <w:rPr>
          <w:i/>
          <w:sz w:val="16"/>
        </w:rPr>
        <w:t>Level crossing user</w:t>
      </w:r>
      <w:r w:rsidRPr="00036A98">
        <w:rPr>
          <w:sz w:val="16"/>
        </w:rPr>
        <w:t>’ means any person using a level crossing to traverse the railway line by any means of transport or by foot (Item 1.14 of the Appendix to Annex I of the RSD and Ordinance No 59).</w:t>
      </w:r>
    </w:p>
  </w:footnote>
  <w:footnote w:id="13">
    <w:p w:rsidR="002F5A3F" w:rsidRPr="00036A98" w:rsidP="001807A6">
      <w:pPr>
        <w:pStyle w:val="FootnoteText"/>
        <w:spacing w:after="20"/>
        <w:jc w:val="both"/>
        <w:rPr>
          <w:sz w:val="16"/>
          <w:szCs w:val="16"/>
        </w:rPr>
      </w:pPr>
      <w:r w:rsidRPr="00036A98">
        <w:rPr>
          <w:rStyle w:val="FootnoteReference"/>
          <w:rFonts w:asciiTheme="minorHAnsi" w:hAnsiTheme="minorHAnsi"/>
        </w:rPr>
        <w:footnoteRef/>
      </w:r>
      <w:r w:rsidRPr="00036A98">
        <w:rPr>
          <w:rFonts w:asciiTheme="minorHAnsi" w:hAnsiTheme="minorHAnsi"/>
          <w:sz w:val="16"/>
        </w:rPr>
        <w:t>‘</w:t>
      </w:r>
      <w:r w:rsidRPr="00036A98">
        <w:rPr>
          <w:i/>
          <w:sz w:val="16"/>
        </w:rPr>
        <w:t>Unauthorised user</w:t>
      </w:r>
      <w:r w:rsidRPr="00036A98">
        <w:rPr>
          <w:sz w:val="16"/>
        </w:rPr>
        <w:t>’ means any person present on railway premises where such presence is forbidden, with the exception of a level crossing user (definition of Item 1.15 of the Appendix to Annex I of the RSD and Ordinance No 59).</w:t>
      </w:r>
    </w:p>
  </w:footnote>
  <w:footnote w:id="14">
    <w:p w:rsidR="002F5A3F" w:rsidRPr="00036A98" w:rsidP="001807A6">
      <w:pPr>
        <w:widowControl w:val="0"/>
        <w:autoSpaceDE w:val="0"/>
        <w:autoSpaceDN w:val="0"/>
        <w:adjustRightInd w:val="0"/>
        <w:spacing w:after="20"/>
        <w:jc w:val="both"/>
        <w:rPr>
          <w:sz w:val="16"/>
          <w:szCs w:val="16"/>
        </w:rPr>
      </w:pPr>
      <w:r w:rsidRPr="00036A98">
        <w:rPr>
          <w:rStyle w:val="FootnoteReference"/>
          <w:sz w:val="16"/>
        </w:rPr>
        <w:footnoteRef/>
      </w:r>
      <w:r w:rsidRPr="00036A98">
        <w:rPr>
          <w:sz w:val="16"/>
        </w:rPr>
        <w:t>‘</w:t>
      </w:r>
      <w:r w:rsidRPr="00036A98">
        <w:rPr>
          <w:i/>
          <w:sz w:val="16"/>
        </w:rPr>
        <w:t>Other person on platform</w:t>
      </w:r>
      <w:r w:rsidRPr="00036A98">
        <w:rPr>
          <w:sz w:val="16"/>
        </w:rPr>
        <w:t>’ means any person at a railway platform who is not defined as ‘passenger,’ ‘employee or contractor,’ ‘level crossing user,’ ‘unauthorised user’ or ‘other person not on platform’ (definition of Item 1.16 of the Appendix to Annex I of the RSD and Ordinance No 59).</w:t>
      </w:r>
    </w:p>
  </w:footnote>
  <w:footnote w:id="15">
    <w:p w:rsidR="002F5A3F" w:rsidRPr="00036A98" w:rsidP="004611D1">
      <w:pPr>
        <w:widowControl w:val="0"/>
        <w:autoSpaceDE w:val="0"/>
        <w:autoSpaceDN w:val="0"/>
        <w:adjustRightInd w:val="0"/>
        <w:spacing w:after="40"/>
        <w:jc w:val="both"/>
        <w:rPr>
          <w:rFonts w:asciiTheme="minorHAnsi" w:hAnsiTheme="minorHAnsi"/>
          <w:sz w:val="16"/>
          <w:szCs w:val="16"/>
        </w:rPr>
      </w:pPr>
      <w:r w:rsidRPr="00036A98">
        <w:rPr>
          <w:rStyle w:val="FootnoteReference"/>
          <w:sz w:val="16"/>
        </w:rPr>
        <w:footnoteRef/>
      </w:r>
      <w:r w:rsidRPr="00036A98">
        <w:rPr>
          <w:sz w:val="16"/>
        </w:rPr>
        <w:t>‘</w:t>
      </w:r>
      <w:r w:rsidRPr="00036A98">
        <w:rPr>
          <w:i/>
          <w:sz w:val="16"/>
        </w:rPr>
        <w:t>Other person not on platform</w:t>
      </w:r>
      <w:r w:rsidRPr="00036A98">
        <w:rPr>
          <w:sz w:val="16"/>
        </w:rPr>
        <w:t>’ means any person not at a railway platform who is not defined as ‘passenger,’ ‘employee or contractor,’ ‘level crossing user,’ ‘unauthorised user’ or ‘other person on platform’ (definition of Item 1.17 of the Appendix to Annex I of the RSD and Ordinance No 59).</w:t>
      </w:r>
    </w:p>
  </w:footnote>
  <w:footnote w:id="16">
    <w:p w:rsidR="002F5A3F" w:rsidRPr="00036A98" w:rsidP="00A40076">
      <w:pPr>
        <w:pStyle w:val="FootnoteText"/>
        <w:ind w:left="142" w:hanging="142"/>
        <w:jc w:val="both"/>
        <w:rPr>
          <w:sz w:val="16"/>
          <w:szCs w:val="16"/>
        </w:rPr>
      </w:pPr>
      <w:r w:rsidRPr="00036A98">
        <w:rPr>
          <w:rStyle w:val="FootnoteReference"/>
          <w:rFonts w:asciiTheme="minorHAnsi" w:hAnsiTheme="minorHAnsi"/>
        </w:rPr>
        <w:footnoteRef/>
      </w:r>
      <w:r w:rsidRPr="00036A98">
        <w:rPr>
          <w:rFonts w:asciiTheme="minorHAnsi" w:hAnsiTheme="minorHAnsi"/>
          <w:i/>
          <w:sz w:val="16"/>
        </w:rPr>
        <w:t>‘</w:t>
      </w:r>
      <w:r w:rsidRPr="00036A98">
        <w:rPr>
          <w:i/>
          <w:sz w:val="16"/>
        </w:rPr>
        <w:t>Serious railway accident’</w:t>
      </w:r>
      <w:r w:rsidRPr="00036A98">
        <w:rPr>
          <w:sz w:val="16"/>
        </w:rPr>
        <w:t xml:space="preserve"> means any train collision or derailment resulting in death of at least one person or serious injuries to at least five persons, or extensive damage to the rolling stock, infrastructure or environment, or any other such accident with apparent impact on railway transport safety regulation or safety management. ‘Extensive damage’ means damage that can immediately be assessed by the investigating body to cost at least EUR 2 million or BGN 4 million in total (definitions of Article 3(l) of the RSD and § 1, Item 16 and 17 of the Supplementary Provisions of Ordinance No 59).</w:t>
      </w:r>
    </w:p>
  </w:footnote>
  <w:footnote w:id="17">
    <w:p w:rsidR="002F5A3F" w:rsidRPr="00036A98" w:rsidP="00512B27">
      <w:pPr>
        <w:pStyle w:val="FootnoteText"/>
        <w:ind w:left="142" w:hanging="142"/>
        <w:jc w:val="both"/>
        <w:rPr>
          <w:sz w:val="16"/>
          <w:szCs w:val="16"/>
        </w:rPr>
      </w:pPr>
      <w:r w:rsidRPr="00036A98">
        <w:rPr>
          <w:rStyle w:val="FootnoteReference"/>
          <w:sz w:val="16"/>
        </w:rPr>
        <w:footnoteRef/>
      </w:r>
      <w:r w:rsidRPr="00036A98">
        <w:t>‘</w:t>
      </w:r>
      <w:r w:rsidRPr="00036A98">
        <w:rPr>
          <w:i/>
          <w:sz w:val="16"/>
        </w:rPr>
        <w:t>Suicide</w:t>
      </w:r>
      <w:r w:rsidRPr="00036A98">
        <w:rPr>
          <w:sz w:val="16"/>
        </w:rPr>
        <w:t>’ means an act of intentional self-injury that has resulted in death as registered and classified by the competent national authority (definition of Item 3.1 of the Appendix to Annex I to the RSD and Ordinance No 59). ‘</w:t>
      </w:r>
      <w:r w:rsidRPr="00036A98">
        <w:rPr>
          <w:i/>
          <w:sz w:val="16"/>
        </w:rPr>
        <w:t>Attempted suicide</w:t>
      </w:r>
      <w:r w:rsidRPr="00036A98">
        <w:rPr>
          <w:sz w:val="16"/>
        </w:rPr>
        <w:t>’ means an act to deliberately injure oneself resulting in serious injury (definition of Item 3.2 of the Appendix to Annex I to the RSD and Ordinance No 59).</w:t>
      </w:r>
    </w:p>
  </w:footnote>
  <w:footnote w:id="18">
    <w:p w:rsidR="002F5A3F" w:rsidRPr="00036A98" w:rsidP="00512B27">
      <w:pPr>
        <w:pStyle w:val="FootnoteText"/>
        <w:ind w:left="142" w:hanging="142"/>
        <w:jc w:val="both"/>
        <w:rPr>
          <w:sz w:val="16"/>
          <w:szCs w:val="16"/>
        </w:rPr>
      </w:pPr>
      <w:r w:rsidRPr="00036A98">
        <w:rPr>
          <w:rStyle w:val="FootnoteReference"/>
          <w:sz w:val="16"/>
        </w:rPr>
        <w:footnoteRef/>
      </w:r>
      <w:r w:rsidRPr="00036A98">
        <w:rPr>
          <w:sz w:val="16"/>
        </w:rPr>
        <w:t>‘</w:t>
      </w:r>
      <w:r w:rsidRPr="00036A98">
        <w:rPr>
          <w:i/>
          <w:sz w:val="16"/>
        </w:rPr>
        <w:t>Precursors of accidents</w:t>
      </w:r>
      <w:r w:rsidRPr="00036A98">
        <w:rPr>
          <w:sz w:val="16"/>
        </w:rPr>
        <w:t>,’ also known as ‘</w:t>
      </w:r>
      <w:r w:rsidRPr="00036A98">
        <w:rPr>
          <w:i/>
          <w:sz w:val="16"/>
        </w:rPr>
        <w:t>incidents</w:t>
      </w:r>
      <w:r w:rsidRPr="00036A98">
        <w:rPr>
          <w:sz w:val="16"/>
        </w:rPr>
        <w:t>,’ are: 1) ‘</w:t>
      </w:r>
      <w:r w:rsidRPr="00036A98">
        <w:rPr>
          <w:i/>
          <w:sz w:val="16"/>
        </w:rPr>
        <w:t>Broken rail</w:t>
      </w:r>
      <w:r w:rsidRPr="00036A98">
        <w:rPr>
          <w:sz w:val="16"/>
        </w:rPr>
        <w:t>’; 2) ‘</w:t>
      </w:r>
      <w:r w:rsidRPr="00036A98">
        <w:rPr>
          <w:i/>
          <w:sz w:val="16"/>
        </w:rPr>
        <w:t>Track buckle or other track misalignment</w:t>
      </w:r>
      <w:r w:rsidRPr="00036A98">
        <w:rPr>
          <w:sz w:val="16"/>
        </w:rPr>
        <w:t>’; 3) ‘</w:t>
      </w:r>
      <w:r w:rsidRPr="00036A98">
        <w:rPr>
          <w:i/>
          <w:sz w:val="16"/>
        </w:rPr>
        <w:t>Wrong-side signalling failure</w:t>
      </w:r>
      <w:r w:rsidRPr="00036A98">
        <w:rPr>
          <w:sz w:val="16"/>
        </w:rPr>
        <w:t>’; 4) ‘</w:t>
      </w:r>
      <w:r w:rsidRPr="00036A98">
        <w:rPr>
          <w:i/>
          <w:sz w:val="16"/>
        </w:rPr>
        <w:t>Signal Passed at Danger when passing a danger point</w:t>
      </w:r>
      <w:r w:rsidRPr="00036A98">
        <w:rPr>
          <w:sz w:val="16"/>
        </w:rPr>
        <w:t>’;</w:t>
      </w:r>
      <w:r w:rsidRPr="00036A98">
        <w:rPr>
          <w:sz w:val="16"/>
          <w:szCs w:val="16"/>
        </w:rPr>
        <w:br/>
      </w:r>
      <w:r w:rsidRPr="00036A98">
        <w:rPr>
          <w:sz w:val="16"/>
        </w:rPr>
        <w:t>I05) ‘</w:t>
      </w:r>
      <w:r w:rsidRPr="00036A98">
        <w:rPr>
          <w:i/>
          <w:sz w:val="16"/>
        </w:rPr>
        <w:t>Signal Passed at Danger without passing a danger point</w:t>
      </w:r>
      <w:r w:rsidRPr="00036A98">
        <w:rPr>
          <w:sz w:val="16"/>
        </w:rPr>
        <w:t>’;</w:t>
      </w:r>
      <w:r w:rsidRPr="00036A98">
        <w:rPr>
          <w:sz w:val="16"/>
          <w:szCs w:val="16"/>
        </w:rPr>
        <w:br/>
      </w:r>
      <w:r w:rsidRPr="00036A98">
        <w:rPr>
          <w:sz w:val="16"/>
        </w:rPr>
        <w:t>I06) ‘</w:t>
      </w:r>
      <w:r w:rsidRPr="00036A98">
        <w:rPr>
          <w:i/>
          <w:sz w:val="16"/>
        </w:rPr>
        <w:t>Broken wheel on rolling stock in service</w:t>
      </w:r>
      <w:r w:rsidRPr="00036A98">
        <w:rPr>
          <w:sz w:val="16"/>
        </w:rPr>
        <w:t>’;</w:t>
      </w:r>
      <w:r w:rsidRPr="00036A98">
        <w:rPr>
          <w:sz w:val="16"/>
          <w:szCs w:val="16"/>
        </w:rPr>
        <w:br/>
      </w:r>
      <w:r w:rsidRPr="00036A98">
        <w:rPr>
          <w:sz w:val="16"/>
        </w:rPr>
        <w:t>I07) ‘</w:t>
      </w:r>
      <w:r w:rsidRPr="00036A98">
        <w:rPr>
          <w:i/>
          <w:sz w:val="16"/>
        </w:rPr>
        <w:t>Broken axle on rolling stock in service</w:t>
      </w:r>
      <w:r w:rsidRPr="00036A98">
        <w:rPr>
          <w:sz w:val="16"/>
        </w:rPr>
        <w:t>’ (see the definitions given in Items 4.1 to 4.7 of the Appendix to Annex I to the RSD and Ordinance No 59, and Article 68(3) of Ordinance No 59).</w:t>
      </w:r>
    </w:p>
  </w:footnote>
  <w:footnote w:id="19">
    <w:p w:rsidR="002F5A3F" w:rsidRPr="00036A98" w:rsidP="00AF2FC4">
      <w:pPr>
        <w:pStyle w:val="FootnoteText"/>
        <w:jc w:val="both"/>
        <w:rPr>
          <w:rFonts w:asciiTheme="minorHAnsi" w:hAnsiTheme="minorHAnsi"/>
          <w:sz w:val="18"/>
        </w:rPr>
      </w:pPr>
      <w:r w:rsidRPr="00036A98">
        <w:rPr>
          <w:rStyle w:val="FootnoteReference"/>
          <w:rFonts w:asciiTheme="minorHAnsi" w:hAnsiTheme="minorHAnsi"/>
          <w:sz w:val="18"/>
        </w:rPr>
        <w:footnoteRef/>
      </w:r>
      <w:r w:rsidRPr="00036A98">
        <w:t>‘</w:t>
      </w:r>
      <w:r w:rsidRPr="00036A98">
        <w:rPr>
          <w:rFonts w:asciiTheme="minorHAnsi" w:hAnsiTheme="minorHAnsi"/>
          <w:i/>
          <w:sz w:val="16"/>
        </w:rPr>
        <w:t>Collision of train with obstacle within the clearance gauge</w:t>
      </w:r>
      <w:r w:rsidRPr="00036A98">
        <w:rPr>
          <w:rFonts w:asciiTheme="minorHAnsi" w:hAnsiTheme="minorHAnsi"/>
          <w:sz w:val="16"/>
        </w:rPr>
        <w:t>’ means a collision between a part of a train and objects secured or temporarily located on or near the track (excluding any objects on a level crossing lost by traversing vehicles or users), including collision with an overhead contact network.</w:t>
      </w:r>
    </w:p>
  </w:footnote>
  <w:footnote w:id="20">
    <w:p w:rsidR="002F5A3F" w:rsidRPr="00036A98">
      <w:pPr>
        <w:pStyle w:val="FootnoteText"/>
        <w:rPr>
          <w:rFonts w:asciiTheme="minorHAnsi" w:hAnsiTheme="minorHAnsi"/>
          <w:sz w:val="16"/>
        </w:rPr>
      </w:pPr>
      <w:r w:rsidRPr="00036A98">
        <w:rPr>
          <w:rStyle w:val="FootnoteReference"/>
          <w:rFonts w:asciiTheme="minorHAnsi" w:hAnsiTheme="minorHAnsi"/>
        </w:rPr>
        <w:footnoteRef/>
      </w:r>
      <w:r w:rsidRPr="00036A98">
        <w:rPr>
          <w:rFonts w:asciiTheme="minorHAnsi" w:hAnsiTheme="minorHAnsi"/>
          <w:i/>
          <w:noProof w:val="0"/>
          <w:sz w:val="16"/>
        </w:rPr>
        <w:t>Commission Regulation (EU) No 1078/2012</w:t>
      </w:r>
      <w:r w:rsidRPr="00036A98">
        <w:rPr>
          <w:rFonts w:asciiTheme="minorHAnsi" w:hAnsiTheme="minorHAnsi"/>
          <w:noProof w:val="0"/>
          <w:sz w:val="16"/>
        </w:rPr>
        <w:t xml:space="preserve"> of 16 November 2012 on a common safety method for monitoring to </w:t>
      </w:r>
      <w:r w:rsidRPr="00036A98">
        <w:rPr>
          <w:rFonts w:asciiTheme="minorHAnsi" w:hAnsiTheme="minorHAnsi"/>
          <w:noProof w:val="0"/>
          <w:sz w:val="16"/>
        </w:rPr>
        <w:t>be applied</w:t>
      </w:r>
      <w:r w:rsidRPr="00036A98">
        <w:rPr>
          <w:rFonts w:asciiTheme="minorHAnsi" w:hAnsiTheme="minorHAnsi"/>
          <w:noProof w:val="0"/>
          <w:sz w:val="16"/>
        </w:rPr>
        <w:t xml:space="preserve"> by railway undertakings, infrastructure managers after receiving a safety certificate or safety authorisation and by entities in charge of maintenance.</w:t>
      </w:r>
    </w:p>
  </w:footnote>
  <w:footnote w:id="21">
    <w:p w:rsidR="002F5A3F" w:rsidRPr="00036A98" w:rsidP="00320514">
      <w:pPr>
        <w:pStyle w:val="FootnoteText"/>
        <w:ind w:left="142" w:hanging="142"/>
        <w:jc w:val="both"/>
        <w:rPr>
          <w:sz w:val="16"/>
          <w:szCs w:val="16"/>
        </w:rPr>
      </w:pPr>
      <w:r w:rsidRPr="00036A98">
        <w:rPr>
          <w:rStyle w:val="FootnoteReference"/>
          <w:rFonts w:asciiTheme="minorHAnsi" w:hAnsiTheme="minorHAnsi"/>
          <w:sz w:val="18"/>
        </w:rPr>
        <w:footnoteRef/>
      </w:r>
      <w:r w:rsidRPr="00036A98">
        <w:rPr>
          <w:rFonts w:asciiTheme="minorHAnsi" w:hAnsiTheme="minorHAnsi"/>
          <w:i/>
          <w:sz w:val="16"/>
        </w:rPr>
        <w:t>‘</w:t>
      </w:r>
      <w:r w:rsidRPr="00036A98">
        <w:rPr>
          <w:i/>
          <w:sz w:val="16"/>
        </w:rPr>
        <w:t>Track kilometre</w:t>
      </w:r>
      <w:r w:rsidRPr="00036A98">
        <w:rPr>
          <w:sz w:val="16"/>
        </w:rPr>
        <w:t>’ means the length measured in kilometres of the railway network in the Republic of Bulgaria, with the exception of the railway lines under Article 2 of the RTA. Each track of a multiple-track railway line is to be counted (definition of Item 7.4 of the Appendix to Annex I to the RSD and Ordinance No 59).</w:t>
      </w:r>
    </w:p>
  </w:footnote>
  <w:footnote w:id="22">
    <w:p w:rsidR="002F5A3F" w:rsidRPr="00036A98" w:rsidP="00320514">
      <w:pPr>
        <w:pStyle w:val="FootnoteText"/>
        <w:spacing w:line="200" w:lineRule="exact"/>
        <w:ind w:left="142" w:hanging="142"/>
        <w:jc w:val="both"/>
        <w:rPr>
          <w:sz w:val="16"/>
          <w:szCs w:val="16"/>
        </w:rPr>
      </w:pPr>
      <w:r w:rsidRPr="00036A98">
        <w:rPr>
          <w:rStyle w:val="FootnoteReference"/>
          <w:sz w:val="16"/>
        </w:rPr>
        <w:footnoteRef/>
      </w:r>
      <w:r w:rsidRPr="00036A98">
        <w:rPr>
          <w:sz w:val="16"/>
        </w:rPr>
        <w:t xml:space="preserve"> ‘</w:t>
      </w:r>
      <w:r w:rsidRPr="00036A98">
        <w:rPr>
          <w:i/>
          <w:sz w:val="16"/>
        </w:rPr>
        <w:t>Line kilometre</w:t>
      </w:r>
      <w:r w:rsidRPr="00036A98">
        <w:rPr>
          <w:sz w:val="16"/>
        </w:rPr>
        <w:t>’ means the length measured in kilometres of the railway network in Bulgaria, with the exception of the railway lines under Article 2 under the RTA. For multiple-track railway lines, only the distance between origin and destination is to be counted.</w:t>
      </w:r>
    </w:p>
  </w:footnote>
  <w:footnote w:id="23">
    <w:p w:rsidR="002F5A3F" w:rsidRPr="00036A98" w:rsidP="00512B27">
      <w:pPr>
        <w:pStyle w:val="FootnoteText"/>
        <w:spacing w:line="200" w:lineRule="exact"/>
        <w:ind w:left="142" w:hanging="142"/>
        <w:jc w:val="both"/>
        <w:rPr>
          <w:sz w:val="16"/>
          <w:szCs w:val="16"/>
        </w:rPr>
      </w:pPr>
      <w:r w:rsidRPr="00036A98">
        <w:rPr>
          <w:rStyle w:val="FootnoteReference"/>
          <w:sz w:val="16"/>
        </w:rPr>
        <w:footnoteRef/>
      </w:r>
      <w:r w:rsidRPr="00036A98">
        <w:rPr>
          <w:sz w:val="16"/>
        </w:rPr>
        <w:t>‘</w:t>
      </w:r>
      <w:r w:rsidRPr="00036A98">
        <w:rPr>
          <w:i/>
          <w:sz w:val="16"/>
        </w:rPr>
        <w:t>Passive level crossing</w:t>
      </w:r>
      <w:r w:rsidRPr="00036A98">
        <w:rPr>
          <w:sz w:val="16"/>
        </w:rPr>
        <w:t>’ means a level crossing without any form of warning system and/or protection activated when it is unsafe for the user to traverse the crossing.</w:t>
      </w:r>
    </w:p>
  </w:footnote>
  <w:footnote w:id="24">
    <w:p w:rsidR="002F5A3F" w:rsidRPr="00036A98" w:rsidP="00512B27">
      <w:pPr>
        <w:pStyle w:val="FootnoteText"/>
        <w:spacing w:line="200" w:lineRule="exact"/>
        <w:ind w:left="142" w:hanging="142"/>
        <w:jc w:val="both"/>
      </w:pPr>
      <w:r w:rsidRPr="00036A98">
        <w:rPr>
          <w:rStyle w:val="FootnoteReference"/>
          <w:sz w:val="16"/>
        </w:rPr>
        <w:footnoteRef/>
      </w:r>
      <w:r w:rsidRPr="00036A98">
        <w:t>‘</w:t>
      </w:r>
      <w:r w:rsidRPr="00036A98">
        <w:rPr>
          <w:i/>
          <w:sz w:val="16"/>
        </w:rPr>
        <w:t>Active level crossing</w:t>
      </w:r>
      <w:r w:rsidRPr="00036A98">
        <w:rPr>
          <w:sz w:val="16"/>
        </w:rPr>
        <w:t>’ means a level crossing where the crossing users are protected from or warned of the approaching train by the activation of devices when it is unsafe for the user to traverse the crossing.</w:t>
      </w:r>
    </w:p>
  </w:footnote>
  <w:footnote w:id="25">
    <w:p w:rsidR="002F5A3F" w:rsidRPr="00036A98">
      <w:pPr>
        <w:pStyle w:val="FootnoteText"/>
        <w:rPr>
          <w:rFonts w:asciiTheme="minorHAnsi" w:hAnsiTheme="minorHAnsi"/>
          <w:sz w:val="18"/>
        </w:rPr>
      </w:pPr>
      <w:r w:rsidRPr="00036A98">
        <w:rPr>
          <w:rStyle w:val="FootnoteReference"/>
          <w:rFonts w:asciiTheme="minorHAnsi" w:hAnsiTheme="minorHAnsi"/>
          <w:sz w:val="18"/>
        </w:rPr>
        <w:footnoteRef/>
      </w:r>
      <w:r w:rsidRPr="00036A98">
        <w:rPr>
          <w:rFonts w:asciiTheme="minorHAnsi" w:hAnsiTheme="minorHAnsi"/>
          <w:sz w:val="16"/>
        </w:rPr>
        <w:t>RI—Railway Infrastructure</w:t>
      </w:r>
    </w:p>
  </w:footnote>
  <w:footnote w:id="26">
    <w:p w:rsidR="002F5A3F" w:rsidRPr="00036A98" w:rsidP="00685904">
      <w:pPr>
        <w:pStyle w:val="FootnoteText"/>
        <w:rPr>
          <w:sz w:val="16"/>
          <w:szCs w:val="16"/>
        </w:rPr>
      </w:pPr>
      <w:r w:rsidRPr="00036A98">
        <w:rPr>
          <w:rStyle w:val="FootnoteReference"/>
          <w:rFonts w:asciiTheme="minorHAnsi" w:hAnsiTheme="minorHAnsi"/>
        </w:rPr>
        <w:footnoteRef/>
      </w:r>
      <w:r w:rsidRPr="00036A98">
        <w:rPr>
          <w:sz w:val="16"/>
        </w:rPr>
        <w:t>PCM/ECM—Person (Entity) in Charge of the Maintenance of Rail vehicles</w:t>
      </w:r>
    </w:p>
  </w:footnote>
  <w:footnote w:id="27">
    <w:p w:rsidR="002F5A3F" w:rsidRPr="00036A98" w:rsidP="008016E1">
      <w:pPr>
        <w:pStyle w:val="FootnoteText"/>
        <w:jc w:val="both"/>
        <w:rPr>
          <w:sz w:val="16"/>
          <w:szCs w:val="16"/>
        </w:rPr>
      </w:pPr>
      <w:r w:rsidRPr="00036A98">
        <w:rPr>
          <w:rStyle w:val="FootnoteReference"/>
          <w:sz w:val="16"/>
        </w:rPr>
        <w:footnoteRef/>
      </w:r>
      <w:r w:rsidRPr="00036A98">
        <w:rPr>
          <w:sz w:val="16"/>
        </w:rPr>
        <w:t>Regulation (EU) No 445/2011 of the Commission of 10 May 2011 on a system of certification of entities in charge of the maintenance for freight wagons and amending Regulation (EC) No 653/2007.</w:t>
      </w:r>
    </w:p>
  </w:footnote>
  <w:footnote w:id="28">
    <w:p w:rsidR="002F5A3F" w:rsidRPr="00036A98">
      <w:pPr>
        <w:pStyle w:val="FootnoteText"/>
        <w:rPr>
          <w:rFonts w:asciiTheme="minorHAnsi" w:hAnsiTheme="minorHAnsi"/>
        </w:rPr>
      </w:pPr>
      <w:r w:rsidRPr="00036A98">
        <w:rPr>
          <w:rStyle w:val="FootnoteReference"/>
          <w:sz w:val="16"/>
        </w:rPr>
        <w:footnoteRef/>
      </w:r>
      <w:r w:rsidRPr="00036A98">
        <w:rPr>
          <w:sz w:val="16"/>
        </w:rPr>
        <w:t>Ordinance No 59 of 5 December 2006 on safety management in railway transport</w:t>
      </w:r>
    </w:p>
  </w:footnote>
  <w:footnote w:id="29">
    <w:p w:rsidR="002F5A3F" w:rsidRPr="00036A98" w:rsidP="001E1F73">
      <w:pPr>
        <w:pStyle w:val="FootnoteText"/>
        <w:jc w:val="both"/>
        <w:rPr>
          <w:sz w:val="16"/>
          <w:szCs w:val="16"/>
        </w:rPr>
      </w:pPr>
      <w:r w:rsidRPr="00036A98">
        <w:rPr>
          <w:rStyle w:val="FootnoteReference"/>
          <w:rFonts w:asciiTheme="minorHAnsi" w:hAnsiTheme="minorHAnsi"/>
          <w:sz w:val="18"/>
        </w:rPr>
        <w:footnoteRef/>
      </w:r>
      <w:r w:rsidRPr="00036A98">
        <w:rPr>
          <w:rFonts w:asciiTheme="minorHAnsi" w:hAnsiTheme="minorHAnsi"/>
          <w:sz w:val="16"/>
        </w:rPr>
        <w:t>‘</w:t>
      </w:r>
      <w:r w:rsidRPr="00036A98">
        <w:rPr>
          <w:i/>
          <w:sz w:val="16"/>
        </w:rPr>
        <w:t>Train Protection System (TPS)</w:t>
      </w:r>
      <w:r w:rsidRPr="00036A98">
        <w:rPr>
          <w:sz w:val="16"/>
        </w:rPr>
        <w:t>’ means a system that helps to enforce obedience to signals and speed restrictions;</w:t>
      </w:r>
    </w:p>
  </w:footnote>
  <w:footnote w:id="30">
    <w:p w:rsidR="002F5A3F" w:rsidRPr="00036A98" w:rsidP="000C70F0">
      <w:pPr>
        <w:pStyle w:val="FootnoteText"/>
        <w:jc w:val="both"/>
        <w:rPr>
          <w:rFonts w:asciiTheme="minorHAnsi" w:hAnsiTheme="minorHAnsi"/>
          <w:sz w:val="16"/>
        </w:rPr>
      </w:pPr>
      <w:r w:rsidRPr="00036A98">
        <w:rPr>
          <w:rStyle w:val="FootnoteReference"/>
          <w:sz w:val="16"/>
        </w:rPr>
        <w:footnoteRef/>
      </w:r>
      <w:r w:rsidRPr="00036A98">
        <w:t>‘</w:t>
      </w:r>
      <w:r w:rsidRPr="00036A98">
        <w:rPr>
          <w:i/>
          <w:sz w:val="16"/>
        </w:rPr>
        <w:t>Level crossing</w:t>
      </w:r>
      <w:r w:rsidRPr="00036A98">
        <w:rPr>
          <w:sz w:val="16"/>
        </w:rPr>
        <w:t xml:space="preserve">’ means any level intersection between a road or passage and a railway, as recognised by the infrastructure manager and open to public or private users. Passages between platforms within stations are excluded, as well as passages over tracks for the sole use of employees. They are divided into: </w:t>
      </w:r>
      <w:r w:rsidRPr="00036A98">
        <w:rPr>
          <w:i/>
          <w:sz w:val="16"/>
        </w:rPr>
        <w:t>passive and active level crossings</w:t>
      </w:r>
      <w:r w:rsidRPr="00036A98">
        <w:rPr>
          <w:sz w:val="16"/>
        </w:rPr>
        <w:t>.</w:t>
      </w:r>
      <w:r w:rsidRPr="00036A98">
        <w:rPr>
          <w:sz w:val="16"/>
          <w:szCs w:val="16"/>
        </w:rPr>
        <w:br/>
      </w:r>
      <w:r w:rsidRPr="00036A98">
        <w:rPr>
          <w:i/>
          <w:sz w:val="16"/>
        </w:rPr>
        <w:t xml:space="preserve">     </w:t>
      </w:r>
      <w:r w:rsidRPr="00036A98">
        <w:rPr>
          <w:sz w:val="16"/>
        </w:rPr>
        <w:t>‘</w:t>
      </w:r>
      <w:r w:rsidRPr="00036A98">
        <w:rPr>
          <w:i/>
          <w:sz w:val="16"/>
        </w:rPr>
        <w:t>Passive level crossing</w:t>
      </w:r>
      <w:r w:rsidRPr="00036A98">
        <w:rPr>
          <w:sz w:val="16"/>
        </w:rPr>
        <w:t>’ means a level crossing without any form of warning system and/or protection activated when it is unsafe for the user to traverse the crossing.</w:t>
      </w:r>
      <w:r w:rsidRPr="00036A98">
        <w:rPr>
          <w:sz w:val="16"/>
          <w:szCs w:val="16"/>
        </w:rPr>
        <w:br/>
      </w:r>
      <w:r w:rsidRPr="00036A98">
        <w:rPr>
          <w:sz w:val="16"/>
        </w:rPr>
        <w:t>‘</w:t>
      </w:r>
      <w:r w:rsidRPr="00036A98">
        <w:rPr>
          <w:i/>
          <w:sz w:val="16"/>
        </w:rPr>
        <w:t>Active level crossing</w:t>
      </w:r>
      <w:r w:rsidRPr="00036A98">
        <w:rPr>
          <w:sz w:val="16"/>
        </w:rPr>
        <w:t xml:space="preserve">’ means a level crossing where the crossing users are protected from or warned of the approaching train by the activation of devices when it is unsafe for the user to traverse the crossing.     </w:t>
      </w:r>
      <w:r w:rsidRPr="00036A98">
        <w:rPr>
          <w:sz w:val="16"/>
          <w:szCs w:val="16"/>
        </w:rPr>
        <w:br/>
      </w:r>
      <w:r w:rsidRPr="00036A98">
        <w:rPr>
          <w:i/>
          <w:sz w:val="16"/>
        </w:rPr>
        <w:t>Active level crossings</w:t>
      </w:r>
      <w:r w:rsidRPr="00036A98">
        <w:rPr>
          <w:sz w:val="16"/>
        </w:rPr>
        <w:t xml:space="preserve"> are classified as follows:</w:t>
      </w:r>
      <w:r w:rsidRPr="00036A98">
        <w:rPr>
          <w:sz w:val="16"/>
          <w:szCs w:val="16"/>
        </w:rPr>
        <w:br/>
      </w:r>
      <w:r w:rsidRPr="00036A98">
        <w:rPr>
          <w:sz w:val="16"/>
        </w:rPr>
        <w:t xml:space="preserve">     a) </w:t>
      </w:r>
      <w:r w:rsidRPr="00036A98">
        <w:rPr>
          <w:i/>
          <w:sz w:val="16"/>
          <w:u w:val="single"/>
        </w:rPr>
        <w:t>manual</w:t>
      </w:r>
      <w:r w:rsidRPr="00036A98">
        <w:rPr>
          <w:sz w:val="16"/>
        </w:rPr>
        <w:t>: level crossings where user-side protection or warning is manually activated by a railway employee;</w:t>
      </w:r>
      <w:r w:rsidRPr="00036A98">
        <w:rPr>
          <w:sz w:val="16"/>
          <w:szCs w:val="16"/>
        </w:rPr>
        <w:br/>
      </w:r>
      <w:r w:rsidRPr="00036A98">
        <w:rPr>
          <w:sz w:val="16"/>
        </w:rPr>
        <w:t xml:space="preserve">b) </w:t>
      </w:r>
      <w:r w:rsidRPr="00036A98">
        <w:rPr>
          <w:i/>
          <w:sz w:val="16"/>
          <w:u w:val="single"/>
        </w:rPr>
        <w:t>automatic with user-side warning</w:t>
      </w:r>
      <w:r w:rsidRPr="00036A98">
        <w:rPr>
          <w:sz w:val="16"/>
        </w:rPr>
        <w:t>: level crossings where the user-side warning is activated by the approaching train;</w:t>
      </w:r>
      <w:r w:rsidRPr="00036A98">
        <w:rPr>
          <w:sz w:val="16"/>
          <w:szCs w:val="16"/>
        </w:rPr>
        <w:br/>
      </w:r>
      <w:r w:rsidRPr="00036A98">
        <w:rPr>
          <w:sz w:val="16"/>
        </w:rPr>
        <w:t xml:space="preserve">c) </w:t>
      </w:r>
      <w:r w:rsidRPr="00036A98">
        <w:rPr>
          <w:i/>
          <w:sz w:val="16"/>
          <w:u w:val="single"/>
        </w:rPr>
        <w:t>automatic with user-side protection</w:t>
      </w:r>
      <w:r w:rsidRPr="00036A98">
        <w:rPr>
          <w:sz w:val="16"/>
        </w:rPr>
        <w:t>: level crossings where the user-side protection is activated by the approaching train. This shall include level crossings with both user-side protection and warning;</w:t>
      </w:r>
      <w:r w:rsidRPr="00036A98">
        <w:rPr>
          <w:sz w:val="16"/>
          <w:szCs w:val="16"/>
        </w:rPr>
        <w:br/>
      </w:r>
      <w:r w:rsidRPr="00036A98">
        <w:rPr>
          <w:sz w:val="16"/>
        </w:rPr>
        <w:t xml:space="preserve">d) </w:t>
      </w:r>
      <w:r w:rsidRPr="00036A98">
        <w:rPr>
          <w:i/>
          <w:sz w:val="16"/>
          <w:u w:val="single"/>
        </w:rPr>
        <w:t>rail-side protected</w:t>
      </w:r>
      <w:r w:rsidRPr="00036A98">
        <w:rPr>
          <w:sz w:val="16"/>
        </w:rPr>
        <w:t>: a level crossing where a signal or other train protection system permits a train to proceed once the level crossing is fully user-side protected and is free from incursion.</w:t>
      </w:r>
    </w:p>
  </w:footnote>
  <w:footnote w:id="31">
    <w:p w:rsidR="002F5A3F" w:rsidRPr="00036A98" w:rsidP="00042440">
      <w:pPr>
        <w:pStyle w:val="FootnoteText"/>
        <w:jc w:val="both"/>
        <w:rPr>
          <w:sz w:val="16"/>
          <w:szCs w:val="16"/>
        </w:rPr>
      </w:pPr>
      <w:r w:rsidRPr="00036A98">
        <w:rPr>
          <w:rStyle w:val="FootnoteReference"/>
          <w:rFonts w:asciiTheme="minorHAnsi" w:hAnsiTheme="minorHAnsi"/>
        </w:rPr>
        <w:footnoteRef/>
      </w:r>
      <w:r w:rsidRPr="00036A98">
        <w:rPr>
          <w:sz w:val="16"/>
        </w:rPr>
        <w:t>Ordinance No 58 of 2006 on the rules for technical operation, movement of trains and railway signalling;</w:t>
      </w:r>
    </w:p>
  </w:footnote>
  <w:footnote w:id="32">
    <w:p w:rsidR="002F5A3F" w:rsidRPr="00036A98" w:rsidP="00042440">
      <w:pPr>
        <w:pStyle w:val="FootnoteText"/>
        <w:ind w:left="1134" w:hanging="1134"/>
        <w:jc w:val="both"/>
        <w:rPr>
          <w:sz w:val="16"/>
          <w:szCs w:val="16"/>
        </w:rPr>
      </w:pPr>
      <w:r w:rsidRPr="00036A98">
        <w:rPr>
          <w:rStyle w:val="FootnoteReference"/>
          <w:sz w:val="16"/>
        </w:rPr>
        <w:footnoteRef/>
      </w:r>
      <w:r w:rsidRPr="00036A98">
        <w:rPr>
          <w:sz w:val="16"/>
        </w:rPr>
        <w:t>TOR—Technical Operation Rules of the railway infrastructure, issued by the Chief Executive Officer of the NRIC in 2006</w:t>
      </w:r>
    </w:p>
  </w:footnote>
  <w:footnote w:id="33">
    <w:p w:rsidR="002F5A3F" w:rsidRPr="00036A98" w:rsidP="00042440">
      <w:pPr>
        <w:pStyle w:val="FootnoteText"/>
        <w:ind w:left="993" w:hanging="993"/>
        <w:jc w:val="both"/>
        <w:rPr>
          <w:sz w:val="16"/>
          <w:szCs w:val="16"/>
        </w:rPr>
      </w:pPr>
      <w:r w:rsidRPr="00036A98">
        <w:rPr>
          <w:rStyle w:val="FootnoteReference"/>
          <w:sz w:val="16"/>
        </w:rPr>
        <w:footnoteRef/>
      </w:r>
      <w:r w:rsidRPr="00036A98">
        <w:rPr>
          <w:sz w:val="16"/>
        </w:rPr>
        <w:t>RMTSO—Rules on the Movement of Trains and Shunting Operations in the railway transport issued by the Chief Executive Officer of the NRIC in 2006</w:t>
      </w:r>
    </w:p>
  </w:footnote>
  <w:footnote w:id="34">
    <w:p w:rsidR="002F5A3F" w:rsidRPr="00036A98" w:rsidP="006A029E">
      <w:pPr>
        <w:pStyle w:val="FootnoteText"/>
        <w:rPr>
          <w:sz w:val="16"/>
          <w:szCs w:val="16"/>
        </w:rPr>
      </w:pPr>
      <w:r w:rsidRPr="00036A98">
        <w:rPr>
          <w:rStyle w:val="FootnoteReference"/>
          <w:sz w:val="16"/>
        </w:rPr>
        <w:footnoteRef/>
      </w:r>
      <w:r w:rsidRPr="00036A98">
        <w:rPr>
          <w:sz w:val="16"/>
        </w:rPr>
        <w:t xml:space="preserve">DMUs—Diesel multiple units </w:t>
      </w:r>
    </w:p>
  </w:footnote>
  <w:footnote w:id="35">
    <w:p w:rsidR="002F5A3F" w:rsidRPr="00036A98" w:rsidP="006A029E">
      <w:pPr>
        <w:pStyle w:val="FootnoteText"/>
        <w:rPr>
          <w:sz w:val="16"/>
          <w:szCs w:val="16"/>
          <w:lang w:val="ru-RU"/>
        </w:rPr>
      </w:pPr>
      <w:r w:rsidRPr="00036A98">
        <w:rPr>
          <w:rStyle w:val="FootnoteReference"/>
          <w:sz w:val="16"/>
        </w:rPr>
        <w:footnoteRef/>
      </w:r>
      <w:r w:rsidRPr="00036A98">
        <w:rPr>
          <w:sz w:val="16"/>
        </w:rPr>
        <w:t xml:space="preserve"> EMUs—Electric multiple units</w:t>
      </w:r>
    </w:p>
  </w:footnote>
  <w:footnote w:id="36">
    <w:p w:rsidR="002F5A3F" w:rsidRPr="00036A98" w:rsidP="006B7A02">
      <w:pPr>
        <w:pStyle w:val="FootnoteText"/>
        <w:rPr>
          <w:sz w:val="16"/>
          <w:szCs w:val="16"/>
        </w:rPr>
      </w:pPr>
      <w:r w:rsidRPr="00036A98">
        <w:rPr>
          <w:rStyle w:val="FootnoteReference"/>
          <w:sz w:val="16"/>
        </w:rPr>
        <w:footnoteRef/>
      </w:r>
      <w:r w:rsidRPr="00036A98">
        <w:rPr>
          <w:sz w:val="16"/>
        </w:rPr>
        <w:t>WISs—Wagon Inspection Sections</w:t>
      </w:r>
    </w:p>
  </w:footnote>
  <w:footnote w:id="37">
    <w:p w:rsidR="002F5A3F" w:rsidRPr="00036A98" w:rsidP="007143AB">
      <w:pPr>
        <w:pStyle w:val="FootnoteText"/>
        <w:rPr>
          <w:sz w:val="16"/>
          <w:szCs w:val="16"/>
        </w:rPr>
      </w:pPr>
      <w:r w:rsidRPr="00036A98">
        <w:rPr>
          <w:rStyle w:val="FootnoteReference"/>
          <w:sz w:val="16"/>
        </w:rPr>
        <w:footnoteRef/>
      </w:r>
      <w:r w:rsidRPr="00036A98">
        <w:rPr>
          <w:sz w:val="16"/>
        </w:rPr>
        <w:t xml:space="preserve">EPUs—Electricity Public Utilities at the NRIC SE  </w:t>
      </w:r>
    </w:p>
  </w:footnote>
  <w:footnote w:id="38">
    <w:p w:rsidR="002F5A3F" w:rsidRPr="00036A98" w:rsidP="007143AB">
      <w:pPr>
        <w:pStyle w:val="FootnoteText"/>
        <w:rPr>
          <w:rFonts w:asciiTheme="minorHAnsi" w:hAnsiTheme="minorHAnsi"/>
        </w:rPr>
      </w:pPr>
      <w:r w:rsidRPr="00036A98">
        <w:rPr>
          <w:rStyle w:val="FootnoteReference"/>
          <w:sz w:val="16"/>
        </w:rPr>
        <w:footnoteRef/>
      </w:r>
      <w:r w:rsidRPr="00036A98">
        <w:rPr>
          <w:sz w:val="16"/>
        </w:rPr>
        <w:t>SE—Security Equipment</w:t>
      </w:r>
    </w:p>
  </w:footnote>
  <w:footnote w:id="39">
    <w:p w:rsidR="002F5A3F" w:rsidRPr="00036A98">
      <w:pPr>
        <w:pStyle w:val="FootnoteText"/>
        <w:rPr>
          <w:sz w:val="16"/>
          <w:szCs w:val="16"/>
        </w:rPr>
      </w:pPr>
      <w:r w:rsidRPr="00036A98">
        <w:rPr>
          <w:rStyle w:val="FootnoteReference"/>
          <w:sz w:val="16"/>
        </w:rPr>
        <w:footnoteRef/>
      </w:r>
      <w:r w:rsidRPr="00036A98">
        <w:rPr>
          <w:sz w:val="16"/>
        </w:rPr>
        <w:t>NM—Near Miss</w:t>
      </w:r>
    </w:p>
  </w:footnote>
  <w:footnote w:id="40">
    <w:p w:rsidR="002F5A3F" w:rsidRPr="00036A98" w:rsidP="00957840">
      <w:pPr>
        <w:pStyle w:val="FootnoteText"/>
        <w:ind w:left="142" w:hanging="142"/>
        <w:jc w:val="both"/>
        <w:rPr>
          <w:sz w:val="16"/>
          <w:szCs w:val="16"/>
        </w:rPr>
      </w:pPr>
      <w:r w:rsidRPr="00036A98">
        <w:rPr>
          <w:rStyle w:val="FootnoteReference"/>
          <w:rFonts w:asciiTheme="minorHAnsi" w:hAnsiTheme="minorHAnsi"/>
        </w:rPr>
        <w:footnoteRef/>
      </w:r>
      <w:r w:rsidRPr="00036A98">
        <w:rPr>
          <w:rFonts w:asciiTheme="minorHAnsi" w:hAnsiTheme="minorHAnsi"/>
          <w:sz w:val="16"/>
        </w:rPr>
        <w:t xml:space="preserve"> </w:t>
      </w:r>
      <w:r w:rsidRPr="00036A98">
        <w:rPr>
          <w:sz w:val="16"/>
        </w:rPr>
        <w:t>Commission Directive 2014/106/EU of 5 December 2014 amending Annexes V and VI to Directive 2008/57/EC of the European Parliament and of the Council on the interoperability of the rail system within the Community.</w:t>
      </w:r>
    </w:p>
  </w:footnote>
  <w:footnote w:id="41">
    <w:p w:rsidR="002F5A3F" w:rsidRPr="00036A98" w:rsidP="009526B5">
      <w:pPr>
        <w:pStyle w:val="FootnoteText"/>
        <w:jc w:val="both"/>
        <w:rPr>
          <w:sz w:val="16"/>
          <w:szCs w:val="16"/>
        </w:rPr>
      </w:pPr>
      <w:r w:rsidRPr="00036A98">
        <w:rPr>
          <w:rStyle w:val="FootnoteReference"/>
          <w:sz w:val="16"/>
        </w:rPr>
        <w:footnoteRef/>
      </w:r>
      <w:r w:rsidRPr="00036A98">
        <w:rPr>
          <w:noProof w:val="0"/>
          <w:sz w:val="16"/>
        </w:rPr>
        <w:t>Commission Regulation (EC) No 352/2009 of 24 April 2009 on the adoption of a common safety method of risk evaluation and assessment as referred to in Article 6(3</w:t>
      </w:r>
      <w:r w:rsidRPr="00036A98">
        <w:rPr>
          <w:noProof w:val="0"/>
          <w:sz w:val="16"/>
        </w:rPr>
        <w:t>)(</w:t>
      </w:r>
      <w:r w:rsidRPr="00036A98">
        <w:rPr>
          <w:noProof w:val="0"/>
          <w:sz w:val="16"/>
        </w:rPr>
        <w:t>a) of Directive 2004/49/EC of the European Parliament and of the Council.</w:t>
      </w:r>
    </w:p>
  </w:footnote>
  <w:footnote w:id="42">
    <w:p w:rsidR="002F5A3F" w:rsidRPr="00036A98" w:rsidP="00957840">
      <w:pPr>
        <w:pStyle w:val="FootnoteText"/>
        <w:ind w:left="142" w:hanging="142"/>
        <w:jc w:val="both"/>
        <w:rPr>
          <w:sz w:val="16"/>
          <w:szCs w:val="16"/>
        </w:rPr>
      </w:pPr>
      <w:r w:rsidRPr="00036A98">
        <w:rPr>
          <w:rStyle w:val="FootnoteReference"/>
          <w:sz w:val="16"/>
        </w:rPr>
        <w:footnoteRef/>
      </w:r>
      <w:r w:rsidRPr="00036A98">
        <w:rPr>
          <w:noProof w:val="0"/>
          <w:sz w:val="16"/>
        </w:rPr>
        <w:t>Commission Implementing Regulation (EU) No 402/2013 of 30 April 2013 on the common safety method for risk evaluation and assessment and repealing Regulation (EC) No 352/2009.</w:t>
      </w:r>
    </w:p>
  </w:footnote>
  <w:footnote w:id="43">
    <w:p w:rsidR="002F5A3F" w:rsidRPr="00036A98" w:rsidP="00635EB6">
      <w:pPr>
        <w:pStyle w:val="FootnoteText"/>
        <w:jc w:val="both"/>
        <w:rPr>
          <w:rFonts w:asciiTheme="minorHAnsi" w:hAnsiTheme="minorHAnsi"/>
          <w:color w:val="7030A0"/>
          <w:sz w:val="16"/>
          <w:szCs w:val="16"/>
        </w:rPr>
      </w:pPr>
      <w:r w:rsidRPr="00036A98">
        <w:rPr>
          <w:rStyle w:val="FootnoteReference"/>
          <w:sz w:val="16"/>
        </w:rPr>
        <w:footnoteRef/>
      </w:r>
      <w:r w:rsidRPr="00036A98">
        <w:rPr>
          <w:sz w:val="16"/>
        </w:rPr>
        <w:t xml:space="preserve"> Commission Regulation (EU) No 1077/2012 of 16 November 2012 on a common safety method for supervision by national safety authorities after issuing a safety certificate or safety authorisation.</w:t>
      </w:r>
    </w:p>
  </w:footnote>
  <w:footnote w:id="44">
    <w:p w:rsidR="002F5A3F" w:rsidRPr="00036A98" w:rsidP="00E56BBB">
      <w:pPr>
        <w:pStyle w:val="FootnoteText"/>
        <w:spacing w:after="20"/>
        <w:jc w:val="both"/>
        <w:rPr>
          <w:sz w:val="16"/>
          <w:szCs w:val="16"/>
        </w:rPr>
      </w:pPr>
      <w:r w:rsidRPr="00036A98">
        <w:rPr>
          <w:rStyle w:val="FootnoteReference"/>
          <w:rFonts w:asciiTheme="minorHAnsi" w:hAnsiTheme="minorHAnsi"/>
          <w:sz w:val="16"/>
        </w:rPr>
        <w:footnoteRef/>
      </w:r>
      <w:r w:rsidRPr="00036A98">
        <w:t>‘</w:t>
      </w:r>
      <w:r w:rsidRPr="00036A98">
        <w:rPr>
          <w:i/>
        </w:rPr>
        <w:t>significant accident</w:t>
      </w:r>
      <w:r w:rsidRPr="00036A98">
        <w:t>’ means any accident involving at least one rail vehicle in motion, resulting in at least one killed or seriously injured person, or in significant damage to stock, track, other installations or environment, or extensive disruptions to traffic. Accidents in workshops, warehouses and depots are excluded;</w:t>
      </w:r>
      <w:r w:rsidRPr="00036A98">
        <w:br/>
        <w:t>‘</w:t>
      </w:r>
      <w:r w:rsidRPr="00036A98">
        <w:rPr>
          <w:i/>
        </w:rPr>
        <w:t>significant damage to stock, track, other installations or environment</w:t>
      </w:r>
      <w:r w:rsidRPr="00036A98">
        <w:t>’ means damage that is equivalent to EUR 150 000 or more;</w:t>
      </w:r>
      <w:r w:rsidRPr="00036A98">
        <w:br/>
        <w:t>‘</w:t>
      </w:r>
      <w:r w:rsidRPr="00036A98">
        <w:rPr>
          <w:i/>
        </w:rPr>
        <w:t>extensive disruptions to traffic</w:t>
      </w:r>
      <w:r w:rsidRPr="00036A98">
        <w:t>’ means that train services on a main railway line are suspended for six hours or more;</w:t>
      </w:r>
    </w:p>
  </w:footnote>
  <w:footnote w:id="45">
    <w:p w:rsidR="002F5A3F" w:rsidRPr="00036A98" w:rsidP="00E56BBB">
      <w:pPr>
        <w:pStyle w:val="FootnoteText"/>
        <w:spacing w:after="20"/>
        <w:jc w:val="both"/>
        <w:rPr>
          <w:sz w:val="16"/>
          <w:szCs w:val="16"/>
        </w:rPr>
      </w:pPr>
      <w:r w:rsidRPr="00036A98">
        <w:rPr>
          <w:rStyle w:val="FootnoteReference"/>
          <w:sz w:val="16"/>
        </w:rPr>
        <w:footnoteRef/>
      </w:r>
      <w:r w:rsidRPr="00036A98">
        <w:t>‘</w:t>
      </w:r>
      <w:r w:rsidRPr="00036A98">
        <w:rPr>
          <w:i/>
          <w:sz w:val="16"/>
        </w:rPr>
        <w:t>precursors of accidents</w:t>
      </w:r>
      <w:r w:rsidRPr="00036A98">
        <w:rPr>
          <w:sz w:val="16"/>
        </w:rPr>
        <w:t>’ are the following types: 1) ‘Broken rail’; 2) ‘Track buckle and other track misalignment’; 3) ‘Wrong side signalling failure’; 4) ‘Signal passed at danger when passing a danger point’ and 5) ‘Signal passed at danger without passing a danger point’</w:t>
      </w:r>
    </w:p>
  </w:footnote>
  <w:footnote w:id="46">
    <w:p w:rsidR="002F5A3F" w:rsidRPr="00036A98" w:rsidP="002F6E10">
      <w:pPr>
        <w:pStyle w:val="FootnoteText"/>
        <w:spacing w:after="60"/>
        <w:jc w:val="both"/>
        <w:rPr>
          <w:rFonts w:asciiTheme="minorHAnsi" w:hAnsiTheme="minorHAnsi"/>
          <w:sz w:val="16"/>
          <w:szCs w:val="16"/>
        </w:rPr>
      </w:pPr>
      <w:r w:rsidRPr="00036A98">
        <w:rPr>
          <w:rStyle w:val="FootnoteReference"/>
          <w:rFonts w:asciiTheme="minorHAnsi" w:hAnsiTheme="minorHAnsi"/>
        </w:rPr>
        <w:footnoteRef/>
      </w:r>
      <w:r w:rsidRPr="00036A98">
        <w:rPr>
          <w:rFonts w:asciiTheme="minorHAnsi" w:hAnsiTheme="minorHAnsi"/>
          <w:sz w:val="16"/>
        </w:rPr>
        <w:t xml:space="preserve"> </w:t>
      </w:r>
      <w:r w:rsidRPr="00036A98">
        <w:rPr>
          <w:sz w:val="16"/>
        </w:rPr>
        <w:t>‘</w:t>
      </w:r>
      <w:r w:rsidRPr="00036A98">
        <w:rPr>
          <w:i/>
          <w:sz w:val="16"/>
        </w:rPr>
        <w:t>train-km</w:t>
      </w:r>
      <w:r w:rsidRPr="00036A98">
        <w:rPr>
          <w:sz w:val="16"/>
        </w:rPr>
        <w:t>’ means the unit of measure representing the movement of a train over one kilometre. The distance used is the distance actually run, if available, otherwise the standard network distance between the origin and destination shall be used. Only the distance on the national territory of the reporting country shall be taken into account (definitions of Directive 2014/88/EU amending Directive 2004/49/EC); ‘</w:t>
      </w:r>
      <w:r w:rsidRPr="00036A98">
        <w:rPr>
          <w:i/>
          <w:sz w:val="16"/>
        </w:rPr>
        <w:t>passenger-km</w:t>
      </w:r>
      <w:r w:rsidRPr="00036A98">
        <w:rPr>
          <w:sz w:val="16"/>
        </w:rPr>
        <w:t>’ means the unit of measure representing the transport of one passenger by rail over a distance of one kilometre. Only the distance on the national territory of the reporting country shall be taken into account;</w:t>
      </w:r>
      <w:r w:rsidRPr="00036A98">
        <w:rPr>
          <w:sz w:val="16"/>
          <w:szCs w:val="16"/>
        </w:rPr>
        <w:br/>
      </w:r>
      <w:r w:rsidRPr="00036A98">
        <w:rPr>
          <w:sz w:val="16"/>
        </w:rPr>
        <w:t>* ‘</w:t>
      </w:r>
      <w:r w:rsidRPr="00036A98">
        <w:rPr>
          <w:i/>
          <w:sz w:val="16"/>
        </w:rPr>
        <w:t>line km</w:t>
      </w:r>
      <w:r w:rsidRPr="00036A98">
        <w:rPr>
          <w:sz w:val="16"/>
        </w:rPr>
        <w:t xml:space="preserve">’ means the length measured in kilometres of the railway network in Member States, whose scope is laid down in Article 2. For multiple-track railway lines, only the distance between origin and destination is to be counted. </w:t>
      </w:r>
      <w:r w:rsidRPr="00036A98">
        <w:rPr>
          <w:sz w:val="16"/>
          <w:szCs w:val="16"/>
        </w:rPr>
        <w:br/>
      </w:r>
      <w:r w:rsidRPr="00036A98">
        <w:rPr>
          <w:sz w:val="16"/>
        </w:rPr>
        <w:t xml:space="preserve">** </w:t>
      </w:r>
      <w:r w:rsidRPr="00036A98">
        <w:rPr>
          <w:i/>
          <w:sz w:val="16"/>
        </w:rPr>
        <w:t>‘track km’</w:t>
      </w:r>
      <w:r w:rsidRPr="00036A98">
        <w:rPr>
          <w:sz w:val="16"/>
        </w:rPr>
        <w:t xml:space="preserve"> means the length measured in kilometres of the railway network in Member States, whose scope is laid down in Article 2. Each track of a multiple track railway line is to be counted.’ Official Journal of the European Union BG L 201/17 10.7.2014</w:t>
      </w:r>
    </w:p>
  </w:footnote>
  <w:footnote w:id="47">
    <w:p w:rsidR="002F5A3F" w:rsidRPr="00036A98" w:rsidP="008F2C89">
      <w:pPr>
        <w:pStyle w:val="FootnoteText"/>
        <w:spacing w:after="20"/>
        <w:jc w:val="both"/>
        <w:rPr>
          <w:rFonts w:asciiTheme="minorHAnsi" w:hAnsiTheme="minorHAnsi"/>
          <w:sz w:val="16"/>
          <w:szCs w:val="16"/>
        </w:rPr>
      </w:pPr>
      <w:r w:rsidRPr="00036A98">
        <w:rPr>
          <w:rStyle w:val="FootnoteReference"/>
          <w:rFonts w:asciiTheme="minorHAnsi" w:hAnsiTheme="minorHAnsi"/>
        </w:rPr>
        <w:footnoteRef/>
      </w:r>
      <w:r w:rsidRPr="00036A98">
        <w:rPr>
          <w:rFonts w:asciiTheme="minorHAnsi" w:hAnsiTheme="minorHAnsi"/>
          <w:i/>
          <w:sz w:val="16"/>
        </w:rPr>
        <w:t>‘</w:t>
      </w:r>
      <w:r w:rsidRPr="00036A98">
        <w:rPr>
          <w:i/>
          <w:sz w:val="16"/>
        </w:rPr>
        <w:t>Automatic Train Protection (ATP)</w:t>
      </w:r>
      <w:r w:rsidRPr="00036A98">
        <w:rPr>
          <w:sz w:val="16"/>
        </w:rPr>
        <w:t>’ means a system that helps to enforce obedience to signals and speed restrictions by speed control including automatic stop when passing signal at danger;</w:t>
      </w:r>
    </w:p>
  </w:footnote>
  <w:footnote w:id="48">
    <w:p w:rsidR="002F5A3F" w:rsidRPr="00036A98" w:rsidP="008F2C89">
      <w:pPr>
        <w:pStyle w:val="FootnoteText"/>
        <w:spacing w:after="20"/>
        <w:jc w:val="both"/>
        <w:rPr>
          <w:sz w:val="16"/>
          <w:szCs w:val="16"/>
          <w:lang w:val="ru-RU"/>
        </w:rPr>
      </w:pPr>
      <w:r w:rsidRPr="00036A98">
        <w:rPr>
          <w:rStyle w:val="FootnoteReference"/>
          <w:rFonts w:asciiTheme="minorHAnsi" w:hAnsiTheme="minorHAnsi"/>
        </w:rPr>
        <w:footnoteRef/>
      </w:r>
      <w:r w:rsidRPr="00036A98">
        <w:rPr>
          <w:rFonts w:asciiTheme="minorHAnsi" w:hAnsiTheme="minorHAnsi"/>
          <w:i/>
          <w:sz w:val="16"/>
        </w:rPr>
        <w:t>‘</w:t>
      </w:r>
      <w:r w:rsidRPr="00036A98">
        <w:rPr>
          <w:i/>
          <w:sz w:val="16"/>
        </w:rPr>
        <w:t>Level crossing</w:t>
      </w:r>
      <w:r w:rsidRPr="00036A98">
        <w:rPr>
          <w:sz w:val="16"/>
        </w:rPr>
        <w:t>’ means any level intersection between a road or passage and a railway, as recognised by the infrastructure manager and open to public or private users. Passages between platforms within stations are excluded, as well as passages over tracks for the sole use of employees (definitions of Directive 2004/49/EC);</w:t>
      </w:r>
      <w:r w:rsidRPr="00036A98">
        <w:rPr>
          <w:sz w:val="16"/>
          <w:szCs w:val="16"/>
        </w:rPr>
        <w:br/>
      </w:r>
      <w:r w:rsidRPr="00036A98">
        <w:rPr>
          <w:sz w:val="16"/>
        </w:rPr>
        <w:t>‘</w:t>
      </w:r>
      <w:r w:rsidRPr="00036A98">
        <w:rPr>
          <w:i/>
          <w:sz w:val="16"/>
        </w:rPr>
        <w:t>Passive level crossing</w:t>
      </w:r>
      <w:r w:rsidRPr="00036A98">
        <w:rPr>
          <w:sz w:val="16"/>
        </w:rPr>
        <w:t>’ means a level crossing without any form of warning system or protection activated when it is unsafe for the user to traverse the crossing.</w:t>
      </w:r>
      <w:r w:rsidRPr="00036A98">
        <w:rPr>
          <w:sz w:val="16"/>
          <w:szCs w:val="16"/>
        </w:rPr>
        <w:br/>
      </w:r>
      <w:r w:rsidRPr="00036A98">
        <w:rPr>
          <w:sz w:val="16"/>
        </w:rPr>
        <w:t>‘</w:t>
      </w:r>
      <w:r w:rsidRPr="00036A98">
        <w:rPr>
          <w:i/>
          <w:sz w:val="16"/>
        </w:rPr>
        <w:t>Active level crossing</w:t>
      </w:r>
      <w:r w:rsidRPr="00036A98">
        <w:rPr>
          <w:sz w:val="16"/>
        </w:rPr>
        <w:t>’ means a level crossing where the crossing users are protected from or warned of the approaching train by devices activated when it is unsafe for the user to traverse the crossing.</w:t>
      </w:r>
      <w:r w:rsidRPr="00036A98">
        <w:rPr>
          <w:sz w:val="16"/>
          <w:szCs w:val="16"/>
        </w:rPr>
        <w:br/>
      </w:r>
      <w:r w:rsidRPr="00036A98">
        <w:rPr>
          <w:sz w:val="16"/>
        </w:rPr>
        <w:t xml:space="preserve">The ‘-’ </w:t>
      </w:r>
      <w:r w:rsidRPr="00036A98">
        <w:rPr>
          <w:i/>
          <w:sz w:val="16"/>
        </w:rPr>
        <w:t>symbol</w:t>
      </w:r>
      <w:r w:rsidRPr="00036A98">
        <w:rPr>
          <w:sz w:val="16"/>
        </w:rPr>
        <w:t xml:space="preserve"> indicates that no data exist for the respective year.</w:t>
      </w:r>
    </w:p>
  </w:footnote>
  <w:footnote w:id="49">
    <w:p w:rsidR="002F5A3F" w:rsidRPr="00036A98" w:rsidP="008F2C89">
      <w:pPr>
        <w:pStyle w:val="FootnoteText"/>
        <w:spacing w:after="60"/>
        <w:jc w:val="both"/>
        <w:rPr>
          <w:rFonts w:asciiTheme="minorHAnsi" w:hAnsiTheme="minorHAnsi"/>
          <w:sz w:val="16"/>
          <w:szCs w:val="14"/>
        </w:rPr>
      </w:pPr>
      <w:r w:rsidRPr="00036A98">
        <w:rPr>
          <w:rStyle w:val="FootnoteReference"/>
          <w:sz w:val="16"/>
        </w:rPr>
        <w:footnoteRef/>
      </w:r>
      <w:r w:rsidRPr="00036A98">
        <w:t>‘</w:t>
      </w:r>
      <w:r w:rsidRPr="00036A98">
        <w:rPr>
          <w:i/>
          <w:sz w:val="16"/>
        </w:rPr>
        <w:t>Fatalities and weighted serious injuries (FWSIs)</w:t>
      </w:r>
      <w:r w:rsidRPr="00036A98">
        <w:rPr>
          <w:sz w:val="16"/>
        </w:rPr>
        <w:t>’ means a measurement of the consequences of significant accidents combining fatalities and serious injuries, where 1 serious injury is considered statistically equivalent to 0,1 fatalities (letter (d) of Article 3 of Decision 2009/460/EC).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F5A3F" w:rsidRPr="00036A98" w:rsidP="005F4A8B">
    <w:pPr>
      <w:pStyle w:val="Header"/>
      <w:tabs>
        <w:tab w:val="left" w:pos="3944"/>
        <w:tab w:val="clear" w:pos="4536"/>
        <w:tab w:val="clear" w:pos="9072"/>
      </w:tabs>
    </w:pPr>
  </w:p>
  <w:p w:rsidR="002F5A3F" w:rsidRPr="00036A98" w:rsidP="00F83A5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F5A3F" w:rsidRPr="00036A98">
    <w:pPr>
      <w:pStyle w:val="Header"/>
    </w:pPr>
  </w:p>
  <w:p w:rsidR="002F5A3F" w:rsidRPr="00036A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C4485" w:rsidRPr="00036A98">
    <w:pPr>
      <w:pStyle w:val="Header"/>
    </w:pPr>
  </w:p>
  <w:p w:rsidR="00BC4485" w:rsidRPr="00036A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24011F4"/>
    <w:multiLevelType w:val="hybridMultilevel"/>
    <w:tmpl w:val="E5AA352C"/>
    <w:lvl w:ilvl="0">
      <w:start w:val="1"/>
      <w:numFmt w:val="decimal"/>
      <w:lvlText w:val="C.%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3D958D3"/>
    <w:multiLevelType w:val="hybridMultilevel"/>
    <w:tmpl w:val="C4E6461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3">
    <w:nsid w:val="05954F9D"/>
    <w:multiLevelType w:val="hybridMultilevel"/>
    <w:tmpl w:val="E59AC6CC"/>
    <w:lvl w:ilvl="0">
      <w:start w:val="1"/>
      <w:numFmt w:val="decimal"/>
      <w:lvlText w:val="1.%1."/>
      <w:lvlJc w:val="left"/>
      <w:pPr>
        <w:ind w:left="2345" w:hanging="360"/>
      </w:pPr>
      <w:rPr>
        <w:rFonts w:ascii="Times New Roman" w:hAnsi="Times New Roman" w:hint="default"/>
        <w:b w:val="0"/>
        <w:i w:val="0"/>
        <w:sz w:val="24"/>
      </w:rPr>
    </w:lvl>
    <w:lvl w:ilvl="1">
      <w:start w:val="1"/>
      <w:numFmt w:val="lowerLetter"/>
      <w:lvlText w:val="%2."/>
      <w:lvlJc w:val="left"/>
      <w:pPr>
        <w:ind w:left="3065" w:hanging="360"/>
      </w:pPr>
    </w:lvl>
    <w:lvl w:ilvl="2" w:tentative="1">
      <w:start w:val="1"/>
      <w:numFmt w:val="lowerRoman"/>
      <w:lvlText w:val="%3."/>
      <w:lvlJc w:val="right"/>
      <w:pPr>
        <w:ind w:left="3785" w:hanging="180"/>
      </w:pPr>
    </w:lvl>
    <w:lvl w:ilvl="3" w:tentative="1">
      <w:start w:val="1"/>
      <w:numFmt w:val="decimal"/>
      <w:lvlText w:val="%4."/>
      <w:lvlJc w:val="left"/>
      <w:pPr>
        <w:ind w:left="4505" w:hanging="360"/>
      </w:pPr>
    </w:lvl>
    <w:lvl w:ilvl="4" w:tentative="1">
      <w:start w:val="1"/>
      <w:numFmt w:val="lowerLetter"/>
      <w:lvlText w:val="%5."/>
      <w:lvlJc w:val="left"/>
      <w:pPr>
        <w:ind w:left="5225" w:hanging="360"/>
      </w:pPr>
    </w:lvl>
    <w:lvl w:ilvl="5" w:tentative="1">
      <w:start w:val="1"/>
      <w:numFmt w:val="lowerRoman"/>
      <w:lvlText w:val="%6."/>
      <w:lvlJc w:val="right"/>
      <w:pPr>
        <w:ind w:left="5945" w:hanging="180"/>
      </w:pPr>
    </w:lvl>
    <w:lvl w:ilvl="6" w:tentative="1">
      <w:start w:val="1"/>
      <w:numFmt w:val="decimal"/>
      <w:lvlText w:val="%7."/>
      <w:lvlJc w:val="left"/>
      <w:pPr>
        <w:ind w:left="6665" w:hanging="360"/>
      </w:pPr>
    </w:lvl>
    <w:lvl w:ilvl="7" w:tentative="1">
      <w:start w:val="1"/>
      <w:numFmt w:val="lowerLetter"/>
      <w:lvlText w:val="%8."/>
      <w:lvlJc w:val="left"/>
      <w:pPr>
        <w:ind w:left="7385" w:hanging="360"/>
      </w:pPr>
    </w:lvl>
    <w:lvl w:ilvl="8" w:tentative="1">
      <w:start w:val="1"/>
      <w:numFmt w:val="lowerRoman"/>
      <w:lvlText w:val="%9."/>
      <w:lvlJc w:val="right"/>
      <w:pPr>
        <w:ind w:left="8105" w:hanging="180"/>
      </w:pPr>
    </w:lvl>
  </w:abstractNum>
  <w:abstractNum w:abstractNumId="4">
    <w:nsid w:val="09A41407"/>
    <w:multiLevelType w:val="hybridMultilevel"/>
    <w:tmpl w:val="54F83CF8"/>
    <w:lvl w:ilvl="0">
      <w:start w:val="1"/>
      <w:numFmt w:val="decimal"/>
      <w:lvlText w:val="А.%1."/>
      <w:lvlJc w:val="left"/>
      <w:pPr>
        <w:ind w:left="360" w:hanging="360"/>
      </w:pPr>
      <w:rPr>
        <w:rFonts w:hint="default"/>
        <w:b/>
        <w:i w:val="0"/>
        <w:sz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0B200DBA"/>
    <w:multiLevelType w:val="hybridMultilevel"/>
    <w:tmpl w:val="9F4CBB62"/>
    <w:lvl w:ilvl="0">
      <w:start w:val="1"/>
      <w:numFmt w:val="decimal"/>
      <w:lvlText w:val="%1."/>
      <w:lvlJc w:val="left"/>
      <w:pPr>
        <w:ind w:left="644" w:hanging="360"/>
      </w:pPr>
      <w:rPr>
        <w:b w:val="0"/>
        <w:i w:val="0"/>
        <w:strike w:val="0"/>
        <w:color w:val="auto"/>
        <w:sz w:val="24"/>
        <w:szCs w:val="24"/>
      </w:rPr>
    </w:lvl>
    <w:lvl w:ilvl="1" w:tentative="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6">
    <w:nsid w:val="0BA15EFA"/>
    <w:multiLevelType w:val="hybridMultilevel"/>
    <w:tmpl w:val="E092D64A"/>
    <w:lvl w:ilvl="0">
      <w:start w:val="1"/>
      <w:numFmt w:val="decimal"/>
      <w:lvlText w:val="%1."/>
      <w:lvlJc w:val="left"/>
      <w:pPr>
        <w:ind w:left="720" w:hanging="360"/>
      </w:pPr>
      <w:rPr>
        <w:rFonts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C054331"/>
    <w:multiLevelType w:val="hybridMultilevel"/>
    <w:tmpl w:val="E1AC4704"/>
    <w:lvl w:ilvl="0">
      <w:start w:val="1"/>
      <w:numFmt w:val="bullet"/>
      <w:lvlText w:val=""/>
      <w:lvlJc w:val="left"/>
      <w:pPr>
        <w:tabs>
          <w:tab w:val="num" w:pos="720"/>
        </w:tabs>
        <w:ind w:left="720" w:hanging="360"/>
      </w:pPr>
      <w:rPr>
        <w:rFonts w:ascii="Wingdings" w:hAnsi="Wingdings" w:hint="default"/>
        <w:sz w:val="20"/>
        <w:szCs w:val="20"/>
      </w:rPr>
    </w:lvl>
    <w:lvl w:ilvl="1" w:tentative="1">
      <w:start w:val="1"/>
      <w:numFmt w:val="bullet"/>
      <w:lvlText w:val="•"/>
      <w:lvlJc w:val="left"/>
      <w:pPr>
        <w:tabs>
          <w:tab w:val="num" w:pos="1440"/>
        </w:tabs>
        <w:ind w:left="1440" w:hanging="360"/>
      </w:pPr>
      <w:rPr>
        <w:rFonts w:ascii="Arial" w:hAnsi="Arial" w:hint="default"/>
      </w:rPr>
    </w:lvl>
    <w:lvl w:ilvl="2" w:tentative="1">
      <w:start w:val="1"/>
      <w:numFmt w:val="bullet"/>
      <w:lvlText w:val="•"/>
      <w:lvlJc w:val="left"/>
      <w:pPr>
        <w:tabs>
          <w:tab w:val="num" w:pos="2160"/>
        </w:tabs>
        <w:ind w:left="2160" w:hanging="360"/>
      </w:pPr>
      <w:rPr>
        <w:rFonts w:ascii="Arial" w:hAnsi="Arial" w:hint="default"/>
      </w:rPr>
    </w:lvl>
    <w:lvl w:ilvl="3" w:tentative="1">
      <w:start w:val="1"/>
      <w:numFmt w:val="bullet"/>
      <w:lvlText w:val="•"/>
      <w:lvlJc w:val="left"/>
      <w:pPr>
        <w:tabs>
          <w:tab w:val="num" w:pos="2880"/>
        </w:tabs>
        <w:ind w:left="2880" w:hanging="360"/>
      </w:pPr>
      <w:rPr>
        <w:rFonts w:ascii="Arial" w:hAnsi="Arial" w:hint="default"/>
      </w:rPr>
    </w:lvl>
    <w:lvl w:ilvl="4" w:tentative="1">
      <w:start w:val="1"/>
      <w:numFmt w:val="bullet"/>
      <w:lvlText w:val="•"/>
      <w:lvlJc w:val="left"/>
      <w:pPr>
        <w:tabs>
          <w:tab w:val="num" w:pos="3600"/>
        </w:tabs>
        <w:ind w:left="3600" w:hanging="360"/>
      </w:pPr>
      <w:rPr>
        <w:rFonts w:ascii="Arial" w:hAnsi="Arial" w:hint="default"/>
      </w:rPr>
    </w:lvl>
    <w:lvl w:ilvl="5" w:tentative="1">
      <w:start w:val="1"/>
      <w:numFmt w:val="bullet"/>
      <w:lvlText w:val="•"/>
      <w:lvlJc w:val="left"/>
      <w:pPr>
        <w:tabs>
          <w:tab w:val="num" w:pos="4320"/>
        </w:tabs>
        <w:ind w:left="4320" w:hanging="360"/>
      </w:pPr>
      <w:rPr>
        <w:rFonts w:ascii="Arial" w:hAnsi="Arial" w:hint="default"/>
      </w:rPr>
    </w:lvl>
    <w:lvl w:ilvl="6" w:tentative="1">
      <w:start w:val="1"/>
      <w:numFmt w:val="bullet"/>
      <w:lvlText w:val="•"/>
      <w:lvlJc w:val="left"/>
      <w:pPr>
        <w:tabs>
          <w:tab w:val="num" w:pos="5040"/>
        </w:tabs>
        <w:ind w:left="5040" w:hanging="360"/>
      </w:pPr>
      <w:rPr>
        <w:rFonts w:ascii="Arial" w:hAnsi="Arial" w:hint="default"/>
      </w:rPr>
    </w:lvl>
    <w:lvl w:ilvl="7" w:tentative="1">
      <w:start w:val="1"/>
      <w:numFmt w:val="bullet"/>
      <w:lvlText w:val="•"/>
      <w:lvlJc w:val="left"/>
      <w:pPr>
        <w:tabs>
          <w:tab w:val="num" w:pos="5760"/>
        </w:tabs>
        <w:ind w:left="5760" w:hanging="360"/>
      </w:pPr>
      <w:rPr>
        <w:rFonts w:ascii="Arial" w:hAnsi="Arial" w:hint="default"/>
      </w:rPr>
    </w:lvl>
    <w:lvl w:ilvl="8" w:tentative="1">
      <w:start w:val="1"/>
      <w:numFmt w:val="bullet"/>
      <w:lvlText w:val="•"/>
      <w:lvlJc w:val="left"/>
      <w:pPr>
        <w:tabs>
          <w:tab w:val="num" w:pos="6480"/>
        </w:tabs>
        <w:ind w:left="6480" w:hanging="360"/>
      </w:pPr>
      <w:rPr>
        <w:rFonts w:ascii="Arial" w:hAnsi="Arial" w:hint="default"/>
      </w:rPr>
    </w:lvl>
  </w:abstractNum>
  <w:abstractNum w:abstractNumId="8">
    <w:nsid w:val="10B63D0B"/>
    <w:multiLevelType w:val="hybridMultilevel"/>
    <w:tmpl w:val="225EBF46"/>
    <w:lvl w:ilvl="0">
      <w:start w:val="1"/>
      <w:numFmt w:val="decimal"/>
      <w:lvlText w:val="%1."/>
      <w:lvlJc w:val="left"/>
      <w:pPr>
        <w:ind w:left="360" w:hanging="360"/>
      </w:pPr>
      <w:rPr>
        <w:rFonts w:ascii="Times New Roman" w:hAnsi="Times New Roman" w:hint="default"/>
        <w:b/>
        <w:i w:val="0"/>
        <w:caps/>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10D612DF"/>
    <w:multiLevelType w:val="hybridMultilevel"/>
    <w:tmpl w:val="40008EAA"/>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11CD1850"/>
    <w:multiLevelType w:val="hybridMultilevel"/>
    <w:tmpl w:val="9F4CBB62"/>
    <w:lvl w:ilvl="0">
      <w:start w:val="1"/>
      <w:numFmt w:val="decimal"/>
      <w:lvlText w:val="%1."/>
      <w:lvlJc w:val="left"/>
      <w:pPr>
        <w:ind w:left="644" w:hanging="360"/>
      </w:pPr>
      <w:rPr>
        <w:b w:val="0"/>
        <w:i w:val="0"/>
        <w:strike w:val="0"/>
        <w:color w:val="auto"/>
        <w:sz w:val="24"/>
        <w:szCs w:val="24"/>
      </w:rPr>
    </w:lvl>
    <w:lvl w:ilvl="1" w:tentative="1">
      <w:start w:val="1"/>
      <w:numFmt w:val="lowerLetter"/>
      <w:lvlText w:val="%2."/>
      <w:lvlJc w:val="left"/>
      <w:pPr>
        <w:ind w:left="3600" w:hanging="360"/>
      </w:pPr>
    </w:lvl>
    <w:lvl w:ilvl="2" w:tentative="1">
      <w:start w:val="1"/>
      <w:numFmt w:val="lowerRoman"/>
      <w:lvlText w:val="%3."/>
      <w:lvlJc w:val="right"/>
      <w:pPr>
        <w:ind w:left="4320" w:hanging="180"/>
      </w:pPr>
    </w:lvl>
    <w:lvl w:ilvl="3" w:tentative="1">
      <w:start w:val="1"/>
      <w:numFmt w:val="decimal"/>
      <w:lvlText w:val="%4."/>
      <w:lvlJc w:val="left"/>
      <w:pPr>
        <w:ind w:left="5040" w:hanging="360"/>
      </w:pPr>
    </w:lvl>
    <w:lvl w:ilvl="4" w:tentative="1">
      <w:start w:val="1"/>
      <w:numFmt w:val="lowerLetter"/>
      <w:lvlText w:val="%5."/>
      <w:lvlJc w:val="left"/>
      <w:pPr>
        <w:ind w:left="5760" w:hanging="360"/>
      </w:pPr>
    </w:lvl>
    <w:lvl w:ilvl="5" w:tentative="1">
      <w:start w:val="1"/>
      <w:numFmt w:val="lowerRoman"/>
      <w:lvlText w:val="%6."/>
      <w:lvlJc w:val="right"/>
      <w:pPr>
        <w:ind w:left="6480" w:hanging="180"/>
      </w:pPr>
    </w:lvl>
    <w:lvl w:ilvl="6" w:tentative="1">
      <w:start w:val="1"/>
      <w:numFmt w:val="decimal"/>
      <w:lvlText w:val="%7."/>
      <w:lvlJc w:val="left"/>
      <w:pPr>
        <w:ind w:left="7200" w:hanging="360"/>
      </w:pPr>
    </w:lvl>
    <w:lvl w:ilvl="7" w:tentative="1">
      <w:start w:val="1"/>
      <w:numFmt w:val="lowerLetter"/>
      <w:lvlText w:val="%8."/>
      <w:lvlJc w:val="left"/>
      <w:pPr>
        <w:ind w:left="7920" w:hanging="360"/>
      </w:pPr>
    </w:lvl>
    <w:lvl w:ilvl="8" w:tentative="1">
      <w:start w:val="1"/>
      <w:numFmt w:val="lowerRoman"/>
      <w:lvlText w:val="%9."/>
      <w:lvlJc w:val="right"/>
      <w:pPr>
        <w:ind w:left="8640" w:hanging="180"/>
      </w:pPr>
    </w:lvl>
  </w:abstractNum>
  <w:abstractNum w:abstractNumId="11">
    <w:nsid w:val="1641796C"/>
    <w:multiLevelType w:val="multilevel"/>
    <w:tmpl w:val="A6E8B1D0"/>
    <w:lvl w:ilvl="0">
      <w:start w:val="1"/>
      <w:numFmt w:val="decimal"/>
      <w:pStyle w:val="Ueber1"/>
      <w:lvlText w:val="%1"/>
      <w:lvlJc w:val="left"/>
      <w:pPr>
        <w:tabs>
          <w:tab w:val="num" w:pos="567"/>
        </w:tabs>
        <w:ind w:left="567" w:hanging="567"/>
      </w:pPr>
      <w:rPr>
        <w:rFonts w:ascii="Arial" w:hAnsi="Arial" w:hint="default"/>
        <w:b/>
        <w:i w:val="0"/>
        <w:sz w:val="28"/>
        <w:szCs w:val="28"/>
      </w:rPr>
    </w:lvl>
    <w:lvl w:ilvl="1">
      <w:start w:val="1"/>
      <w:numFmt w:val="decimal"/>
      <w:pStyle w:val="Ueber2"/>
      <w:lvlText w:val="%1.%2"/>
      <w:lvlJc w:val="left"/>
      <w:pPr>
        <w:tabs>
          <w:tab w:val="num" w:pos="907"/>
        </w:tabs>
        <w:ind w:left="907" w:hanging="567"/>
      </w:pPr>
      <w:rPr>
        <w:rFonts w:ascii="Arial" w:hAnsi="Arial" w:hint="default"/>
        <w:b/>
        <w:i/>
        <w:sz w:val="28"/>
        <w:szCs w:val="28"/>
      </w:rPr>
    </w:lvl>
    <w:lvl w:ilvl="2">
      <w:start w:val="1"/>
      <w:numFmt w:val="decimal"/>
      <w:pStyle w:val="Ueber3"/>
      <w:lvlText w:val="%1.%2.%3"/>
      <w:lvlJc w:val="left"/>
      <w:pPr>
        <w:tabs>
          <w:tab w:val="num" w:pos="1418"/>
        </w:tabs>
        <w:ind w:left="1418" w:hanging="738"/>
      </w:pPr>
      <w:rPr>
        <w:rFonts w:ascii="Arial" w:hAnsi="Arial" w:hint="default"/>
        <w:b/>
        <w:i w:val="0"/>
        <w:sz w:val="24"/>
        <w:szCs w:val="24"/>
      </w:rPr>
    </w:lvl>
    <w:lvl w:ilvl="3">
      <w:start w:val="1"/>
      <w:numFmt w:val="decimal"/>
      <w:lvlText w:val="%1.%2.%3.%4."/>
      <w:lvlJc w:val="left"/>
      <w:pPr>
        <w:tabs>
          <w:tab w:val="num" w:pos="3220"/>
        </w:tabs>
        <w:ind w:left="2068" w:hanging="648"/>
      </w:pPr>
      <w:rPr>
        <w:rFonts w:hint="default"/>
      </w:rPr>
    </w:lvl>
    <w:lvl w:ilvl="4">
      <w:start w:val="1"/>
      <w:numFmt w:val="decimal"/>
      <w:lvlText w:val="%1.%2.%3.%4.%5."/>
      <w:lvlJc w:val="left"/>
      <w:pPr>
        <w:tabs>
          <w:tab w:val="num" w:pos="3940"/>
        </w:tabs>
        <w:ind w:left="2572" w:hanging="792"/>
      </w:pPr>
      <w:rPr>
        <w:rFonts w:hint="default"/>
      </w:rPr>
    </w:lvl>
    <w:lvl w:ilvl="5">
      <w:start w:val="1"/>
      <w:numFmt w:val="decimal"/>
      <w:lvlText w:val="%1.%2.%3.%4.%5.%6."/>
      <w:lvlJc w:val="left"/>
      <w:pPr>
        <w:tabs>
          <w:tab w:val="num" w:pos="5020"/>
        </w:tabs>
        <w:ind w:left="3076" w:hanging="936"/>
      </w:pPr>
      <w:rPr>
        <w:rFonts w:hint="default"/>
      </w:rPr>
    </w:lvl>
    <w:lvl w:ilvl="6">
      <w:start w:val="1"/>
      <w:numFmt w:val="decimal"/>
      <w:lvlText w:val="%1.%2.%3.%4.%5.%6.%7."/>
      <w:lvlJc w:val="left"/>
      <w:pPr>
        <w:tabs>
          <w:tab w:val="num" w:pos="5740"/>
        </w:tabs>
        <w:ind w:left="3580" w:hanging="1080"/>
      </w:pPr>
      <w:rPr>
        <w:rFonts w:hint="default"/>
      </w:rPr>
    </w:lvl>
    <w:lvl w:ilvl="7">
      <w:start w:val="1"/>
      <w:numFmt w:val="decimal"/>
      <w:lvlText w:val="%1.%2.%3.%4.%5.%6.%7.%8."/>
      <w:lvlJc w:val="left"/>
      <w:pPr>
        <w:tabs>
          <w:tab w:val="num" w:pos="6460"/>
        </w:tabs>
        <w:ind w:left="4084" w:hanging="1224"/>
      </w:pPr>
      <w:rPr>
        <w:rFonts w:hint="default"/>
      </w:rPr>
    </w:lvl>
    <w:lvl w:ilvl="8">
      <w:start w:val="1"/>
      <w:numFmt w:val="decimal"/>
      <w:lvlText w:val="%1.%2.%3.%4.%5.%6.%7.%8.%9."/>
      <w:lvlJc w:val="left"/>
      <w:pPr>
        <w:tabs>
          <w:tab w:val="num" w:pos="7180"/>
        </w:tabs>
        <w:ind w:left="4660" w:hanging="1440"/>
      </w:pPr>
      <w:rPr>
        <w:rFonts w:hint="default"/>
      </w:rPr>
    </w:lvl>
  </w:abstractNum>
  <w:abstractNum w:abstractNumId="12">
    <w:nsid w:val="1A40336D"/>
    <w:multiLevelType w:val="hybridMultilevel"/>
    <w:tmpl w:val="2AC2B3BC"/>
    <w:lvl w:ilvl="0">
      <w:start w:val="1"/>
      <w:numFmt w:val="decimal"/>
      <w:lvlText w:val="%1."/>
      <w:lvlJc w:val="left"/>
      <w:pPr>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02C0287"/>
    <w:multiLevelType w:val="hybridMultilevel"/>
    <w:tmpl w:val="592EC7FA"/>
    <w:lvl w:ilvl="0">
      <w:start w:val="1"/>
      <w:numFmt w:val="decimal"/>
      <w:lvlText w:val="%1."/>
      <w:lvlJc w:val="left"/>
      <w:pPr>
        <w:ind w:left="720" w:hanging="360"/>
      </w:pPr>
      <w:rPr>
        <w:rFonts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62341FD"/>
    <w:multiLevelType w:val="hybridMultilevel"/>
    <w:tmpl w:val="A6A0C41A"/>
    <w:lvl w:ilvl="0">
      <w:start w:val="1"/>
      <w:numFmt w:val="bullet"/>
      <w:lvlText w:val=""/>
      <w:lvlJc w:val="left"/>
      <w:pPr>
        <w:tabs>
          <w:tab w:val="num" w:pos="720"/>
        </w:tabs>
        <w:ind w:left="720" w:hanging="360"/>
      </w:pPr>
      <w:rPr>
        <w:rFonts w:ascii="Wingdings" w:hAnsi="Wingdings" w:hint="default"/>
        <w:color w:val="auto"/>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34A43792"/>
    <w:multiLevelType w:val="hybridMultilevel"/>
    <w:tmpl w:val="8A066B0C"/>
    <w:lvl w:ilvl="0">
      <w:start w:val="1"/>
      <w:numFmt w:val="upperLetter"/>
      <w:pStyle w:val="Heading2"/>
      <w:lvlText w:val="%1."/>
      <w:lvlJc w:val="left"/>
      <w:pPr>
        <w:ind w:left="720" w:hanging="360"/>
      </w:pPr>
      <w:rPr>
        <w:rFonts w:hint="default"/>
        <w:b/>
        <w:i w:val="0"/>
        <w:caps/>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C332E86"/>
    <w:multiLevelType w:val="hybridMultilevel"/>
    <w:tmpl w:val="29A4D446"/>
    <w:lvl w:ilvl="0">
      <w:start w:val="1"/>
      <w:numFmt w:val="decimal"/>
      <w:lvlText w:val="E.%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C857D1E"/>
    <w:multiLevelType w:val="hybridMultilevel"/>
    <w:tmpl w:val="6848FF8C"/>
    <w:lvl w:ilvl="0">
      <w:start w:val="1"/>
      <w:numFmt w:val="upperLetter"/>
      <w:lvlText w:val="%1."/>
      <w:lvlJc w:val="left"/>
      <w:pPr>
        <w:ind w:left="360" w:hanging="360"/>
      </w:pPr>
      <w:rPr>
        <w:b/>
        <w:bCs w:val="0"/>
        <w:i w:val="0"/>
        <w:iCs w:val="0"/>
        <w:caps w:val="0"/>
        <w:smallCaps w:val="0"/>
        <w:strike w:val="0"/>
        <w:dstrike w:val="0"/>
        <w:noProof w:val="0"/>
        <w:vanish w:val="0"/>
        <w:color w:val="auto"/>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cap="rnd">
          <w14:noFill/>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decimal"/>
      <w:lvlText w:val="%2."/>
      <w:lvlJc w:val="left"/>
      <w:pPr>
        <w:ind w:left="1530" w:hanging="810"/>
      </w:pPr>
      <w:rPr>
        <w:rFonts w:hint="default"/>
        <w:color w:val="auto"/>
      </w:r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8">
    <w:nsid w:val="3E476EFC"/>
    <w:multiLevelType w:val="hybridMultilevel"/>
    <w:tmpl w:val="4BDED67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nsid w:val="3EA3391C"/>
    <w:multiLevelType w:val="hybridMultilevel"/>
    <w:tmpl w:val="00FE5B86"/>
    <w:lvl w:ilvl="0">
      <w:start w:val="1"/>
      <w:numFmt w:val="decimal"/>
      <w:lvlText w:val="D.%1."/>
      <w:lvlJc w:val="righ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44966A56"/>
    <w:multiLevelType w:val="hybridMultilevel"/>
    <w:tmpl w:val="881AC37E"/>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21">
    <w:nsid w:val="5897556F"/>
    <w:multiLevelType w:val="hybridMultilevel"/>
    <w:tmpl w:val="878EB484"/>
    <w:lvl w:ilvl="0">
      <w:start w:val="1"/>
      <w:numFmt w:val="decimal"/>
      <w:lvlText w:val="B.%1."/>
      <w:lvlJc w:val="left"/>
      <w:pPr>
        <w:ind w:left="360" w:hanging="360"/>
      </w:pPr>
      <w:rPr>
        <w:rFonts w:hint="default"/>
        <w:b/>
        <w:i w:val="0"/>
        <w:sz w:val="22"/>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2">
    <w:nsid w:val="589B035E"/>
    <w:multiLevelType w:val="hybridMultilevel"/>
    <w:tmpl w:val="872411B6"/>
    <w:lvl w:ilvl="0">
      <w:start w:val="1"/>
      <w:numFmt w:val="decimal"/>
      <w:lvlText w:val="F.%1."/>
      <w:lvlJc w:val="right"/>
      <w:pPr>
        <w:ind w:left="108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F2256B1"/>
    <w:multiLevelType w:val="hybridMultilevel"/>
    <w:tmpl w:val="513AB192"/>
    <w:lvl w:ilvl="0">
      <w:start w:val="1"/>
      <w:numFmt w:val="decimal"/>
      <w:lvlText w:val="%1."/>
      <w:lvlJc w:val="left"/>
      <w:pPr>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4CE6C3C"/>
    <w:multiLevelType w:val="hybridMultilevel"/>
    <w:tmpl w:val="F03CCEC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5">
    <w:nsid w:val="67974992"/>
    <w:multiLevelType w:val="hybridMultilevel"/>
    <w:tmpl w:val="41D8578E"/>
    <w:lvl w:ilvl="0">
      <w:start w:val="0"/>
      <w:numFmt w:val="bullet"/>
      <w:lvlText w:val="-"/>
      <w:lvlJc w:val="left"/>
      <w:pPr>
        <w:ind w:left="1080" w:hanging="360"/>
      </w:pPr>
      <w:rPr>
        <w:rFonts w:ascii="Times New Roman" w:eastAsia="Times New Roman" w:hAnsi="Times New Roman" w:cs="Times New Roman"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6">
    <w:nsid w:val="68E1416D"/>
    <w:multiLevelType w:val="hybridMultilevel"/>
    <w:tmpl w:val="92565EC2"/>
    <w:lvl w:ilvl="0">
      <w:start w:val="1"/>
      <w:numFmt w:val="decimal"/>
      <w:lvlText w:val="%1."/>
      <w:lvlJc w:val="left"/>
      <w:pPr>
        <w:ind w:left="473" w:hanging="360"/>
      </w:pPr>
      <w:rPr>
        <w:b w:val="0"/>
        <w:color w:val="auto"/>
      </w:rPr>
    </w:lvl>
    <w:lvl w:ilvl="1" w:tentative="1">
      <w:start w:val="1"/>
      <w:numFmt w:val="lowerLetter"/>
      <w:lvlText w:val="%2."/>
      <w:lvlJc w:val="left"/>
      <w:pPr>
        <w:ind w:left="1193" w:hanging="360"/>
      </w:pPr>
    </w:lvl>
    <w:lvl w:ilvl="2" w:tentative="1">
      <w:start w:val="1"/>
      <w:numFmt w:val="lowerRoman"/>
      <w:lvlText w:val="%3."/>
      <w:lvlJc w:val="right"/>
      <w:pPr>
        <w:ind w:left="1913" w:hanging="180"/>
      </w:pPr>
    </w:lvl>
    <w:lvl w:ilvl="3" w:tentative="1">
      <w:start w:val="1"/>
      <w:numFmt w:val="decimal"/>
      <w:lvlText w:val="%4."/>
      <w:lvlJc w:val="left"/>
      <w:pPr>
        <w:ind w:left="2633" w:hanging="360"/>
      </w:pPr>
    </w:lvl>
    <w:lvl w:ilvl="4" w:tentative="1">
      <w:start w:val="1"/>
      <w:numFmt w:val="lowerLetter"/>
      <w:lvlText w:val="%5."/>
      <w:lvlJc w:val="left"/>
      <w:pPr>
        <w:ind w:left="3353" w:hanging="360"/>
      </w:pPr>
    </w:lvl>
    <w:lvl w:ilvl="5" w:tentative="1">
      <w:start w:val="1"/>
      <w:numFmt w:val="lowerRoman"/>
      <w:lvlText w:val="%6."/>
      <w:lvlJc w:val="right"/>
      <w:pPr>
        <w:ind w:left="4073" w:hanging="180"/>
      </w:pPr>
    </w:lvl>
    <w:lvl w:ilvl="6" w:tentative="1">
      <w:start w:val="1"/>
      <w:numFmt w:val="decimal"/>
      <w:lvlText w:val="%7."/>
      <w:lvlJc w:val="left"/>
      <w:pPr>
        <w:ind w:left="4793" w:hanging="360"/>
      </w:pPr>
    </w:lvl>
    <w:lvl w:ilvl="7" w:tentative="1">
      <w:start w:val="1"/>
      <w:numFmt w:val="lowerLetter"/>
      <w:lvlText w:val="%8."/>
      <w:lvlJc w:val="left"/>
      <w:pPr>
        <w:ind w:left="5513" w:hanging="360"/>
      </w:pPr>
    </w:lvl>
    <w:lvl w:ilvl="8" w:tentative="1">
      <w:start w:val="1"/>
      <w:numFmt w:val="lowerRoman"/>
      <w:lvlText w:val="%9."/>
      <w:lvlJc w:val="right"/>
      <w:pPr>
        <w:ind w:left="6233" w:hanging="180"/>
      </w:pPr>
    </w:lvl>
  </w:abstractNum>
  <w:abstractNum w:abstractNumId="27">
    <w:nsid w:val="6AC42E75"/>
    <w:multiLevelType w:val="multilevel"/>
    <w:tmpl w:val="0402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5F8043C"/>
    <w:multiLevelType w:val="hybridMultilevel"/>
    <w:tmpl w:val="63BA704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76E20727"/>
    <w:multiLevelType w:val="hybridMultilevel"/>
    <w:tmpl w:val="B960482A"/>
    <w:lvl w:ilvl="0">
      <w:start w:val="1"/>
      <w:numFmt w:val="decimal"/>
      <w:lvlText w:val="%1."/>
      <w:lvlJc w:val="left"/>
      <w:pPr>
        <w:ind w:left="720" w:hanging="360"/>
      </w:pPr>
    </w:lvl>
    <w:lvl w:ilvl="1">
      <w:start w:val="1"/>
      <w:numFmt w:val="bullet"/>
      <w:lvlText w:val=""/>
      <w:lvlJc w:val="left"/>
      <w:pPr>
        <w:tabs>
          <w:tab w:val="num" w:pos="1440"/>
        </w:tabs>
        <w:ind w:left="1440" w:hanging="360"/>
      </w:pPr>
      <w:rPr>
        <w:rFonts w:ascii="Wingdings" w:hAnsi="Wingdings" w:hint="default"/>
        <w:sz w:val="20"/>
        <w:szCs w:val="20"/>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77182395"/>
    <w:multiLevelType w:val="hybridMultilevel"/>
    <w:tmpl w:val="11B6DC48"/>
    <w:lvl w:ilvl="0">
      <w:start w:val="1"/>
      <w:numFmt w:val="decimal"/>
      <w:lvlText w:val="G.%1."/>
      <w:lvlJc w:val="righ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7A920322"/>
    <w:multiLevelType w:val="hybridMultilevel"/>
    <w:tmpl w:val="9742399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1"/>
  </w:num>
  <w:num w:numId="2">
    <w:abstractNumId w:val="5"/>
  </w:num>
  <w:num w:numId="3">
    <w:abstractNumId w:val="29"/>
  </w:num>
  <w:num w:numId="4">
    <w:abstractNumId w:val="12"/>
  </w:num>
  <w:num w:numId="5">
    <w:abstractNumId w:val="24"/>
  </w:num>
  <w:num w:numId="6">
    <w:abstractNumId w:val="23"/>
  </w:num>
  <w:num w:numId="7">
    <w:abstractNumId w:val="17"/>
  </w:num>
  <w:num w:numId="8">
    <w:abstractNumId w:val="4"/>
  </w:num>
  <w:num w:numId="9">
    <w:abstractNumId w:val="1"/>
  </w:num>
  <w:num w:numId="10">
    <w:abstractNumId w:val="19"/>
  </w:num>
  <w:num w:numId="11">
    <w:abstractNumId w:val="16"/>
  </w:num>
  <w:num w:numId="12">
    <w:abstractNumId w:val="30"/>
  </w:num>
  <w:num w:numId="13">
    <w:abstractNumId w:val="22"/>
  </w:num>
  <w:num w:numId="14">
    <w:abstractNumId w:val="13"/>
  </w:num>
  <w:num w:numId="15">
    <w:abstractNumId w:val="6"/>
  </w:num>
  <w:num w:numId="16">
    <w:abstractNumId w:val="25"/>
  </w:num>
  <w:num w:numId="17">
    <w:abstractNumId w:val="20"/>
  </w:num>
  <w:num w:numId="18">
    <w:abstractNumId w:val="9"/>
  </w:num>
  <w:num w:numId="19">
    <w:abstractNumId w:val="15"/>
  </w:num>
  <w:num w:numId="20">
    <w:abstractNumId w:val="28"/>
  </w:num>
  <w:num w:numId="21">
    <w:abstractNumId w:val="7"/>
  </w:num>
  <w:num w:numId="22">
    <w:abstractNumId w:val="8"/>
  </w:num>
  <w:num w:numId="23">
    <w:abstractNumId w:val="14"/>
  </w:num>
  <w:num w:numId="24">
    <w:abstractNumId w:val="3"/>
  </w:num>
  <w:num w:numId="25">
    <w:abstractNumId w:val="26"/>
  </w:num>
  <w:num w:numId="26">
    <w:abstractNumId w:val="21"/>
  </w:num>
  <w:num w:numId="27">
    <w:abstractNumId w:val="18"/>
  </w:num>
  <w:num w:numId="28">
    <w:abstractNumId w:val="31"/>
  </w:num>
  <w:num w:numId="29">
    <w:abstractNumId w:val="27"/>
  </w:num>
  <w:num w:numId="30">
    <w:abstractNumId w:val="2"/>
  </w:num>
  <w:num w:numId="31">
    <w:abstractNumId w:val="1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08"/>
  <w:hyphenationZone w:val="425"/>
  <w:drawingGridHorizontalSpacing w:val="57"/>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AB1"/>
    <w:rsid w:val="00000CF5"/>
    <w:rsid w:val="00000D50"/>
    <w:rsid w:val="00001605"/>
    <w:rsid w:val="00002E84"/>
    <w:rsid w:val="0000358A"/>
    <w:rsid w:val="000035E0"/>
    <w:rsid w:val="00003B9E"/>
    <w:rsid w:val="00003E72"/>
    <w:rsid w:val="00004383"/>
    <w:rsid w:val="000046C5"/>
    <w:rsid w:val="000055DE"/>
    <w:rsid w:val="00005BA5"/>
    <w:rsid w:val="00005BD1"/>
    <w:rsid w:val="0000641C"/>
    <w:rsid w:val="00006A87"/>
    <w:rsid w:val="00006B26"/>
    <w:rsid w:val="00007523"/>
    <w:rsid w:val="00007D63"/>
    <w:rsid w:val="00011421"/>
    <w:rsid w:val="0001162D"/>
    <w:rsid w:val="00011768"/>
    <w:rsid w:val="00013943"/>
    <w:rsid w:val="00014A70"/>
    <w:rsid w:val="00014CFC"/>
    <w:rsid w:val="00015011"/>
    <w:rsid w:val="00015036"/>
    <w:rsid w:val="0001529F"/>
    <w:rsid w:val="000154D4"/>
    <w:rsid w:val="00015616"/>
    <w:rsid w:val="0001569F"/>
    <w:rsid w:val="00015F82"/>
    <w:rsid w:val="00020248"/>
    <w:rsid w:val="00020A1B"/>
    <w:rsid w:val="000216DB"/>
    <w:rsid w:val="00021991"/>
    <w:rsid w:val="00021A71"/>
    <w:rsid w:val="00023AA5"/>
    <w:rsid w:val="00023C20"/>
    <w:rsid w:val="00024511"/>
    <w:rsid w:val="00024521"/>
    <w:rsid w:val="0002455F"/>
    <w:rsid w:val="0002668A"/>
    <w:rsid w:val="00027235"/>
    <w:rsid w:val="00031195"/>
    <w:rsid w:val="00031975"/>
    <w:rsid w:val="00031EBC"/>
    <w:rsid w:val="000326F2"/>
    <w:rsid w:val="00032A04"/>
    <w:rsid w:val="000332DF"/>
    <w:rsid w:val="0003444B"/>
    <w:rsid w:val="00034DA5"/>
    <w:rsid w:val="00036021"/>
    <w:rsid w:val="0003637A"/>
    <w:rsid w:val="00036A98"/>
    <w:rsid w:val="00037003"/>
    <w:rsid w:val="000370DC"/>
    <w:rsid w:val="000412B8"/>
    <w:rsid w:val="0004218E"/>
    <w:rsid w:val="00042440"/>
    <w:rsid w:val="000427BD"/>
    <w:rsid w:val="00044633"/>
    <w:rsid w:val="000462E5"/>
    <w:rsid w:val="000466B5"/>
    <w:rsid w:val="00046ABF"/>
    <w:rsid w:val="00047195"/>
    <w:rsid w:val="000479FE"/>
    <w:rsid w:val="00050167"/>
    <w:rsid w:val="0005043D"/>
    <w:rsid w:val="0005067B"/>
    <w:rsid w:val="00050AE0"/>
    <w:rsid w:val="000519E6"/>
    <w:rsid w:val="00054970"/>
    <w:rsid w:val="00055A16"/>
    <w:rsid w:val="0005637F"/>
    <w:rsid w:val="000565A8"/>
    <w:rsid w:val="00057143"/>
    <w:rsid w:val="00057BF3"/>
    <w:rsid w:val="00060363"/>
    <w:rsid w:val="0006190E"/>
    <w:rsid w:val="00061E9C"/>
    <w:rsid w:val="000622E7"/>
    <w:rsid w:val="0006255B"/>
    <w:rsid w:val="00062678"/>
    <w:rsid w:val="000631C8"/>
    <w:rsid w:val="00063624"/>
    <w:rsid w:val="00063BED"/>
    <w:rsid w:val="00064402"/>
    <w:rsid w:val="00065296"/>
    <w:rsid w:val="00066241"/>
    <w:rsid w:val="00066398"/>
    <w:rsid w:val="00066F48"/>
    <w:rsid w:val="0006707B"/>
    <w:rsid w:val="000673A2"/>
    <w:rsid w:val="0006782C"/>
    <w:rsid w:val="00067E5B"/>
    <w:rsid w:val="00070394"/>
    <w:rsid w:val="000707EB"/>
    <w:rsid w:val="00070A7D"/>
    <w:rsid w:val="00071D50"/>
    <w:rsid w:val="000745DA"/>
    <w:rsid w:val="000746DA"/>
    <w:rsid w:val="00074AD2"/>
    <w:rsid w:val="00074F78"/>
    <w:rsid w:val="00076608"/>
    <w:rsid w:val="00080843"/>
    <w:rsid w:val="00080CED"/>
    <w:rsid w:val="00080F4F"/>
    <w:rsid w:val="00081C19"/>
    <w:rsid w:val="000832C2"/>
    <w:rsid w:val="000833B1"/>
    <w:rsid w:val="00083AA5"/>
    <w:rsid w:val="00084411"/>
    <w:rsid w:val="0008485A"/>
    <w:rsid w:val="0008617B"/>
    <w:rsid w:val="000863AA"/>
    <w:rsid w:val="000865EC"/>
    <w:rsid w:val="0008681E"/>
    <w:rsid w:val="00086A78"/>
    <w:rsid w:val="00086CDE"/>
    <w:rsid w:val="00092565"/>
    <w:rsid w:val="00093173"/>
    <w:rsid w:val="00094F9B"/>
    <w:rsid w:val="0009507E"/>
    <w:rsid w:val="000956BC"/>
    <w:rsid w:val="00095995"/>
    <w:rsid w:val="00096136"/>
    <w:rsid w:val="0009633F"/>
    <w:rsid w:val="0009636A"/>
    <w:rsid w:val="00096766"/>
    <w:rsid w:val="00096FCB"/>
    <w:rsid w:val="00097217"/>
    <w:rsid w:val="000A06A1"/>
    <w:rsid w:val="000A2946"/>
    <w:rsid w:val="000A2F66"/>
    <w:rsid w:val="000A32CD"/>
    <w:rsid w:val="000A39DF"/>
    <w:rsid w:val="000A4CE9"/>
    <w:rsid w:val="000A503B"/>
    <w:rsid w:val="000A5598"/>
    <w:rsid w:val="000A5B5D"/>
    <w:rsid w:val="000A60AA"/>
    <w:rsid w:val="000A662D"/>
    <w:rsid w:val="000A6897"/>
    <w:rsid w:val="000A68E5"/>
    <w:rsid w:val="000A6CB0"/>
    <w:rsid w:val="000A6FCF"/>
    <w:rsid w:val="000A723D"/>
    <w:rsid w:val="000A74D4"/>
    <w:rsid w:val="000A767D"/>
    <w:rsid w:val="000B11D3"/>
    <w:rsid w:val="000B19E5"/>
    <w:rsid w:val="000B1A57"/>
    <w:rsid w:val="000B1B65"/>
    <w:rsid w:val="000B23A2"/>
    <w:rsid w:val="000B245B"/>
    <w:rsid w:val="000B2E0D"/>
    <w:rsid w:val="000B5EF7"/>
    <w:rsid w:val="000B657D"/>
    <w:rsid w:val="000B6ED6"/>
    <w:rsid w:val="000B7837"/>
    <w:rsid w:val="000B7D2F"/>
    <w:rsid w:val="000C017D"/>
    <w:rsid w:val="000C120E"/>
    <w:rsid w:val="000C18E2"/>
    <w:rsid w:val="000C1EA5"/>
    <w:rsid w:val="000C2055"/>
    <w:rsid w:val="000C38CF"/>
    <w:rsid w:val="000C3D7E"/>
    <w:rsid w:val="000C3DFD"/>
    <w:rsid w:val="000C4126"/>
    <w:rsid w:val="000C5DDC"/>
    <w:rsid w:val="000C6ABE"/>
    <w:rsid w:val="000C6D52"/>
    <w:rsid w:val="000C70F0"/>
    <w:rsid w:val="000C7C79"/>
    <w:rsid w:val="000D06A5"/>
    <w:rsid w:val="000D0DDF"/>
    <w:rsid w:val="000D0F99"/>
    <w:rsid w:val="000D307C"/>
    <w:rsid w:val="000D33A3"/>
    <w:rsid w:val="000D33DA"/>
    <w:rsid w:val="000D37E3"/>
    <w:rsid w:val="000D391D"/>
    <w:rsid w:val="000D3B95"/>
    <w:rsid w:val="000D3D64"/>
    <w:rsid w:val="000D4FA8"/>
    <w:rsid w:val="000D51F2"/>
    <w:rsid w:val="000D53A7"/>
    <w:rsid w:val="000D57CF"/>
    <w:rsid w:val="000D5A10"/>
    <w:rsid w:val="000D66F4"/>
    <w:rsid w:val="000D698C"/>
    <w:rsid w:val="000D6B61"/>
    <w:rsid w:val="000D6C3A"/>
    <w:rsid w:val="000E02B2"/>
    <w:rsid w:val="000E0FCF"/>
    <w:rsid w:val="000E1268"/>
    <w:rsid w:val="000E15B5"/>
    <w:rsid w:val="000E1BBF"/>
    <w:rsid w:val="000E2C6B"/>
    <w:rsid w:val="000E2F0C"/>
    <w:rsid w:val="000E3060"/>
    <w:rsid w:val="000E3930"/>
    <w:rsid w:val="000E396E"/>
    <w:rsid w:val="000E55C7"/>
    <w:rsid w:val="000E6FAE"/>
    <w:rsid w:val="000F0482"/>
    <w:rsid w:val="000F0E40"/>
    <w:rsid w:val="000F1C62"/>
    <w:rsid w:val="000F1E14"/>
    <w:rsid w:val="000F2743"/>
    <w:rsid w:val="000F29D7"/>
    <w:rsid w:val="000F315C"/>
    <w:rsid w:val="000F3627"/>
    <w:rsid w:val="000F4208"/>
    <w:rsid w:val="000F4333"/>
    <w:rsid w:val="000F4EF7"/>
    <w:rsid w:val="000F4FD2"/>
    <w:rsid w:val="000F5958"/>
    <w:rsid w:val="000F61E8"/>
    <w:rsid w:val="000F6458"/>
    <w:rsid w:val="000F6C03"/>
    <w:rsid w:val="000F7195"/>
    <w:rsid w:val="000F75B4"/>
    <w:rsid w:val="000F7C9F"/>
    <w:rsid w:val="001006BC"/>
    <w:rsid w:val="00100994"/>
    <w:rsid w:val="00100CE3"/>
    <w:rsid w:val="0010138C"/>
    <w:rsid w:val="00101484"/>
    <w:rsid w:val="00102380"/>
    <w:rsid w:val="00102ADE"/>
    <w:rsid w:val="00103759"/>
    <w:rsid w:val="001047D7"/>
    <w:rsid w:val="001051A5"/>
    <w:rsid w:val="00105CB3"/>
    <w:rsid w:val="001066CE"/>
    <w:rsid w:val="00107D2D"/>
    <w:rsid w:val="00110593"/>
    <w:rsid w:val="00110EE4"/>
    <w:rsid w:val="001111C6"/>
    <w:rsid w:val="001132B7"/>
    <w:rsid w:val="00114311"/>
    <w:rsid w:val="00115C62"/>
    <w:rsid w:val="0011604B"/>
    <w:rsid w:val="00117A29"/>
    <w:rsid w:val="00120F96"/>
    <w:rsid w:val="00121095"/>
    <w:rsid w:val="0012148D"/>
    <w:rsid w:val="00122E54"/>
    <w:rsid w:val="0012404A"/>
    <w:rsid w:val="00124811"/>
    <w:rsid w:val="001248BB"/>
    <w:rsid w:val="00124D88"/>
    <w:rsid w:val="00125538"/>
    <w:rsid w:val="00126699"/>
    <w:rsid w:val="00126918"/>
    <w:rsid w:val="00126CBE"/>
    <w:rsid w:val="00130720"/>
    <w:rsid w:val="00130A00"/>
    <w:rsid w:val="001314BB"/>
    <w:rsid w:val="00132376"/>
    <w:rsid w:val="001339E9"/>
    <w:rsid w:val="00133A1E"/>
    <w:rsid w:val="00133BE8"/>
    <w:rsid w:val="00134538"/>
    <w:rsid w:val="00135BC0"/>
    <w:rsid w:val="00135C21"/>
    <w:rsid w:val="00135EE0"/>
    <w:rsid w:val="00136323"/>
    <w:rsid w:val="001373EB"/>
    <w:rsid w:val="001379CD"/>
    <w:rsid w:val="00137A73"/>
    <w:rsid w:val="00140E15"/>
    <w:rsid w:val="00141625"/>
    <w:rsid w:val="001426FF"/>
    <w:rsid w:val="00142D9C"/>
    <w:rsid w:val="00143464"/>
    <w:rsid w:val="001434EE"/>
    <w:rsid w:val="001437BF"/>
    <w:rsid w:val="0014410A"/>
    <w:rsid w:val="00144745"/>
    <w:rsid w:val="0014499E"/>
    <w:rsid w:val="00145930"/>
    <w:rsid w:val="0014695B"/>
    <w:rsid w:val="00150B1C"/>
    <w:rsid w:val="00151A52"/>
    <w:rsid w:val="00151BE1"/>
    <w:rsid w:val="00151CDA"/>
    <w:rsid w:val="00151E08"/>
    <w:rsid w:val="00151E78"/>
    <w:rsid w:val="001537E0"/>
    <w:rsid w:val="00153804"/>
    <w:rsid w:val="00153CBA"/>
    <w:rsid w:val="00153DF1"/>
    <w:rsid w:val="0015624F"/>
    <w:rsid w:val="001572ED"/>
    <w:rsid w:val="0015734A"/>
    <w:rsid w:val="001623A6"/>
    <w:rsid w:val="00163866"/>
    <w:rsid w:val="001641C9"/>
    <w:rsid w:val="001651DF"/>
    <w:rsid w:val="001679A2"/>
    <w:rsid w:val="00167AA1"/>
    <w:rsid w:val="00167B21"/>
    <w:rsid w:val="00170342"/>
    <w:rsid w:val="0017230B"/>
    <w:rsid w:val="00172A53"/>
    <w:rsid w:val="00172C66"/>
    <w:rsid w:val="001734ED"/>
    <w:rsid w:val="0017370C"/>
    <w:rsid w:val="00174C8E"/>
    <w:rsid w:val="001752AE"/>
    <w:rsid w:val="001754C7"/>
    <w:rsid w:val="00175733"/>
    <w:rsid w:val="00176030"/>
    <w:rsid w:val="00177B30"/>
    <w:rsid w:val="0018013A"/>
    <w:rsid w:val="001807A6"/>
    <w:rsid w:val="00180C2A"/>
    <w:rsid w:val="00181907"/>
    <w:rsid w:val="00181A33"/>
    <w:rsid w:val="00181BE3"/>
    <w:rsid w:val="00181DD1"/>
    <w:rsid w:val="00182603"/>
    <w:rsid w:val="00182DF8"/>
    <w:rsid w:val="0018344E"/>
    <w:rsid w:val="0018377B"/>
    <w:rsid w:val="00183A26"/>
    <w:rsid w:val="00183EE7"/>
    <w:rsid w:val="00185D46"/>
    <w:rsid w:val="001866AB"/>
    <w:rsid w:val="00186874"/>
    <w:rsid w:val="00186968"/>
    <w:rsid w:val="0018718E"/>
    <w:rsid w:val="001906CF"/>
    <w:rsid w:val="00192D46"/>
    <w:rsid w:val="0019349D"/>
    <w:rsid w:val="00193947"/>
    <w:rsid w:val="00194B12"/>
    <w:rsid w:val="00194CB9"/>
    <w:rsid w:val="00195923"/>
    <w:rsid w:val="00196692"/>
    <w:rsid w:val="00197C82"/>
    <w:rsid w:val="00197DD9"/>
    <w:rsid w:val="001A0CAF"/>
    <w:rsid w:val="001A0DC7"/>
    <w:rsid w:val="001A14B8"/>
    <w:rsid w:val="001A18AE"/>
    <w:rsid w:val="001A1D88"/>
    <w:rsid w:val="001A2072"/>
    <w:rsid w:val="001A2608"/>
    <w:rsid w:val="001A2C43"/>
    <w:rsid w:val="001A2D93"/>
    <w:rsid w:val="001A2F5E"/>
    <w:rsid w:val="001A41AC"/>
    <w:rsid w:val="001A5379"/>
    <w:rsid w:val="001B0B7D"/>
    <w:rsid w:val="001B10FA"/>
    <w:rsid w:val="001B1349"/>
    <w:rsid w:val="001B1C85"/>
    <w:rsid w:val="001B27C8"/>
    <w:rsid w:val="001B3120"/>
    <w:rsid w:val="001B378E"/>
    <w:rsid w:val="001B402C"/>
    <w:rsid w:val="001B4691"/>
    <w:rsid w:val="001B4883"/>
    <w:rsid w:val="001B48DF"/>
    <w:rsid w:val="001B53DE"/>
    <w:rsid w:val="001B546D"/>
    <w:rsid w:val="001B635A"/>
    <w:rsid w:val="001B65CA"/>
    <w:rsid w:val="001C0040"/>
    <w:rsid w:val="001C028A"/>
    <w:rsid w:val="001C1BAF"/>
    <w:rsid w:val="001C204F"/>
    <w:rsid w:val="001C28AC"/>
    <w:rsid w:val="001C411D"/>
    <w:rsid w:val="001C546E"/>
    <w:rsid w:val="001C5529"/>
    <w:rsid w:val="001C56E9"/>
    <w:rsid w:val="001C67BE"/>
    <w:rsid w:val="001C6878"/>
    <w:rsid w:val="001C74C6"/>
    <w:rsid w:val="001C78D3"/>
    <w:rsid w:val="001D01F3"/>
    <w:rsid w:val="001D0DE9"/>
    <w:rsid w:val="001D1439"/>
    <w:rsid w:val="001D1AFD"/>
    <w:rsid w:val="001D2882"/>
    <w:rsid w:val="001D34E4"/>
    <w:rsid w:val="001D48F6"/>
    <w:rsid w:val="001D5983"/>
    <w:rsid w:val="001D6483"/>
    <w:rsid w:val="001D70B9"/>
    <w:rsid w:val="001D7DE7"/>
    <w:rsid w:val="001E178C"/>
    <w:rsid w:val="001E1F73"/>
    <w:rsid w:val="001E3132"/>
    <w:rsid w:val="001E328E"/>
    <w:rsid w:val="001E33F2"/>
    <w:rsid w:val="001E4C47"/>
    <w:rsid w:val="001E4DC7"/>
    <w:rsid w:val="001E523F"/>
    <w:rsid w:val="001E5FFE"/>
    <w:rsid w:val="001E7FA2"/>
    <w:rsid w:val="001F231B"/>
    <w:rsid w:val="001F331D"/>
    <w:rsid w:val="001F4880"/>
    <w:rsid w:val="001F520E"/>
    <w:rsid w:val="001F54AA"/>
    <w:rsid w:val="001F627D"/>
    <w:rsid w:val="001F62AF"/>
    <w:rsid w:val="001F6363"/>
    <w:rsid w:val="001F6C32"/>
    <w:rsid w:val="001F7867"/>
    <w:rsid w:val="0020094B"/>
    <w:rsid w:val="00200B42"/>
    <w:rsid w:val="00200BF7"/>
    <w:rsid w:val="00201C13"/>
    <w:rsid w:val="00202C27"/>
    <w:rsid w:val="002034C5"/>
    <w:rsid w:val="002037E0"/>
    <w:rsid w:val="002037E9"/>
    <w:rsid w:val="0020428C"/>
    <w:rsid w:val="0020542B"/>
    <w:rsid w:val="00205EDF"/>
    <w:rsid w:val="00207502"/>
    <w:rsid w:val="00207E02"/>
    <w:rsid w:val="0021007A"/>
    <w:rsid w:val="00210420"/>
    <w:rsid w:val="00210E4E"/>
    <w:rsid w:val="00211303"/>
    <w:rsid w:val="00211C36"/>
    <w:rsid w:val="00212095"/>
    <w:rsid w:val="00212F34"/>
    <w:rsid w:val="00213211"/>
    <w:rsid w:val="0021341B"/>
    <w:rsid w:val="0021374A"/>
    <w:rsid w:val="00215C8B"/>
    <w:rsid w:val="00216F17"/>
    <w:rsid w:val="00217A1E"/>
    <w:rsid w:val="00217BED"/>
    <w:rsid w:val="00220A3C"/>
    <w:rsid w:val="002216A9"/>
    <w:rsid w:val="00221F11"/>
    <w:rsid w:val="00222410"/>
    <w:rsid w:val="00222B32"/>
    <w:rsid w:val="00222D2C"/>
    <w:rsid w:val="00222F1A"/>
    <w:rsid w:val="00224054"/>
    <w:rsid w:val="002258BA"/>
    <w:rsid w:val="00226C47"/>
    <w:rsid w:val="00227340"/>
    <w:rsid w:val="00230FA4"/>
    <w:rsid w:val="002316DE"/>
    <w:rsid w:val="00231FFC"/>
    <w:rsid w:val="00232DB1"/>
    <w:rsid w:val="00233B20"/>
    <w:rsid w:val="00233DAF"/>
    <w:rsid w:val="0023463A"/>
    <w:rsid w:val="00234C50"/>
    <w:rsid w:val="00235704"/>
    <w:rsid w:val="002359CC"/>
    <w:rsid w:val="00235C86"/>
    <w:rsid w:val="002404B8"/>
    <w:rsid w:val="00240DB7"/>
    <w:rsid w:val="002421DE"/>
    <w:rsid w:val="0024263E"/>
    <w:rsid w:val="00242B61"/>
    <w:rsid w:val="0024375C"/>
    <w:rsid w:val="00243A07"/>
    <w:rsid w:val="00243CD2"/>
    <w:rsid w:val="0024454D"/>
    <w:rsid w:val="00244840"/>
    <w:rsid w:val="002449E0"/>
    <w:rsid w:val="00245131"/>
    <w:rsid w:val="002452B2"/>
    <w:rsid w:val="002458BF"/>
    <w:rsid w:val="00246535"/>
    <w:rsid w:val="00246822"/>
    <w:rsid w:val="002469BA"/>
    <w:rsid w:val="00247000"/>
    <w:rsid w:val="002471C6"/>
    <w:rsid w:val="0024745D"/>
    <w:rsid w:val="00247684"/>
    <w:rsid w:val="00250CCD"/>
    <w:rsid w:val="00251C5B"/>
    <w:rsid w:val="00253620"/>
    <w:rsid w:val="002537DF"/>
    <w:rsid w:val="00256B98"/>
    <w:rsid w:val="00257625"/>
    <w:rsid w:val="00260FC8"/>
    <w:rsid w:val="002611B8"/>
    <w:rsid w:val="00261BFA"/>
    <w:rsid w:val="002627FF"/>
    <w:rsid w:val="002629A1"/>
    <w:rsid w:val="002633C3"/>
    <w:rsid w:val="002634B0"/>
    <w:rsid w:val="00263618"/>
    <w:rsid w:val="00263C2C"/>
    <w:rsid w:val="00264AD5"/>
    <w:rsid w:val="00265FD1"/>
    <w:rsid w:val="00266711"/>
    <w:rsid w:val="00266DC9"/>
    <w:rsid w:val="00267FBF"/>
    <w:rsid w:val="0027061A"/>
    <w:rsid w:val="00270FF6"/>
    <w:rsid w:val="002718F8"/>
    <w:rsid w:val="00271C01"/>
    <w:rsid w:val="00271E15"/>
    <w:rsid w:val="00271F95"/>
    <w:rsid w:val="0027219A"/>
    <w:rsid w:val="0027222B"/>
    <w:rsid w:val="0027374B"/>
    <w:rsid w:val="00275944"/>
    <w:rsid w:val="0027607F"/>
    <w:rsid w:val="002769A7"/>
    <w:rsid w:val="00276B2D"/>
    <w:rsid w:val="00276C88"/>
    <w:rsid w:val="002778A5"/>
    <w:rsid w:val="00280399"/>
    <w:rsid w:val="00281681"/>
    <w:rsid w:val="00281E1D"/>
    <w:rsid w:val="002825A1"/>
    <w:rsid w:val="00282EB2"/>
    <w:rsid w:val="002830EB"/>
    <w:rsid w:val="0028319C"/>
    <w:rsid w:val="00283AFB"/>
    <w:rsid w:val="002846B4"/>
    <w:rsid w:val="002848FC"/>
    <w:rsid w:val="00284BE1"/>
    <w:rsid w:val="002855CD"/>
    <w:rsid w:val="00287E15"/>
    <w:rsid w:val="00290461"/>
    <w:rsid w:val="00291596"/>
    <w:rsid w:val="00292DD7"/>
    <w:rsid w:val="0029347F"/>
    <w:rsid w:val="002934D3"/>
    <w:rsid w:val="002934D5"/>
    <w:rsid w:val="00294754"/>
    <w:rsid w:val="00294844"/>
    <w:rsid w:val="00294B47"/>
    <w:rsid w:val="0029563F"/>
    <w:rsid w:val="0029711D"/>
    <w:rsid w:val="00297B82"/>
    <w:rsid w:val="00297DE2"/>
    <w:rsid w:val="002A09A7"/>
    <w:rsid w:val="002A1085"/>
    <w:rsid w:val="002A1C30"/>
    <w:rsid w:val="002A21AD"/>
    <w:rsid w:val="002A2318"/>
    <w:rsid w:val="002A3A55"/>
    <w:rsid w:val="002A56CC"/>
    <w:rsid w:val="002A5ACF"/>
    <w:rsid w:val="002A6C12"/>
    <w:rsid w:val="002A6C85"/>
    <w:rsid w:val="002A6D41"/>
    <w:rsid w:val="002B14D4"/>
    <w:rsid w:val="002B1B9A"/>
    <w:rsid w:val="002B2582"/>
    <w:rsid w:val="002B2849"/>
    <w:rsid w:val="002B37B8"/>
    <w:rsid w:val="002B3A05"/>
    <w:rsid w:val="002B4818"/>
    <w:rsid w:val="002B4DF1"/>
    <w:rsid w:val="002B5C98"/>
    <w:rsid w:val="002B6499"/>
    <w:rsid w:val="002B6A02"/>
    <w:rsid w:val="002B6ACB"/>
    <w:rsid w:val="002B7BB0"/>
    <w:rsid w:val="002B7BE5"/>
    <w:rsid w:val="002C009A"/>
    <w:rsid w:val="002C02FE"/>
    <w:rsid w:val="002C0B92"/>
    <w:rsid w:val="002C0C94"/>
    <w:rsid w:val="002C1AF0"/>
    <w:rsid w:val="002C2AE6"/>
    <w:rsid w:val="002C3EC9"/>
    <w:rsid w:val="002C4D39"/>
    <w:rsid w:val="002C51BB"/>
    <w:rsid w:val="002C522E"/>
    <w:rsid w:val="002C56A7"/>
    <w:rsid w:val="002C58C8"/>
    <w:rsid w:val="002C6677"/>
    <w:rsid w:val="002C779D"/>
    <w:rsid w:val="002D046E"/>
    <w:rsid w:val="002D0583"/>
    <w:rsid w:val="002D10B4"/>
    <w:rsid w:val="002D17C6"/>
    <w:rsid w:val="002D251F"/>
    <w:rsid w:val="002D269C"/>
    <w:rsid w:val="002D3DF3"/>
    <w:rsid w:val="002D4472"/>
    <w:rsid w:val="002D53A8"/>
    <w:rsid w:val="002D59F5"/>
    <w:rsid w:val="002D64FA"/>
    <w:rsid w:val="002D72E4"/>
    <w:rsid w:val="002D7887"/>
    <w:rsid w:val="002D7F19"/>
    <w:rsid w:val="002E041B"/>
    <w:rsid w:val="002E1CB2"/>
    <w:rsid w:val="002E293D"/>
    <w:rsid w:val="002E367D"/>
    <w:rsid w:val="002E457E"/>
    <w:rsid w:val="002E62F7"/>
    <w:rsid w:val="002E63A6"/>
    <w:rsid w:val="002E66A5"/>
    <w:rsid w:val="002E6F52"/>
    <w:rsid w:val="002E7AB1"/>
    <w:rsid w:val="002F0A96"/>
    <w:rsid w:val="002F0D9B"/>
    <w:rsid w:val="002F1DA9"/>
    <w:rsid w:val="002F317B"/>
    <w:rsid w:val="002F317C"/>
    <w:rsid w:val="002F3218"/>
    <w:rsid w:val="002F350D"/>
    <w:rsid w:val="002F3792"/>
    <w:rsid w:val="002F3C0A"/>
    <w:rsid w:val="002F40E5"/>
    <w:rsid w:val="002F4307"/>
    <w:rsid w:val="002F46E8"/>
    <w:rsid w:val="002F5257"/>
    <w:rsid w:val="002F5A3F"/>
    <w:rsid w:val="002F6C64"/>
    <w:rsid w:val="002F6E10"/>
    <w:rsid w:val="002F7376"/>
    <w:rsid w:val="00302826"/>
    <w:rsid w:val="00302FC0"/>
    <w:rsid w:val="0030310E"/>
    <w:rsid w:val="0030485D"/>
    <w:rsid w:val="00304B0A"/>
    <w:rsid w:val="00304F7F"/>
    <w:rsid w:val="00304FB3"/>
    <w:rsid w:val="003055AC"/>
    <w:rsid w:val="00305C6F"/>
    <w:rsid w:val="00305DA4"/>
    <w:rsid w:val="00306001"/>
    <w:rsid w:val="003060AA"/>
    <w:rsid w:val="00306BB0"/>
    <w:rsid w:val="00310339"/>
    <w:rsid w:val="003104D4"/>
    <w:rsid w:val="00310B54"/>
    <w:rsid w:val="00312550"/>
    <w:rsid w:val="00312D13"/>
    <w:rsid w:val="003136D5"/>
    <w:rsid w:val="0031446B"/>
    <w:rsid w:val="00314DF1"/>
    <w:rsid w:val="00314FC6"/>
    <w:rsid w:val="0031546E"/>
    <w:rsid w:val="00315512"/>
    <w:rsid w:val="00315C42"/>
    <w:rsid w:val="00315C48"/>
    <w:rsid w:val="003163DC"/>
    <w:rsid w:val="00316B3B"/>
    <w:rsid w:val="00317024"/>
    <w:rsid w:val="003170D3"/>
    <w:rsid w:val="003178AE"/>
    <w:rsid w:val="0031791A"/>
    <w:rsid w:val="003201D9"/>
    <w:rsid w:val="00320514"/>
    <w:rsid w:val="00320553"/>
    <w:rsid w:val="00321056"/>
    <w:rsid w:val="003220EA"/>
    <w:rsid w:val="00322CD9"/>
    <w:rsid w:val="003235E0"/>
    <w:rsid w:val="00324658"/>
    <w:rsid w:val="00325EC8"/>
    <w:rsid w:val="00325FD1"/>
    <w:rsid w:val="0032639D"/>
    <w:rsid w:val="00327810"/>
    <w:rsid w:val="0033052F"/>
    <w:rsid w:val="00330FAD"/>
    <w:rsid w:val="003328EF"/>
    <w:rsid w:val="003342F5"/>
    <w:rsid w:val="00335A70"/>
    <w:rsid w:val="003361AE"/>
    <w:rsid w:val="0033628A"/>
    <w:rsid w:val="003363A7"/>
    <w:rsid w:val="003369E6"/>
    <w:rsid w:val="003370A2"/>
    <w:rsid w:val="003372D0"/>
    <w:rsid w:val="00337559"/>
    <w:rsid w:val="00337DE8"/>
    <w:rsid w:val="003402DE"/>
    <w:rsid w:val="003425B4"/>
    <w:rsid w:val="0034281C"/>
    <w:rsid w:val="0034295C"/>
    <w:rsid w:val="003444EE"/>
    <w:rsid w:val="00344863"/>
    <w:rsid w:val="0034489C"/>
    <w:rsid w:val="00344C4E"/>
    <w:rsid w:val="00347429"/>
    <w:rsid w:val="003475EF"/>
    <w:rsid w:val="00347ADC"/>
    <w:rsid w:val="00350E3B"/>
    <w:rsid w:val="00352965"/>
    <w:rsid w:val="00352BF4"/>
    <w:rsid w:val="00352E7F"/>
    <w:rsid w:val="003531A4"/>
    <w:rsid w:val="00353C77"/>
    <w:rsid w:val="003548D2"/>
    <w:rsid w:val="003548D5"/>
    <w:rsid w:val="003558E9"/>
    <w:rsid w:val="00356024"/>
    <w:rsid w:val="00356B54"/>
    <w:rsid w:val="0035756E"/>
    <w:rsid w:val="0036106D"/>
    <w:rsid w:val="0036341B"/>
    <w:rsid w:val="00363B2F"/>
    <w:rsid w:val="00365EF2"/>
    <w:rsid w:val="00366BD5"/>
    <w:rsid w:val="00366F63"/>
    <w:rsid w:val="0037084B"/>
    <w:rsid w:val="003709B7"/>
    <w:rsid w:val="00370BD3"/>
    <w:rsid w:val="003714C8"/>
    <w:rsid w:val="00371866"/>
    <w:rsid w:val="00371C10"/>
    <w:rsid w:val="00373EF2"/>
    <w:rsid w:val="0037510F"/>
    <w:rsid w:val="003765E7"/>
    <w:rsid w:val="00377F7F"/>
    <w:rsid w:val="003804E4"/>
    <w:rsid w:val="00380518"/>
    <w:rsid w:val="00381188"/>
    <w:rsid w:val="00381FA1"/>
    <w:rsid w:val="003822E3"/>
    <w:rsid w:val="00382714"/>
    <w:rsid w:val="00382EC9"/>
    <w:rsid w:val="00383662"/>
    <w:rsid w:val="003838A3"/>
    <w:rsid w:val="00384B0B"/>
    <w:rsid w:val="00385CCD"/>
    <w:rsid w:val="0038649C"/>
    <w:rsid w:val="00390727"/>
    <w:rsid w:val="00390886"/>
    <w:rsid w:val="00390D9F"/>
    <w:rsid w:val="00390E69"/>
    <w:rsid w:val="003924FF"/>
    <w:rsid w:val="00392687"/>
    <w:rsid w:val="003933F8"/>
    <w:rsid w:val="003936DB"/>
    <w:rsid w:val="00393EB8"/>
    <w:rsid w:val="00394BD4"/>
    <w:rsid w:val="00394DC0"/>
    <w:rsid w:val="003963DB"/>
    <w:rsid w:val="00396887"/>
    <w:rsid w:val="003A08A9"/>
    <w:rsid w:val="003A106A"/>
    <w:rsid w:val="003A16EF"/>
    <w:rsid w:val="003A3611"/>
    <w:rsid w:val="003A3AED"/>
    <w:rsid w:val="003A3BB8"/>
    <w:rsid w:val="003A4715"/>
    <w:rsid w:val="003A57FC"/>
    <w:rsid w:val="003A5CFB"/>
    <w:rsid w:val="003A6122"/>
    <w:rsid w:val="003A6397"/>
    <w:rsid w:val="003A6E52"/>
    <w:rsid w:val="003B03CF"/>
    <w:rsid w:val="003B0991"/>
    <w:rsid w:val="003B19AF"/>
    <w:rsid w:val="003B228E"/>
    <w:rsid w:val="003B26B7"/>
    <w:rsid w:val="003B2DBD"/>
    <w:rsid w:val="003B35B5"/>
    <w:rsid w:val="003B4442"/>
    <w:rsid w:val="003B4C63"/>
    <w:rsid w:val="003B591D"/>
    <w:rsid w:val="003B656D"/>
    <w:rsid w:val="003B6D67"/>
    <w:rsid w:val="003B7772"/>
    <w:rsid w:val="003C02FD"/>
    <w:rsid w:val="003C072C"/>
    <w:rsid w:val="003C09AD"/>
    <w:rsid w:val="003C10B5"/>
    <w:rsid w:val="003C1532"/>
    <w:rsid w:val="003C163D"/>
    <w:rsid w:val="003C259E"/>
    <w:rsid w:val="003C3273"/>
    <w:rsid w:val="003C37F4"/>
    <w:rsid w:val="003C46BB"/>
    <w:rsid w:val="003C4D10"/>
    <w:rsid w:val="003C4EE0"/>
    <w:rsid w:val="003C504B"/>
    <w:rsid w:val="003C555D"/>
    <w:rsid w:val="003C60BA"/>
    <w:rsid w:val="003C61C3"/>
    <w:rsid w:val="003C69AE"/>
    <w:rsid w:val="003C6FA0"/>
    <w:rsid w:val="003C75BE"/>
    <w:rsid w:val="003D0E9C"/>
    <w:rsid w:val="003D122B"/>
    <w:rsid w:val="003D1B70"/>
    <w:rsid w:val="003D254D"/>
    <w:rsid w:val="003D2CB0"/>
    <w:rsid w:val="003D38E5"/>
    <w:rsid w:val="003D4785"/>
    <w:rsid w:val="003D529D"/>
    <w:rsid w:val="003D58FA"/>
    <w:rsid w:val="003D6FD8"/>
    <w:rsid w:val="003D75FD"/>
    <w:rsid w:val="003D7945"/>
    <w:rsid w:val="003D7951"/>
    <w:rsid w:val="003E00F2"/>
    <w:rsid w:val="003E0801"/>
    <w:rsid w:val="003E13F7"/>
    <w:rsid w:val="003E1864"/>
    <w:rsid w:val="003E1BD8"/>
    <w:rsid w:val="003E1C91"/>
    <w:rsid w:val="003E2351"/>
    <w:rsid w:val="003E24FB"/>
    <w:rsid w:val="003E2E89"/>
    <w:rsid w:val="003E4D35"/>
    <w:rsid w:val="003E5C0D"/>
    <w:rsid w:val="003E66A2"/>
    <w:rsid w:val="003E6782"/>
    <w:rsid w:val="003E6D38"/>
    <w:rsid w:val="003E76C3"/>
    <w:rsid w:val="003F119A"/>
    <w:rsid w:val="003F381C"/>
    <w:rsid w:val="003F473C"/>
    <w:rsid w:val="003F5AEC"/>
    <w:rsid w:val="003F70DF"/>
    <w:rsid w:val="00400131"/>
    <w:rsid w:val="00400DAA"/>
    <w:rsid w:val="0040169E"/>
    <w:rsid w:val="00403A87"/>
    <w:rsid w:val="00404A4C"/>
    <w:rsid w:val="00404C3E"/>
    <w:rsid w:val="00405447"/>
    <w:rsid w:val="0040778F"/>
    <w:rsid w:val="00410EAD"/>
    <w:rsid w:val="00411A51"/>
    <w:rsid w:val="00413186"/>
    <w:rsid w:val="00413E0D"/>
    <w:rsid w:val="004155CE"/>
    <w:rsid w:val="0041580B"/>
    <w:rsid w:val="00420442"/>
    <w:rsid w:val="00420EF8"/>
    <w:rsid w:val="0042109A"/>
    <w:rsid w:val="004214A7"/>
    <w:rsid w:val="00422E08"/>
    <w:rsid w:val="00423C66"/>
    <w:rsid w:val="004241B6"/>
    <w:rsid w:val="0042460F"/>
    <w:rsid w:val="00424B31"/>
    <w:rsid w:val="004267AD"/>
    <w:rsid w:val="00426A8C"/>
    <w:rsid w:val="00426D4C"/>
    <w:rsid w:val="00430A2B"/>
    <w:rsid w:val="00430F4D"/>
    <w:rsid w:val="0043292A"/>
    <w:rsid w:val="0043304F"/>
    <w:rsid w:val="004344BA"/>
    <w:rsid w:val="00435EB5"/>
    <w:rsid w:val="004362BB"/>
    <w:rsid w:val="004364EC"/>
    <w:rsid w:val="00436F39"/>
    <w:rsid w:val="00437ECA"/>
    <w:rsid w:val="0044034B"/>
    <w:rsid w:val="0044091F"/>
    <w:rsid w:val="00441BA1"/>
    <w:rsid w:val="0044324E"/>
    <w:rsid w:val="004441A2"/>
    <w:rsid w:val="00445E7A"/>
    <w:rsid w:val="0044603A"/>
    <w:rsid w:val="004468D9"/>
    <w:rsid w:val="00447699"/>
    <w:rsid w:val="004500D8"/>
    <w:rsid w:val="00450C91"/>
    <w:rsid w:val="00451BF9"/>
    <w:rsid w:val="00452400"/>
    <w:rsid w:val="004538E2"/>
    <w:rsid w:val="00453DC1"/>
    <w:rsid w:val="004551ED"/>
    <w:rsid w:val="0045525F"/>
    <w:rsid w:val="00455BC6"/>
    <w:rsid w:val="00455DD3"/>
    <w:rsid w:val="0045633B"/>
    <w:rsid w:val="004568F2"/>
    <w:rsid w:val="00456D14"/>
    <w:rsid w:val="004574B8"/>
    <w:rsid w:val="0045793C"/>
    <w:rsid w:val="004579E7"/>
    <w:rsid w:val="00457B41"/>
    <w:rsid w:val="00457B81"/>
    <w:rsid w:val="004605B3"/>
    <w:rsid w:val="00460B04"/>
    <w:rsid w:val="004611D1"/>
    <w:rsid w:val="00461446"/>
    <w:rsid w:val="00461D13"/>
    <w:rsid w:val="00461DF3"/>
    <w:rsid w:val="0046236D"/>
    <w:rsid w:val="00463096"/>
    <w:rsid w:val="0046313C"/>
    <w:rsid w:val="0046468D"/>
    <w:rsid w:val="0046524F"/>
    <w:rsid w:val="0046558A"/>
    <w:rsid w:val="00465F98"/>
    <w:rsid w:val="00466317"/>
    <w:rsid w:val="00467155"/>
    <w:rsid w:val="00467988"/>
    <w:rsid w:val="004715EF"/>
    <w:rsid w:val="0047191C"/>
    <w:rsid w:val="00472E1F"/>
    <w:rsid w:val="00473D52"/>
    <w:rsid w:val="00475084"/>
    <w:rsid w:val="004759DF"/>
    <w:rsid w:val="00475A55"/>
    <w:rsid w:val="0047609D"/>
    <w:rsid w:val="004762DA"/>
    <w:rsid w:val="004762E0"/>
    <w:rsid w:val="00476D13"/>
    <w:rsid w:val="004775B1"/>
    <w:rsid w:val="004808EA"/>
    <w:rsid w:val="00480A81"/>
    <w:rsid w:val="004810A0"/>
    <w:rsid w:val="00481452"/>
    <w:rsid w:val="00481964"/>
    <w:rsid w:val="004822B0"/>
    <w:rsid w:val="00482D84"/>
    <w:rsid w:val="00483C42"/>
    <w:rsid w:val="00483E8D"/>
    <w:rsid w:val="004845BB"/>
    <w:rsid w:val="004850C9"/>
    <w:rsid w:val="0048548B"/>
    <w:rsid w:val="00486043"/>
    <w:rsid w:val="00486EE0"/>
    <w:rsid w:val="0048718D"/>
    <w:rsid w:val="004872C1"/>
    <w:rsid w:val="00490777"/>
    <w:rsid w:val="004908A4"/>
    <w:rsid w:val="00490BB4"/>
    <w:rsid w:val="004915AA"/>
    <w:rsid w:val="00491600"/>
    <w:rsid w:val="00491748"/>
    <w:rsid w:val="004917FE"/>
    <w:rsid w:val="004926C6"/>
    <w:rsid w:val="00492BC7"/>
    <w:rsid w:val="0049354F"/>
    <w:rsid w:val="00494169"/>
    <w:rsid w:val="0049481E"/>
    <w:rsid w:val="00494D44"/>
    <w:rsid w:val="00495385"/>
    <w:rsid w:val="00495602"/>
    <w:rsid w:val="004966F3"/>
    <w:rsid w:val="004968DC"/>
    <w:rsid w:val="00497390"/>
    <w:rsid w:val="00497837"/>
    <w:rsid w:val="00497A25"/>
    <w:rsid w:val="004A0260"/>
    <w:rsid w:val="004A0444"/>
    <w:rsid w:val="004A126C"/>
    <w:rsid w:val="004A18F1"/>
    <w:rsid w:val="004A2493"/>
    <w:rsid w:val="004A254C"/>
    <w:rsid w:val="004A3196"/>
    <w:rsid w:val="004A3484"/>
    <w:rsid w:val="004A359D"/>
    <w:rsid w:val="004A398E"/>
    <w:rsid w:val="004A3C37"/>
    <w:rsid w:val="004A4E73"/>
    <w:rsid w:val="004A4F6F"/>
    <w:rsid w:val="004A74A1"/>
    <w:rsid w:val="004A7B22"/>
    <w:rsid w:val="004B1B1A"/>
    <w:rsid w:val="004B3923"/>
    <w:rsid w:val="004B5BCA"/>
    <w:rsid w:val="004B684C"/>
    <w:rsid w:val="004B72EC"/>
    <w:rsid w:val="004B75BD"/>
    <w:rsid w:val="004C017B"/>
    <w:rsid w:val="004C02B8"/>
    <w:rsid w:val="004C1025"/>
    <w:rsid w:val="004C14A1"/>
    <w:rsid w:val="004C34F0"/>
    <w:rsid w:val="004C3EB5"/>
    <w:rsid w:val="004C4492"/>
    <w:rsid w:val="004C4763"/>
    <w:rsid w:val="004C4B7F"/>
    <w:rsid w:val="004C5030"/>
    <w:rsid w:val="004C5848"/>
    <w:rsid w:val="004C5C15"/>
    <w:rsid w:val="004C5C8D"/>
    <w:rsid w:val="004C5EF7"/>
    <w:rsid w:val="004C6119"/>
    <w:rsid w:val="004C663A"/>
    <w:rsid w:val="004C6AD2"/>
    <w:rsid w:val="004C6F4F"/>
    <w:rsid w:val="004C7A56"/>
    <w:rsid w:val="004C7DC7"/>
    <w:rsid w:val="004D10DC"/>
    <w:rsid w:val="004D119D"/>
    <w:rsid w:val="004D139A"/>
    <w:rsid w:val="004D2087"/>
    <w:rsid w:val="004D3688"/>
    <w:rsid w:val="004D4369"/>
    <w:rsid w:val="004D5569"/>
    <w:rsid w:val="004D601F"/>
    <w:rsid w:val="004D61AB"/>
    <w:rsid w:val="004D624C"/>
    <w:rsid w:val="004E0575"/>
    <w:rsid w:val="004E149D"/>
    <w:rsid w:val="004E21D5"/>
    <w:rsid w:val="004E2390"/>
    <w:rsid w:val="004E27D7"/>
    <w:rsid w:val="004E289D"/>
    <w:rsid w:val="004E2BE0"/>
    <w:rsid w:val="004E373D"/>
    <w:rsid w:val="004E3ADB"/>
    <w:rsid w:val="004E3ED7"/>
    <w:rsid w:val="004E410F"/>
    <w:rsid w:val="004E4968"/>
    <w:rsid w:val="004E58F3"/>
    <w:rsid w:val="004E5AB3"/>
    <w:rsid w:val="004E6182"/>
    <w:rsid w:val="004E71E9"/>
    <w:rsid w:val="004E76BF"/>
    <w:rsid w:val="004E7719"/>
    <w:rsid w:val="004E7C89"/>
    <w:rsid w:val="004E7DE9"/>
    <w:rsid w:val="004F0124"/>
    <w:rsid w:val="004F0716"/>
    <w:rsid w:val="004F1ADF"/>
    <w:rsid w:val="004F1B60"/>
    <w:rsid w:val="004F234E"/>
    <w:rsid w:val="004F2E8C"/>
    <w:rsid w:val="004F41DD"/>
    <w:rsid w:val="004F4E76"/>
    <w:rsid w:val="004F63C9"/>
    <w:rsid w:val="00500AEE"/>
    <w:rsid w:val="00501466"/>
    <w:rsid w:val="0050307F"/>
    <w:rsid w:val="00504FDC"/>
    <w:rsid w:val="005051A7"/>
    <w:rsid w:val="00505F83"/>
    <w:rsid w:val="005067E4"/>
    <w:rsid w:val="00507D48"/>
    <w:rsid w:val="005100EA"/>
    <w:rsid w:val="00512B27"/>
    <w:rsid w:val="005138B8"/>
    <w:rsid w:val="0051406E"/>
    <w:rsid w:val="0051434D"/>
    <w:rsid w:val="00514707"/>
    <w:rsid w:val="005151E4"/>
    <w:rsid w:val="005162B8"/>
    <w:rsid w:val="005202B9"/>
    <w:rsid w:val="005211D2"/>
    <w:rsid w:val="005213E3"/>
    <w:rsid w:val="00521596"/>
    <w:rsid w:val="005218F4"/>
    <w:rsid w:val="00521FC7"/>
    <w:rsid w:val="00522175"/>
    <w:rsid w:val="00523337"/>
    <w:rsid w:val="005245DB"/>
    <w:rsid w:val="005247C1"/>
    <w:rsid w:val="00525487"/>
    <w:rsid w:val="005271BE"/>
    <w:rsid w:val="00527642"/>
    <w:rsid w:val="00530408"/>
    <w:rsid w:val="00530808"/>
    <w:rsid w:val="005309D4"/>
    <w:rsid w:val="00530F07"/>
    <w:rsid w:val="00531755"/>
    <w:rsid w:val="00531E5C"/>
    <w:rsid w:val="00531EA4"/>
    <w:rsid w:val="00532046"/>
    <w:rsid w:val="00533806"/>
    <w:rsid w:val="005341C2"/>
    <w:rsid w:val="005344AA"/>
    <w:rsid w:val="00534A10"/>
    <w:rsid w:val="00534AB6"/>
    <w:rsid w:val="00534C1B"/>
    <w:rsid w:val="005361CD"/>
    <w:rsid w:val="00536595"/>
    <w:rsid w:val="005368E8"/>
    <w:rsid w:val="00536A33"/>
    <w:rsid w:val="00541907"/>
    <w:rsid w:val="00541D6B"/>
    <w:rsid w:val="00541E2B"/>
    <w:rsid w:val="00541F67"/>
    <w:rsid w:val="00542DFE"/>
    <w:rsid w:val="00543480"/>
    <w:rsid w:val="0054465F"/>
    <w:rsid w:val="00544D5C"/>
    <w:rsid w:val="00544D8A"/>
    <w:rsid w:val="005450FD"/>
    <w:rsid w:val="00546C9E"/>
    <w:rsid w:val="0054757F"/>
    <w:rsid w:val="00547897"/>
    <w:rsid w:val="005501F2"/>
    <w:rsid w:val="00550DCE"/>
    <w:rsid w:val="00551675"/>
    <w:rsid w:val="00551AE0"/>
    <w:rsid w:val="005520B6"/>
    <w:rsid w:val="005523A8"/>
    <w:rsid w:val="00552CEF"/>
    <w:rsid w:val="00554186"/>
    <w:rsid w:val="005550DB"/>
    <w:rsid w:val="005551CF"/>
    <w:rsid w:val="00555624"/>
    <w:rsid w:val="00555A7F"/>
    <w:rsid w:val="00556309"/>
    <w:rsid w:val="005567DF"/>
    <w:rsid w:val="00556B1B"/>
    <w:rsid w:val="00560A01"/>
    <w:rsid w:val="00561A8C"/>
    <w:rsid w:val="005621EB"/>
    <w:rsid w:val="005622CC"/>
    <w:rsid w:val="00562F6F"/>
    <w:rsid w:val="00563634"/>
    <w:rsid w:val="00563BCB"/>
    <w:rsid w:val="00564B37"/>
    <w:rsid w:val="005652E9"/>
    <w:rsid w:val="00565DF2"/>
    <w:rsid w:val="005668BF"/>
    <w:rsid w:val="00566C7E"/>
    <w:rsid w:val="00567825"/>
    <w:rsid w:val="005715A3"/>
    <w:rsid w:val="005715F8"/>
    <w:rsid w:val="00572E6E"/>
    <w:rsid w:val="005730EF"/>
    <w:rsid w:val="005738AC"/>
    <w:rsid w:val="00574498"/>
    <w:rsid w:val="005747DA"/>
    <w:rsid w:val="00574BA4"/>
    <w:rsid w:val="00575913"/>
    <w:rsid w:val="00576C3D"/>
    <w:rsid w:val="00577654"/>
    <w:rsid w:val="00577A92"/>
    <w:rsid w:val="00580DC5"/>
    <w:rsid w:val="00581935"/>
    <w:rsid w:val="00581BA5"/>
    <w:rsid w:val="005820CD"/>
    <w:rsid w:val="00582425"/>
    <w:rsid w:val="00582BE2"/>
    <w:rsid w:val="00585141"/>
    <w:rsid w:val="005857EE"/>
    <w:rsid w:val="00585B19"/>
    <w:rsid w:val="00586112"/>
    <w:rsid w:val="005861FE"/>
    <w:rsid w:val="00586357"/>
    <w:rsid w:val="00586DF3"/>
    <w:rsid w:val="005870FB"/>
    <w:rsid w:val="00587C2D"/>
    <w:rsid w:val="0059089E"/>
    <w:rsid w:val="0059160F"/>
    <w:rsid w:val="00592CB0"/>
    <w:rsid w:val="00594EF2"/>
    <w:rsid w:val="005958F5"/>
    <w:rsid w:val="00595B39"/>
    <w:rsid w:val="005960C9"/>
    <w:rsid w:val="00596C35"/>
    <w:rsid w:val="00597470"/>
    <w:rsid w:val="005975E2"/>
    <w:rsid w:val="0059781B"/>
    <w:rsid w:val="005A1216"/>
    <w:rsid w:val="005A13BA"/>
    <w:rsid w:val="005A15A7"/>
    <w:rsid w:val="005A1CEE"/>
    <w:rsid w:val="005A20CB"/>
    <w:rsid w:val="005A31F0"/>
    <w:rsid w:val="005A34F3"/>
    <w:rsid w:val="005A371A"/>
    <w:rsid w:val="005A5B16"/>
    <w:rsid w:val="005A6187"/>
    <w:rsid w:val="005A6949"/>
    <w:rsid w:val="005A73B4"/>
    <w:rsid w:val="005B02B9"/>
    <w:rsid w:val="005B0909"/>
    <w:rsid w:val="005B0941"/>
    <w:rsid w:val="005B0AA2"/>
    <w:rsid w:val="005B1E34"/>
    <w:rsid w:val="005B1E9D"/>
    <w:rsid w:val="005B2296"/>
    <w:rsid w:val="005B35B5"/>
    <w:rsid w:val="005B3AB9"/>
    <w:rsid w:val="005B4F06"/>
    <w:rsid w:val="005B5772"/>
    <w:rsid w:val="005B64CC"/>
    <w:rsid w:val="005B7468"/>
    <w:rsid w:val="005B747E"/>
    <w:rsid w:val="005B7A98"/>
    <w:rsid w:val="005C02B2"/>
    <w:rsid w:val="005C060D"/>
    <w:rsid w:val="005C32C3"/>
    <w:rsid w:val="005C4603"/>
    <w:rsid w:val="005C4D5E"/>
    <w:rsid w:val="005C5CC0"/>
    <w:rsid w:val="005C5EEE"/>
    <w:rsid w:val="005C7A0B"/>
    <w:rsid w:val="005D0F61"/>
    <w:rsid w:val="005D1039"/>
    <w:rsid w:val="005D1942"/>
    <w:rsid w:val="005D1991"/>
    <w:rsid w:val="005D2B57"/>
    <w:rsid w:val="005D34AF"/>
    <w:rsid w:val="005D376A"/>
    <w:rsid w:val="005D4121"/>
    <w:rsid w:val="005D48AD"/>
    <w:rsid w:val="005D5816"/>
    <w:rsid w:val="005D6241"/>
    <w:rsid w:val="005E02B4"/>
    <w:rsid w:val="005E055F"/>
    <w:rsid w:val="005E0904"/>
    <w:rsid w:val="005E0BCF"/>
    <w:rsid w:val="005E0EED"/>
    <w:rsid w:val="005E0F91"/>
    <w:rsid w:val="005E12B4"/>
    <w:rsid w:val="005E1532"/>
    <w:rsid w:val="005E4287"/>
    <w:rsid w:val="005E4C0B"/>
    <w:rsid w:val="005E4F24"/>
    <w:rsid w:val="005E5142"/>
    <w:rsid w:val="005E5841"/>
    <w:rsid w:val="005E5A6F"/>
    <w:rsid w:val="005E5D9F"/>
    <w:rsid w:val="005E6F96"/>
    <w:rsid w:val="005F00EC"/>
    <w:rsid w:val="005F02B5"/>
    <w:rsid w:val="005F05C9"/>
    <w:rsid w:val="005F09DD"/>
    <w:rsid w:val="005F196D"/>
    <w:rsid w:val="005F1B08"/>
    <w:rsid w:val="005F2AF0"/>
    <w:rsid w:val="005F3778"/>
    <w:rsid w:val="005F4336"/>
    <w:rsid w:val="005F4A8B"/>
    <w:rsid w:val="005F4B56"/>
    <w:rsid w:val="005F570D"/>
    <w:rsid w:val="005F722B"/>
    <w:rsid w:val="005F7E11"/>
    <w:rsid w:val="00600A5E"/>
    <w:rsid w:val="00600E88"/>
    <w:rsid w:val="00601D44"/>
    <w:rsid w:val="006022EE"/>
    <w:rsid w:val="0060491F"/>
    <w:rsid w:val="0060492E"/>
    <w:rsid w:val="00604A64"/>
    <w:rsid w:val="006053CD"/>
    <w:rsid w:val="006057BC"/>
    <w:rsid w:val="00605B41"/>
    <w:rsid w:val="00605D6E"/>
    <w:rsid w:val="00606C6D"/>
    <w:rsid w:val="00606F51"/>
    <w:rsid w:val="006076C8"/>
    <w:rsid w:val="00607FA9"/>
    <w:rsid w:val="00610202"/>
    <w:rsid w:val="00610D55"/>
    <w:rsid w:val="006115DA"/>
    <w:rsid w:val="006119B9"/>
    <w:rsid w:val="00612E9F"/>
    <w:rsid w:val="006133B7"/>
    <w:rsid w:val="006136E5"/>
    <w:rsid w:val="00614DC6"/>
    <w:rsid w:val="006152AA"/>
    <w:rsid w:val="00615636"/>
    <w:rsid w:val="00615BB0"/>
    <w:rsid w:val="006165AF"/>
    <w:rsid w:val="006165EF"/>
    <w:rsid w:val="00616B2E"/>
    <w:rsid w:val="00617258"/>
    <w:rsid w:val="00617915"/>
    <w:rsid w:val="0061791D"/>
    <w:rsid w:val="00617F7A"/>
    <w:rsid w:val="00621065"/>
    <w:rsid w:val="006221BD"/>
    <w:rsid w:val="006229E1"/>
    <w:rsid w:val="00623027"/>
    <w:rsid w:val="00623224"/>
    <w:rsid w:val="00623BEB"/>
    <w:rsid w:val="0062401B"/>
    <w:rsid w:val="0062415A"/>
    <w:rsid w:val="00624E04"/>
    <w:rsid w:val="00625043"/>
    <w:rsid w:val="0062566B"/>
    <w:rsid w:val="00625797"/>
    <w:rsid w:val="006261F5"/>
    <w:rsid w:val="006267FD"/>
    <w:rsid w:val="00627A16"/>
    <w:rsid w:val="00627F0D"/>
    <w:rsid w:val="00630AC0"/>
    <w:rsid w:val="006328E6"/>
    <w:rsid w:val="00633132"/>
    <w:rsid w:val="006332DC"/>
    <w:rsid w:val="006345D1"/>
    <w:rsid w:val="0063473E"/>
    <w:rsid w:val="00635C24"/>
    <w:rsid w:val="00635EB6"/>
    <w:rsid w:val="006367B3"/>
    <w:rsid w:val="00640104"/>
    <w:rsid w:val="00640747"/>
    <w:rsid w:val="006408E4"/>
    <w:rsid w:val="00641572"/>
    <w:rsid w:val="0064159B"/>
    <w:rsid w:val="00641CBF"/>
    <w:rsid w:val="00642344"/>
    <w:rsid w:val="00642CDF"/>
    <w:rsid w:val="00643D65"/>
    <w:rsid w:val="00643E65"/>
    <w:rsid w:val="00644CFD"/>
    <w:rsid w:val="00644E61"/>
    <w:rsid w:val="00644FB7"/>
    <w:rsid w:val="006458F0"/>
    <w:rsid w:val="0064685A"/>
    <w:rsid w:val="00647186"/>
    <w:rsid w:val="006478D7"/>
    <w:rsid w:val="006479D4"/>
    <w:rsid w:val="006506E4"/>
    <w:rsid w:val="006518EE"/>
    <w:rsid w:val="00652DF6"/>
    <w:rsid w:val="006540C7"/>
    <w:rsid w:val="00654FE8"/>
    <w:rsid w:val="006600A4"/>
    <w:rsid w:val="00660171"/>
    <w:rsid w:val="00660229"/>
    <w:rsid w:val="0066095B"/>
    <w:rsid w:val="0066252C"/>
    <w:rsid w:val="00662DA4"/>
    <w:rsid w:val="006637DC"/>
    <w:rsid w:val="00666B95"/>
    <w:rsid w:val="0066730F"/>
    <w:rsid w:val="00667B27"/>
    <w:rsid w:val="00667B44"/>
    <w:rsid w:val="0067101A"/>
    <w:rsid w:val="00671477"/>
    <w:rsid w:val="00671E20"/>
    <w:rsid w:val="00671EAD"/>
    <w:rsid w:val="00672608"/>
    <w:rsid w:val="006734DE"/>
    <w:rsid w:val="006740D2"/>
    <w:rsid w:val="006740D8"/>
    <w:rsid w:val="00674572"/>
    <w:rsid w:val="00674CD4"/>
    <w:rsid w:val="0067563E"/>
    <w:rsid w:val="00676196"/>
    <w:rsid w:val="00676564"/>
    <w:rsid w:val="006772C4"/>
    <w:rsid w:val="00677FD1"/>
    <w:rsid w:val="006805A8"/>
    <w:rsid w:val="006807F0"/>
    <w:rsid w:val="006814A0"/>
    <w:rsid w:val="0068181A"/>
    <w:rsid w:val="00681E3E"/>
    <w:rsid w:val="0068414E"/>
    <w:rsid w:val="0068427C"/>
    <w:rsid w:val="00684C18"/>
    <w:rsid w:val="00685904"/>
    <w:rsid w:val="00685CF6"/>
    <w:rsid w:val="00685D66"/>
    <w:rsid w:val="00685ECA"/>
    <w:rsid w:val="00685F3C"/>
    <w:rsid w:val="006860EA"/>
    <w:rsid w:val="006866C9"/>
    <w:rsid w:val="006868A5"/>
    <w:rsid w:val="00690E48"/>
    <w:rsid w:val="006915B0"/>
    <w:rsid w:val="006918D8"/>
    <w:rsid w:val="00691B3A"/>
    <w:rsid w:val="00691DE3"/>
    <w:rsid w:val="00694487"/>
    <w:rsid w:val="00694677"/>
    <w:rsid w:val="00697698"/>
    <w:rsid w:val="006A029E"/>
    <w:rsid w:val="006A037F"/>
    <w:rsid w:val="006A1B9E"/>
    <w:rsid w:val="006A1EF1"/>
    <w:rsid w:val="006A2243"/>
    <w:rsid w:val="006A278A"/>
    <w:rsid w:val="006A3A79"/>
    <w:rsid w:val="006A3A89"/>
    <w:rsid w:val="006A3AC6"/>
    <w:rsid w:val="006A4332"/>
    <w:rsid w:val="006A50BE"/>
    <w:rsid w:val="006A596E"/>
    <w:rsid w:val="006A5BAA"/>
    <w:rsid w:val="006A7C27"/>
    <w:rsid w:val="006B04A6"/>
    <w:rsid w:val="006B205D"/>
    <w:rsid w:val="006B26F6"/>
    <w:rsid w:val="006B33B9"/>
    <w:rsid w:val="006B3707"/>
    <w:rsid w:val="006B3808"/>
    <w:rsid w:val="006B3B49"/>
    <w:rsid w:val="006B3D8C"/>
    <w:rsid w:val="006B400A"/>
    <w:rsid w:val="006B43C3"/>
    <w:rsid w:val="006B46B9"/>
    <w:rsid w:val="006B6778"/>
    <w:rsid w:val="006B7903"/>
    <w:rsid w:val="006B7A02"/>
    <w:rsid w:val="006B7D6F"/>
    <w:rsid w:val="006C0317"/>
    <w:rsid w:val="006C0FE5"/>
    <w:rsid w:val="006C12E6"/>
    <w:rsid w:val="006C1D23"/>
    <w:rsid w:val="006C2133"/>
    <w:rsid w:val="006C225D"/>
    <w:rsid w:val="006C2993"/>
    <w:rsid w:val="006C2E87"/>
    <w:rsid w:val="006C2FBB"/>
    <w:rsid w:val="006C346C"/>
    <w:rsid w:val="006C430F"/>
    <w:rsid w:val="006C47E4"/>
    <w:rsid w:val="006C4AB2"/>
    <w:rsid w:val="006C4F67"/>
    <w:rsid w:val="006C5826"/>
    <w:rsid w:val="006C6D0C"/>
    <w:rsid w:val="006C749A"/>
    <w:rsid w:val="006C7B94"/>
    <w:rsid w:val="006D25CF"/>
    <w:rsid w:val="006D2C9B"/>
    <w:rsid w:val="006D3084"/>
    <w:rsid w:val="006D417E"/>
    <w:rsid w:val="006D41C4"/>
    <w:rsid w:val="006D48AE"/>
    <w:rsid w:val="006D53A8"/>
    <w:rsid w:val="006D5C3B"/>
    <w:rsid w:val="006D65E4"/>
    <w:rsid w:val="006E0DCB"/>
    <w:rsid w:val="006E0DE7"/>
    <w:rsid w:val="006E1D4D"/>
    <w:rsid w:val="006E2A1F"/>
    <w:rsid w:val="006E312C"/>
    <w:rsid w:val="006E34D6"/>
    <w:rsid w:val="006E494B"/>
    <w:rsid w:val="006E4EAE"/>
    <w:rsid w:val="006E4F02"/>
    <w:rsid w:val="006E5877"/>
    <w:rsid w:val="006E6BC3"/>
    <w:rsid w:val="006E709B"/>
    <w:rsid w:val="006E7CF0"/>
    <w:rsid w:val="006E7F43"/>
    <w:rsid w:val="006F04BE"/>
    <w:rsid w:val="006F1062"/>
    <w:rsid w:val="006F1745"/>
    <w:rsid w:val="006F1D6F"/>
    <w:rsid w:val="006F2D63"/>
    <w:rsid w:val="006F33DB"/>
    <w:rsid w:val="006F3486"/>
    <w:rsid w:val="006F385E"/>
    <w:rsid w:val="006F3C79"/>
    <w:rsid w:val="006F5A57"/>
    <w:rsid w:val="006F5E67"/>
    <w:rsid w:val="006F5FFA"/>
    <w:rsid w:val="006F6ACD"/>
    <w:rsid w:val="006F7D6F"/>
    <w:rsid w:val="007000AF"/>
    <w:rsid w:val="00700455"/>
    <w:rsid w:val="00700EB1"/>
    <w:rsid w:val="007011E6"/>
    <w:rsid w:val="007029F3"/>
    <w:rsid w:val="007037B0"/>
    <w:rsid w:val="007038B8"/>
    <w:rsid w:val="00703E4D"/>
    <w:rsid w:val="00704074"/>
    <w:rsid w:val="00704448"/>
    <w:rsid w:val="007044A2"/>
    <w:rsid w:val="00704864"/>
    <w:rsid w:val="00704B8B"/>
    <w:rsid w:val="00704D80"/>
    <w:rsid w:val="007063AA"/>
    <w:rsid w:val="007068EE"/>
    <w:rsid w:val="00706F2C"/>
    <w:rsid w:val="00710846"/>
    <w:rsid w:val="007117BC"/>
    <w:rsid w:val="00711C3E"/>
    <w:rsid w:val="00712212"/>
    <w:rsid w:val="0071254C"/>
    <w:rsid w:val="007125FC"/>
    <w:rsid w:val="0071268E"/>
    <w:rsid w:val="00713D16"/>
    <w:rsid w:val="007143AB"/>
    <w:rsid w:val="00714855"/>
    <w:rsid w:val="00715435"/>
    <w:rsid w:val="00715F12"/>
    <w:rsid w:val="007168E3"/>
    <w:rsid w:val="007178E9"/>
    <w:rsid w:val="0072095B"/>
    <w:rsid w:val="0072129B"/>
    <w:rsid w:val="007222F3"/>
    <w:rsid w:val="00722479"/>
    <w:rsid w:val="00722982"/>
    <w:rsid w:val="00722D7C"/>
    <w:rsid w:val="00723348"/>
    <w:rsid w:val="0072419E"/>
    <w:rsid w:val="00725BFC"/>
    <w:rsid w:val="00725DF8"/>
    <w:rsid w:val="007261D5"/>
    <w:rsid w:val="007266D7"/>
    <w:rsid w:val="00726CC3"/>
    <w:rsid w:val="00726D0C"/>
    <w:rsid w:val="00727118"/>
    <w:rsid w:val="00730ECB"/>
    <w:rsid w:val="00730F16"/>
    <w:rsid w:val="00731EB1"/>
    <w:rsid w:val="00733213"/>
    <w:rsid w:val="0073370C"/>
    <w:rsid w:val="007345BE"/>
    <w:rsid w:val="00735BD0"/>
    <w:rsid w:val="0073660B"/>
    <w:rsid w:val="0073670D"/>
    <w:rsid w:val="00736DA4"/>
    <w:rsid w:val="0073776D"/>
    <w:rsid w:val="00740C17"/>
    <w:rsid w:val="00741DE3"/>
    <w:rsid w:val="007422AD"/>
    <w:rsid w:val="00742D9E"/>
    <w:rsid w:val="00743383"/>
    <w:rsid w:val="00743659"/>
    <w:rsid w:val="007438D5"/>
    <w:rsid w:val="007440DD"/>
    <w:rsid w:val="007443C9"/>
    <w:rsid w:val="007445DE"/>
    <w:rsid w:val="00745066"/>
    <w:rsid w:val="00745109"/>
    <w:rsid w:val="0074516B"/>
    <w:rsid w:val="007453A7"/>
    <w:rsid w:val="00745BF1"/>
    <w:rsid w:val="00745CFB"/>
    <w:rsid w:val="007471C4"/>
    <w:rsid w:val="00750CC4"/>
    <w:rsid w:val="00751A32"/>
    <w:rsid w:val="00751EA2"/>
    <w:rsid w:val="007523DD"/>
    <w:rsid w:val="007539D7"/>
    <w:rsid w:val="00753DD5"/>
    <w:rsid w:val="00753ED0"/>
    <w:rsid w:val="007551FC"/>
    <w:rsid w:val="007557A2"/>
    <w:rsid w:val="00756270"/>
    <w:rsid w:val="007605C4"/>
    <w:rsid w:val="0076072C"/>
    <w:rsid w:val="00760753"/>
    <w:rsid w:val="007607F8"/>
    <w:rsid w:val="007613CF"/>
    <w:rsid w:val="00761B23"/>
    <w:rsid w:val="00761B82"/>
    <w:rsid w:val="0076237E"/>
    <w:rsid w:val="007628EF"/>
    <w:rsid w:val="00762ECD"/>
    <w:rsid w:val="007630D0"/>
    <w:rsid w:val="007632E0"/>
    <w:rsid w:val="00763DF2"/>
    <w:rsid w:val="00763E46"/>
    <w:rsid w:val="0076428D"/>
    <w:rsid w:val="0076445A"/>
    <w:rsid w:val="00764628"/>
    <w:rsid w:val="00764D89"/>
    <w:rsid w:val="00764FFE"/>
    <w:rsid w:val="007653A3"/>
    <w:rsid w:val="00766AA0"/>
    <w:rsid w:val="00771130"/>
    <w:rsid w:val="007717FA"/>
    <w:rsid w:val="00771949"/>
    <w:rsid w:val="00771A78"/>
    <w:rsid w:val="00772128"/>
    <w:rsid w:val="0077490E"/>
    <w:rsid w:val="00775F01"/>
    <w:rsid w:val="007772B8"/>
    <w:rsid w:val="0077752A"/>
    <w:rsid w:val="007777AA"/>
    <w:rsid w:val="00781D4D"/>
    <w:rsid w:val="0078251E"/>
    <w:rsid w:val="0078260F"/>
    <w:rsid w:val="00782A5C"/>
    <w:rsid w:val="00782A67"/>
    <w:rsid w:val="00782C5D"/>
    <w:rsid w:val="00782E09"/>
    <w:rsid w:val="0078305A"/>
    <w:rsid w:val="00783194"/>
    <w:rsid w:val="007834BB"/>
    <w:rsid w:val="007841C9"/>
    <w:rsid w:val="00784635"/>
    <w:rsid w:val="00786042"/>
    <w:rsid w:val="0078610B"/>
    <w:rsid w:val="00786359"/>
    <w:rsid w:val="00786971"/>
    <w:rsid w:val="00787D00"/>
    <w:rsid w:val="00790125"/>
    <w:rsid w:val="00791DE9"/>
    <w:rsid w:val="007921C3"/>
    <w:rsid w:val="00792E57"/>
    <w:rsid w:val="00792EA2"/>
    <w:rsid w:val="007938B5"/>
    <w:rsid w:val="00793CEA"/>
    <w:rsid w:val="00795B46"/>
    <w:rsid w:val="007967EE"/>
    <w:rsid w:val="00796E83"/>
    <w:rsid w:val="007970ED"/>
    <w:rsid w:val="007A0CB0"/>
    <w:rsid w:val="007A1E55"/>
    <w:rsid w:val="007A2121"/>
    <w:rsid w:val="007A27DA"/>
    <w:rsid w:val="007A29D5"/>
    <w:rsid w:val="007A407D"/>
    <w:rsid w:val="007A5158"/>
    <w:rsid w:val="007A51A7"/>
    <w:rsid w:val="007A555E"/>
    <w:rsid w:val="007A6A8D"/>
    <w:rsid w:val="007B046B"/>
    <w:rsid w:val="007B047A"/>
    <w:rsid w:val="007B04A1"/>
    <w:rsid w:val="007B13D5"/>
    <w:rsid w:val="007B144B"/>
    <w:rsid w:val="007B1560"/>
    <w:rsid w:val="007B18C5"/>
    <w:rsid w:val="007B1DC9"/>
    <w:rsid w:val="007B2924"/>
    <w:rsid w:val="007B2B1B"/>
    <w:rsid w:val="007B3B4A"/>
    <w:rsid w:val="007B4E4B"/>
    <w:rsid w:val="007B4FA3"/>
    <w:rsid w:val="007B5724"/>
    <w:rsid w:val="007B6427"/>
    <w:rsid w:val="007B6932"/>
    <w:rsid w:val="007B7002"/>
    <w:rsid w:val="007B7CFC"/>
    <w:rsid w:val="007B7F47"/>
    <w:rsid w:val="007C0AB2"/>
    <w:rsid w:val="007C1F0B"/>
    <w:rsid w:val="007C28EE"/>
    <w:rsid w:val="007C2F72"/>
    <w:rsid w:val="007C3852"/>
    <w:rsid w:val="007C3EE4"/>
    <w:rsid w:val="007C4AD1"/>
    <w:rsid w:val="007C4D4B"/>
    <w:rsid w:val="007C5475"/>
    <w:rsid w:val="007C6C2D"/>
    <w:rsid w:val="007C7D2C"/>
    <w:rsid w:val="007D0CB7"/>
    <w:rsid w:val="007D0D8A"/>
    <w:rsid w:val="007D0FBD"/>
    <w:rsid w:val="007D25A2"/>
    <w:rsid w:val="007D31A6"/>
    <w:rsid w:val="007D363F"/>
    <w:rsid w:val="007D44B6"/>
    <w:rsid w:val="007D4525"/>
    <w:rsid w:val="007D5355"/>
    <w:rsid w:val="007D57C5"/>
    <w:rsid w:val="007D6240"/>
    <w:rsid w:val="007D6A9F"/>
    <w:rsid w:val="007D7134"/>
    <w:rsid w:val="007D720F"/>
    <w:rsid w:val="007D75C6"/>
    <w:rsid w:val="007E0207"/>
    <w:rsid w:val="007E02D0"/>
    <w:rsid w:val="007E129F"/>
    <w:rsid w:val="007E1706"/>
    <w:rsid w:val="007E2458"/>
    <w:rsid w:val="007E3A9E"/>
    <w:rsid w:val="007E4CA0"/>
    <w:rsid w:val="007E597B"/>
    <w:rsid w:val="007E6A52"/>
    <w:rsid w:val="007E7D73"/>
    <w:rsid w:val="007F0E0E"/>
    <w:rsid w:val="007F2594"/>
    <w:rsid w:val="007F278C"/>
    <w:rsid w:val="007F33BD"/>
    <w:rsid w:val="007F568A"/>
    <w:rsid w:val="007F5C6C"/>
    <w:rsid w:val="007F5FB4"/>
    <w:rsid w:val="007F6102"/>
    <w:rsid w:val="007F631C"/>
    <w:rsid w:val="007F748B"/>
    <w:rsid w:val="007F7E1F"/>
    <w:rsid w:val="00801251"/>
    <w:rsid w:val="008016E1"/>
    <w:rsid w:val="00801AE3"/>
    <w:rsid w:val="008025E9"/>
    <w:rsid w:val="00803290"/>
    <w:rsid w:val="00803746"/>
    <w:rsid w:val="00803883"/>
    <w:rsid w:val="00803A37"/>
    <w:rsid w:val="00803DA7"/>
    <w:rsid w:val="008047F6"/>
    <w:rsid w:val="00806AB7"/>
    <w:rsid w:val="008076ED"/>
    <w:rsid w:val="00807713"/>
    <w:rsid w:val="00807E33"/>
    <w:rsid w:val="008112FD"/>
    <w:rsid w:val="00811768"/>
    <w:rsid w:val="008124FF"/>
    <w:rsid w:val="00812E8D"/>
    <w:rsid w:val="00812EE1"/>
    <w:rsid w:val="0081401A"/>
    <w:rsid w:val="00815EC4"/>
    <w:rsid w:val="0081619F"/>
    <w:rsid w:val="00817104"/>
    <w:rsid w:val="00817ABE"/>
    <w:rsid w:val="00817E0B"/>
    <w:rsid w:val="00820361"/>
    <w:rsid w:val="00821135"/>
    <w:rsid w:val="0082332E"/>
    <w:rsid w:val="0082476F"/>
    <w:rsid w:val="00824F80"/>
    <w:rsid w:val="008252C7"/>
    <w:rsid w:val="0082597F"/>
    <w:rsid w:val="0082690C"/>
    <w:rsid w:val="00826969"/>
    <w:rsid w:val="008270B6"/>
    <w:rsid w:val="008278EE"/>
    <w:rsid w:val="008279FA"/>
    <w:rsid w:val="00830E48"/>
    <w:rsid w:val="008311AE"/>
    <w:rsid w:val="00833FC9"/>
    <w:rsid w:val="008364B5"/>
    <w:rsid w:val="00836890"/>
    <w:rsid w:val="00837F8A"/>
    <w:rsid w:val="00840CBB"/>
    <w:rsid w:val="00841226"/>
    <w:rsid w:val="008421B4"/>
    <w:rsid w:val="00842782"/>
    <w:rsid w:val="00842958"/>
    <w:rsid w:val="00842A28"/>
    <w:rsid w:val="00842CD1"/>
    <w:rsid w:val="008430D2"/>
    <w:rsid w:val="00843A6B"/>
    <w:rsid w:val="008440EC"/>
    <w:rsid w:val="008456F5"/>
    <w:rsid w:val="00846CDC"/>
    <w:rsid w:val="00847145"/>
    <w:rsid w:val="00847342"/>
    <w:rsid w:val="008478E8"/>
    <w:rsid w:val="00850C0E"/>
    <w:rsid w:val="00850DE2"/>
    <w:rsid w:val="00851012"/>
    <w:rsid w:val="00851378"/>
    <w:rsid w:val="0085162D"/>
    <w:rsid w:val="00851834"/>
    <w:rsid w:val="00851D43"/>
    <w:rsid w:val="00851DC8"/>
    <w:rsid w:val="00852A5F"/>
    <w:rsid w:val="008546CD"/>
    <w:rsid w:val="00854F2D"/>
    <w:rsid w:val="008551F7"/>
    <w:rsid w:val="008555B0"/>
    <w:rsid w:val="00855CC3"/>
    <w:rsid w:val="00856081"/>
    <w:rsid w:val="00857694"/>
    <w:rsid w:val="008576E7"/>
    <w:rsid w:val="008600C8"/>
    <w:rsid w:val="00860AD3"/>
    <w:rsid w:val="00861A55"/>
    <w:rsid w:val="00862569"/>
    <w:rsid w:val="0086302D"/>
    <w:rsid w:val="00863924"/>
    <w:rsid w:val="00864AC7"/>
    <w:rsid w:val="00864E9F"/>
    <w:rsid w:val="008653EA"/>
    <w:rsid w:val="00865441"/>
    <w:rsid w:val="0086682D"/>
    <w:rsid w:val="00866D6E"/>
    <w:rsid w:val="008671F7"/>
    <w:rsid w:val="008705E8"/>
    <w:rsid w:val="00870E0D"/>
    <w:rsid w:val="00871A95"/>
    <w:rsid w:val="0087498C"/>
    <w:rsid w:val="008752FD"/>
    <w:rsid w:val="00875F54"/>
    <w:rsid w:val="00876E9D"/>
    <w:rsid w:val="00877E14"/>
    <w:rsid w:val="00880290"/>
    <w:rsid w:val="00880D2A"/>
    <w:rsid w:val="00881290"/>
    <w:rsid w:val="00881360"/>
    <w:rsid w:val="00881E7C"/>
    <w:rsid w:val="008827DB"/>
    <w:rsid w:val="008828E4"/>
    <w:rsid w:val="008832AB"/>
    <w:rsid w:val="00884793"/>
    <w:rsid w:val="00884F36"/>
    <w:rsid w:val="008857A0"/>
    <w:rsid w:val="00885B15"/>
    <w:rsid w:val="00886666"/>
    <w:rsid w:val="00890586"/>
    <w:rsid w:val="00890E5F"/>
    <w:rsid w:val="00892B9E"/>
    <w:rsid w:val="00893946"/>
    <w:rsid w:val="00893A57"/>
    <w:rsid w:val="008952C6"/>
    <w:rsid w:val="00895849"/>
    <w:rsid w:val="008A0639"/>
    <w:rsid w:val="008A0E0B"/>
    <w:rsid w:val="008A0F76"/>
    <w:rsid w:val="008A115B"/>
    <w:rsid w:val="008A1852"/>
    <w:rsid w:val="008A1F36"/>
    <w:rsid w:val="008A2301"/>
    <w:rsid w:val="008A391E"/>
    <w:rsid w:val="008A39BB"/>
    <w:rsid w:val="008A3C58"/>
    <w:rsid w:val="008A40A4"/>
    <w:rsid w:val="008A4CDF"/>
    <w:rsid w:val="008A50F4"/>
    <w:rsid w:val="008A5644"/>
    <w:rsid w:val="008A62ED"/>
    <w:rsid w:val="008A706E"/>
    <w:rsid w:val="008A71BF"/>
    <w:rsid w:val="008A7515"/>
    <w:rsid w:val="008B0E05"/>
    <w:rsid w:val="008B1439"/>
    <w:rsid w:val="008B14DA"/>
    <w:rsid w:val="008B17EC"/>
    <w:rsid w:val="008B29E3"/>
    <w:rsid w:val="008B3229"/>
    <w:rsid w:val="008B3D10"/>
    <w:rsid w:val="008B4FC3"/>
    <w:rsid w:val="008B5077"/>
    <w:rsid w:val="008B6F1A"/>
    <w:rsid w:val="008B7323"/>
    <w:rsid w:val="008B7EFD"/>
    <w:rsid w:val="008C0656"/>
    <w:rsid w:val="008C3C79"/>
    <w:rsid w:val="008C3E73"/>
    <w:rsid w:val="008C4CF7"/>
    <w:rsid w:val="008C4DC3"/>
    <w:rsid w:val="008C5F7C"/>
    <w:rsid w:val="008C6102"/>
    <w:rsid w:val="008C6345"/>
    <w:rsid w:val="008C669B"/>
    <w:rsid w:val="008D08E8"/>
    <w:rsid w:val="008D0B3E"/>
    <w:rsid w:val="008D1ACE"/>
    <w:rsid w:val="008D2031"/>
    <w:rsid w:val="008D32F8"/>
    <w:rsid w:val="008D395C"/>
    <w:rsid w:val="008D4B5E"/>
    <w:rsid w:val="008D4DB1"/>
    <w:rsid w:val="008D69C3"/>
    <w:rsid w:val="008D742A"/>
    <w:rsid w:val="008D7F1B"/>
    <w:rsid w:val="008E01FC"/>
    <w:rsid w:val="008E0377"/>
    <w:rsid w:val="008E0B3E"/>
    <w:rsid w:val="008E283E"/>
    <w:rsid w:val="008E28FB"/>
    <w:rsid w:val="008E2FE5"/>
    <w:rsid w:val="008E38BA"/>
    <w:rsid w:val="008E395F"/>
    <w:rsid w:val="008E3C44"/>
    <w:rsid w:val="008E4819"/>
    <w:rsid w:val="008E4E47"/>
    <w:rsid w:val="008E6932"/>
    <w:rsid w:val="008F026A"/>
    <w:rsid w:val="008F239D"/>
    <w:rsid w:val="008F246D"/>
    <w:rsid w:val="008F293D"/>
    <w:rsid w:val="008F29BD"/>
    <w:rsid w:val="008F2C89"/>
    <w:rsid w:val="008F2F72"/>
    <w:rsid w:val="008F461E"/>
    <w:rsid w:val="008F482F"/>
    <w:rsid w:val="008F4C62"/>
    <w:rsid w:val="008F54F7"/>
    <w:rsid w:val="008F563B"/>
    <w:rsid w:val="008F5FAD"/>
    <w:rsid w:val="0090039A"/>
    <w:rsid w:val="00901299"/>
    <w:rsid w:val="009012B8"/>
    <w:rsid w:val="0090155B"/>
    <w:rsid w:val="00901987"/>
    <w:rsid w:val="00902124"/>
    <w:rsid w:val="009022DA"/>
    <w:rsid w:val="00902374"/>
    <w:rsid w:val="0090245E"/>
    <w:rsid w:val="00904042"/>
    <w:rsid w:val="0090440E"/>
    <w:rsid w:val="00904558"/>
    <w:rsid w:val="009047EC"/>
    <w:rsid w:val="00904904"/>
    <w:rsid w:val="009053CC"/>
    <w:rsid w:val="00905917"/>
    <w:rsid w:val="009059F3"/>
    <w:rsid w:val="00905DD8"/>
    <w:rsid w:val="00906080"/>
    <w:rsid w:val="009063FD"/>
    <w:rsid w:val="009069A9"/>
    <w:rsid w:val="00911A09"/>
    <w:rsid w:val="00911DDE"/>
    <w:rsid w:val="00912211"/>
    <w:rsid w:val="00912BE0"/>
    <w:rsid w:val="00913165"/>
    <w:rsid w:val="009132CA"/>
    <w:rsid w:val="009139D7"/>
    <w:rsid w:val="00914089"/>
    <w:rsid w:val="00914224"/>
    <w:rsid w:val="00914AB1"/>
    <w:rsid w:val="0091552B"/>
    <w:rsid w:val="009162C3"/>
    <w:rsid w:val="00916336"/>
    <w:rsid w:val="009163CC"/>
    <w:rsid w:val="00916963"/>
    <w:rsid w:val="0092190A"/>
    <w:rsid w:val="009237A0"/>
    <w:rsid w:val="009238BC"/>
    <w:rsid w:val="009239A6"/>
    <w:rsid w:val="0092428B"/>
    <w:rsid w:val="009244F7"/>
    <w:rsid w:val="009247B5"/>
    <w:rsid w:val="009262D6"/>
    <w:rsid w:val="009268E3"/>
    <w:rsid w:val="00926916"/>
    <w:rsid w:val="00927715"/>
    <w:rsid w:val="00927E41"/>
    <w:rsid w:val="009301EB"/>
    <w:rsid w:val="00930B74"/>
    <w:rsid w:val="00931002"/>
    <w:rsid w:val="00933228"/>
    <w:rsid w:val="009336A3"/>
    <w:rsid w:val="009348CA"/>
    <w:rsid w:val="0093498F"/>
    <w:rsid w:val="00934CBB"/>
    <w:rsid w:val="009353C5"/>
    <w:rsid w:val="00935403"/>
    <w:rsid w:val="00935972"/>
    <w:rsid w:val="00935F60"/>
    <w:rsid w:val="00937DA6"/>
    <w:rsid w:val="009400E4"/>
    <w:rsid w:val="0094014E"/>
    <w:rsid w:val="009406F9"/>
    <w:rsid w:val="00941162"/>
    <w:rsid w:val="009425CF"/>
    <w:rsid w:val="00943FB7"/>
    <w:rsid w:val="0094406E"/>
    <w:rsid w:val="00944C7E"/>
    <w:rsid w:val="009502EE"/>
    <w:rsid w:val="00950805"/>
    <w:rsid w:val="009508F7"/>
    <w:rsid w:val="00951A66"/>
    <w:rsid w:val="00951F4B"/>
    <w:rsid w:val="00952213"/>
    <w:rsid w:val="009526B5"/>
    <w:rsid w:val="00953184"/>
    <w:rsid w:val="00953E8C"/>
    <w:rsid w:val="009540DD"/>
    <w:rsid w:val="00956154"/>
    <w:rsid w:val="00956164"/>
    <w:rsid w:val="0095618C"/>
    <w:rsid w:val="00956B12"/>
    <w:rsid w:val="00956C6E"/>
    <w:rsid w:val="00957840"/>
    <w:rsid w:val="009603E5"/>
    <w:rsid w:val="0096048D"/>
    <w:rsid w:val="00960FC7"/>
    <w:rsid w:val="009614F7"/>
    <w:rsid w:val="00962D94"/>
    <w:rsid w:val="00962DD6"/>
    <w:rsid w:val="009633F5"/>
    <w:rsid w:val="0096413B"/>
    <w:rsid w:val="0096417A"/>
    <w:rsid w:val="009641F7"/>
    <w:rsid w:val="0096528A"/>
    <w:rsid w:val="00965403"/>
    <w:rsid w:val="00967004"/>
    <w:rsid w:val="00967687"/>
    <w:rsid w:val="00967703"/>
    <w:rsid w:val="009702E5"/>
    <w:rsid w:val="009703D2"/>
    <w:rsid w:val="00972498"/>
    <w:rsid w:val="00972E15"/>
    <w:rsid w:val="00974673"/>
    <w:rsid w:val="009749D2"/>
    <w:rsid w:val="009751B3"/>
    <w:rsid w:val="0097612F"/>
    <w:rsid w:val="009763B2"/>
    <w:rsid w:val="00976F86"/>
    <w:rsid w:val="00977240"/>
    <w:rsid w:val="009773D6"/>
    <w:rsid w:val="0097740B"/>
    <w:rsid w:val="00980AED"/>
    <w:rsid w:val="0098124D"/>
    <w:rsid w:val="00982BF1"/>
    <w:rsid w:val="00982F32"/>
    <w:rsid w:val="00983558"/>
    <w:rsid w:val="00984327"/>
    <w:rsid w:val="009852E0"/>
    <w:rsid w:val="00985699"/>
    <w:rsid w:val="00985A3F"/>
    <w:rsid w:val="009875D6"/>
    <w:rsid w:val="00987A69"/>
    <w:rsid w:val="00987AE3"/>
    <w:rsid w:val="0099089A"/>
    <w:rsid w:val="00991FD1"/>
    <w:rsid w:val="009925C2"/>
    <w:rsid w:val="00994A07"/>
    <w:rsid w:val="00994BDE"/>
    <w:rsid w:val="00995321"/>
    <w:rsid w:val="00996679"/>
    <w:rsid w:val="009968BB"/>
    <w:rsid w:val="009969D3"/>
    <w:rsid w:val="00997230"/>
    <w:rsid w:val="00997925"/>
    <w:rsid w:val="00997C56"/>
    <w:rsid w:val="009A1320"/>
    <w:rsid w:val="009A1556"/>
    <w:rsid w:val="009A3439"/>
    <w:rsid w:val="009A3622"/>
    <w:rsid w:val="009A658E"/>
    <w:rsid w:val="009A69B9"/>
    <w:rsid w:val="009A78C1"/>
    <w:rsid w:val="009A7C03"/>
    <w:rsid w:val="009A7F81"/>
    <w:rsid w:val="009B05F4"/>
    <w:rsid w:val="009B067B"/>
    <w:rsid w:val="009B071E"/>
    <w:rsid w:val="009B086F"/>
    <w:rsid w:val="009B1B97"/>
    <w:rsid w:val="009B1EF9"/>
    <w:rsid w:val="009B26CC"/>
    <w:rsid w:val="009B2D6A"/>
    <w:rsid w:val="009B4CEF"/>
    <w:rsid w:val="009B52BC"/>
    <w:rsid w:val="009B5D43"/>
    <w:rsid w:val="009B60AA"/>
    <w:rsid w:val="009B61ED"/>
    <w:rsid w:val="009B6336"/>
    <w:rsid w:val="009B777B"/>
    <w:rsid w:val="009C2AFF"/>
    <w:rsid w:val="009C313C"/>
    <w:rsid w:val="009C32A2"/>
    <w:rsid w:val="009C3548"/>
    <w:rsid w:val="009C3794"/>
    <w:rsid w:val="009C382B"/>
    <w:rsid w:val="009C3CDE"/>
    <w:rsid w:val="009C4DEE"/>
    <w:rsid w:val="009C62E4"/>
    <w:rsid w:val="009D0A19"/>
    <w:rsid w:val="009D1125"/>
    <w:rsid w:val="009D171E"/>
    <w:rsid w:val="009D19BA"/>
    <w:rsid w:val="009D1D8D"/>
    <w:rsid w:val="009D1ED3"/>
    <w:rsid w:val="009D260B"/>
    <w:rsid w:val="009D2C8F"/>
    <w:rsid w:val="009D3627"/>
    <w:rsid w:val="009D43C7"/>
    <w:rsid w:val="009D4827"/>
    <w:rsid w:val="009D717D"/>
    <w:rsid w:val="009D72D3"/>
    <w:rsid w:val="009E07D5"/>
    <w:rsid w:val="009E1382"/>
    <w:rsid w:val="009E24ED"/>
    <w:rsid w:val="009E37FD"/>
    <w:rsid w:val="009E3A77"/>
    <w:rsid w:val="009E3DA2"/>
    <w:rsid w:val="009E4973"/>
    <w:rsid w:val="009E4B2D"/>
    <w:rsid w:val="009E50D4"/>
    <w:rsid w:val="009E5863"/>
    <w:rsid w:val="009E5AFE"/>
    <w:rsid w:val="009E6F92"/>
    <w:rsid w:val="009E703E"/>
    <w:rsid w:val="009E72B7"/>
    <w:rsid w:val="009F0599"/>
    <w:rsid w:val="009F104C"/>
    <w:rsid w:val="009F28FE"/>
    <w:rsid w:val="009F2F0C"/>
    <w:rsid w:val="009F300D"/>
    <w:rsid w:val="009F316D"/>
    <w:rsid w:val="009F33D5"/>
    <w:rsid w:val="009F3A8E"/>
    <w:rsid w:val="009F3E8D"/>
    <w:rsid w:val="009F416D"/>
    <w:rsid w:val="009F4A52"/>
    <w:rsid w:val="009F5607"/>
    <w:rsid w:val="009F5C6A"/>
    <w:rsid w:val="009F706E"/>
    <w:rsid w:val="00A013C3"/>
    <w:rsid w:val="00A029F9"/>
    <w:rsid w:val="00A02E5A"/>
    <w:rsid w:val="00A03C39"/>
    <w:rsid w:val="00A05378"/>
    <w:rsid w:val="00A05789"/>
    <w:rsid w:val="00A074A5"/>
    <w:rsid w:val="00A0775F"/>
    <w:rsid w:val="00A105B2"/>
    <w:rsid w:val="00A1074D"/>
    <w:rsid w:val="00A109AE"/>
    <w:rsid w:val="00A111DC"/>
    <w:rsid w:val="00A1132A"/>
    <w:rsid w:val="00A119A9"/>
    <w:rsid w:val="00A11C59"/>
    <w:rsid w:val="00A13181"/>
    <w:rsid w:val="00A13C40"/>
    <w:rsid w:val="00A13D88"/>
    <w:rsid w:val="00A13E2A"/>
    <w:rsid w:val="00A13F1D"/>
    <w:rsid w:val="00A13FF2"/>
    <w:rsid w:val="00A14383"/>
    <w:rsid w:val="00A14946"/>
    <w:rsid w:val="00A159CE"/>
    <w:rsid w:val="00A161A6"/>
    <w:rsid w:val="00A2135A"/>
    <w:rsid w:val="00A21491"/>
    <w:rsid w:val="00A21689"/>
    <w:rsid w:val="00A22967"/>
    <w:rsid w:val="00A23F95"/>
    <w:rsid w:val="00A23FD6"/>
    <w:rsid w:val="00A25086"/>
    <w:rsid w:val="00A2600D"/>
    <w:rsid w:val="00A262E8"/>
    <w:rsid w:val="00A2667A"/>
    <w:rsid w:val="00A279E0"/>
    <w:rsid w:val="00A30DB8"/>
    <w:rsid w:val="00A30F14"/>
    <w:rsid w:val="00A30FB2"/>
    <w:rsid w:val="00A31755"/>
    <w:rsid w:val="00A32B7B"/>
    <w:rsid w:val="00A33190"/>
    <w:rsid w:val="00A338D7"/>
    <w:rsid w:val="00A353C4"/>
    <w:rsid w:val="00A3557A"/>
    <w:rsid w:val="00A35611"/>
    <w:rsid w:val="00A36051"/>
    <w:rsid w:val="00A377DF"/>
    <w:rsid w:val="00A40076"/>
    <w:rsid w:val="00A40B90"/>
    <w:rsid w:val="00A40D3D"/>
    <w:rsid w:val="00A415A2"/>
    <w:rsid w:val="00A420FA"/>
    <w:rsid w:val="00A42787"/>
    <w:rsid w:val="00A46A17"/>
    <w:rsid w:val="00A47117"/>
    <w:rsid w:val="00A472C4"/>
    <w:rsid w:val="00A47403"/>
    <w:rsid w:val="00A47EB4"/>
    <w:rsid w:val="00A47F24"/>
    <w:rsid w:val="00A50A09"/>
    <w:rsid w:val="00A51081"/>
    <w:rsid w:val="00A514D2"/>
    <w:rsid w:val="00A53082"/>
    <w:rsid w:val="00A533C5"/>
    <w:rsid w:val="00A5382F"/>
    <w:rsid w:val="00A54384"/>
    <w:rsid w:val="00A5454B"/>
    <w:rsid w:val="00A54591"/>
    <w:rsid w:val="00A54984"/>
    <w:rsid w:val="00A55A56"/>
    <w:rsid w:val="00A5769E"/>
    <w:rsid w:val="00A57F78"/>
    <w:rsid w:val="00A60288"/>
    <w:rsid w:val="00A60A64"/>
    <w:rsid w:val="00A60E1D"/>
    <w:rsid w:val="00A61734"/>
    <w:rsid w:val="00A624AF"/>
    <w:rsid w:val="00A63400"/>
    <w:rsid w:val="00A63624"/>
    <w:rsid w:val="00A6477F"/>
    <w:rsid w:val="00A6544E"/>
    <w:rsid w:val="00A65FB9"/>
    <w:rsid w:val="00A67449"/>
    <w:rsid w:val="00A712EA"/>
    <w:rsid w:val="00A715FC"/>
    <w:rsid w:val="00A71CA4"/>
    <w:rsid w:val="00A71F3D"/>
    <w:rsid w:val="00A7256F"/>
    <w:rsid w:val="00A74CD0"/>
    <w:rsid w:val="00A74D5A"/>
    <w:rsid w:val="00A75A5E"/>
    <w:rsid w:val="00A76EDB"/>
    <w:rsid w:val="00A804C3"/>
    <w:rsid w:val="00A80690"/>
    <w:rsid w:val="00A806D8"/>
    <w:rsid w:val="00A80BF9"/>
    <w:rsid w:val="00A8101F"/>
    <w:rsid w:val="00A81709"/>
    <w:rsid w:val="00A81A08"/>
    <w:rsid w:val="00A82502"/>
    <w:rsid w:val="00A8258B"/>
    <w:rsid w:val="00A84174"/>
    <w:rsid w:val="00A851A9"/>
    <w:rsid w:val="00A8647F"/>
    <w:rsid w:val="00A868EA"/>
    <w:rsid w:val="00A8728C"/>
    <w:rsid w:val="00A87794"/>
    <w:rsid w:val="00A877D2"/>
    <w:rsid w:val="00A87972"/>
    <w:rsid w:val="00A87E3C"/>
    <w:rsid w:val="00A90084"/>
    <w:rsid w:val="00A901AF"/>
    <w:rsid w:val="00A90588"/>
    <w:rsid w:val="00A907D9"/>
    <w:rsid w:val="00A918F9"/>
    <w:rsid w:val="00A930EA"/>
    <w:rsid w:val="00A933FD"/>
    <w:rsid w:val="00A93CF8"/>
    <w:rsid w:val="00A93FD7"/>
    <w:rsid w:val="00A953D1"/>
    <w:rsid w:val="00A957F8"/>
    <w:rsid w:val="00A96142"/>
    <w:rsid w:val="00A96B6D"/>
    <w:rsid w:val="00A971B8"/>
    <w:rsid w:val="00A97EC0"/>
    <w:rsid w:val="00AA046F"/>
    <w:rsid w:val="00AA0692"/>
    <w:rsid w:val="00AA1246"/>
    <w:rsid w:val="00AA2676"/>
    <w:rsid w:val="00AA2935"/>
    <w:rsid w:val="00AA2D58"/>
    <w:rsid w:val="00AA34AB"/>
    <w:rsid w:val="00AA3F19"/>
    <w:rsid w:val="00AA3FB8"/>
    <w:rsid w:val="00AA6640"/>
    <w:rsid w:val="00AA7A4F"/>
    <w:rsid w:val="00AB10B3"/>
    <w:rsid w:val="00AB2954"/>
    <w:rsid w:val="00AB5EE7"/>
    <w:rsid w:val="00AB61E4"/>
    <w:rsid w:val="00AB6275"/>
    <w:rsid w:val="00AB634E"/>
    <w:rsid w:val="00AB6F3C"/>
    <w:rsid w:val="00AB72F0"/>
    <w:rsid w:val="00AB74B1"/>
    <w:rsid w:val="00AB791E"/>
    <w:rsid w:val="00AB7D5A"/>
    <w:rsid w:val="00AC0515"/>
    <w:rsid w:val="00AC15D8"/>
    <w:rsid w:val="00AC2BFC"/>
    <w:rsid w:val="00AC48F6"/>
    <w:rsid w:val="00AC4A22"/>
    <w:rsid w:val="00AC5969"/>
    <w:rsid w:val="00AC59A2"/>
    <w:rsid w:val="00AC615F"/>
    <w:rsid w:val="00AC64E1"/>
    <w:rsid w:val="00AC6732"/>
    <w:rsid w:val="00AC73DE"/>
    <w:rsid w:val="00AD1F70"/>
    <w:rsid w:val="00AD2067"/>
    <w:rsid w:val="00AD2841"/>
    <w:rsid w:val="00AD2AB7"/>
    <w:rsid w:val="00AD2FFC"/>
    <w:rsid w:val="00AD3DD4"/>
    <w:rsid w:val="00AD4204"/>
    <w:rsid w:val="00AD4347"/>
    <w:rsid w:val="00AD5189"/>
    <w:rsid w:val="00AD7F9E"/>
    <w:rsid w:val="00AD7FAE"/>
    <w:rsid w:val="00AE0A71"/>
    <w:rsid w:val="00AE11B9"/>
    <w:rsid w:val="00AE17AF"/>
    <w:rsid w:val="00AE2B46"/>
    <w:rsid w:val="00AE3093"/>
    <w:rsid w:val="00AE3476"/>
    <w:rsid w:val="00AE40E2"/>
    <w:rsid w:val="00AE4EEF"/>
    <w:rsid w:val="00AE511F"/>
    <w:rsid w:val="00AE55DB"/>
    <w:rsid w:val="00AE61E4"/>
    <w:rsid w:val="00AE6DF5"/>
    <w:rsid w:val="00AE70DE"/>
    <w:rsid w:val="00AE745E"/>
    <w:rsid w:val="00AE7C4D"/>
    <w:rsid w:val="00AE7EAF"/>
    <w:rsid w:val="00AF0197"/>
    <w:rsid w:val="00AF0776"/>
    <w:rsid w:val="00AF082A"/>
    <w:rsid w:val="00AF295E"/>
    <w:rsid w:val="00AF2C5A"/>
    <w:rsid w:val="00AF2FC4"/>
    <w:rsid w:val="00AF3243"/>
    <w:rsid w:val="00AF335F"/>
    <w:rsid w:val="00AF3980"/>
    <w:rsid w:val="00AF50E6"/>
    <w:rsid w:val="00AF593C"/>
    <w:rsid w:val="00AF6477"/>
    <w:rsid w:val="00AF7112"/>
    <w:rsid w:val="00B007EB"/>
    <w:rsid w:val="00B02C65"/>
    <w:rsid w:val="00B02FA6"/>
    <w:rsid w:val="00B04029"/>
    <w:rsid w:val="00B04879"/>
    <w:rsid w:val="00B05619"/>
    <w:rsid w:val="00B05B7E"/>
    <w:rsid w:val="00B05C5E"/>
    <w:rsid w:val="00B06855"/>
    <w:rsid w:val="00B07386"/>
    <w:rsid w:val="00B10207"/>
    <w:rsid w:val="00B11A39"/>
    <w:rsid w:val="00B124C8"/>
    <w:rsid w:val="00B135EF"/>
    <w:rsid w:val="00B13BFF"/>
    <w:rsid w:val="00B13C89"/>
    <w:rsid w:val="00B13F56"/>
    <w:rsid w:val="00B143F6"/>
    <w:rsid w:val="00B14C56"/>
    <w:rsid w:val="00B14D1E"/>
    <w:rsid w:val="00B15BC1"/>
    <w:rsid w:val="00B16BAE"/>
    <w:rsid w:val="00B1799B"/>
    <w:rsid w:val="00B204D8"/>
    <w:rsid w:val="00B20571"/>
    <w:rsid w:val="00B22475"/>
    <w:rsid w:val="00B228D4"/>
    <w:rsid w:val="00B24123"/>
    <w:rsid w:val="00B2496E"/>
    <w:rsid w:val="00B24FF4"/>
    <w:rsid w:val="00B25CA4"/>
    <w:rsid w:val="00B25CA9"/>
    <w:rsid w:val="00B25E27"/>
    <w:rsid w:val="00B30BC2"/>
    <w:rsid w:val="00B31A5C"/>
    <w:rsid w:val="00B32BE2"/>
    <w:rsid w:val="00B33CE2"/>
    <w:rsid w:val="00B34254"/>
    <w:rsid w:val="00B3447D"/>
    <w:rsid w:val="00B355A0"/>
    <w:rsid w:val="00B35C65"/>
    <w:rsid w:val="00B367CA"/>
    <w:rsid w:val="00B37511"/>
    <w:rsid w:val="00B37638"/>
    <w:rsid w:val="00B37A4F"/>
    <w:rsid w:val="00B40600"/>
    <w:rsid w:val="00B4065D"/>
    <w:rsid w:val="00B40A9D"/>
    <w:rsid w:val="00B40BE8"/>
    <w:rsid w:val="00B41064"/>
    <w:rsid w:val="00B435AA"/>
    <w:rsid w:val="00B439C5"/>
    <w:rsid w:val="00B46F60"/>
    <w:rsid w:val="00B46F6F"/>
    <w:rsid w:val="00B4711D"/>
    <w:rsid w:val="00B47203"/>
    <w:rsid w:val="00B47214"/>
    <w:rsid w:val="00B47796"/>
    <w:rsid w:val="00B52C2D"/>
    <w:rsid w:val="00B52D9A"/>
    <w:rsid w:val="00B5384A"/>
    <w:rsid w:val="00B53AAD"/>
    <w:rsid w:val="00B54EA7"/>
    <w:rsid w:val="00B55624"/>
    <w:rsid w:val="00B55FC7"/>
    <w:rsid w:val="00B563C4"/>
    <w:rsid w:val="00B56A68"/>
    <w:rsid w:val="00B578CF"/>
    <w:rsid w:val="00B60521"/>
    <w:rsid w:val="00B60526"/>
    <w:rsid w:val="00B60770"/>
    <w:rsid w:val="00B61120"/>
    <w:rsid w:val="00B611A9"/>
    <w:rsid w:val="00B62B99"/>
    <w:rsid w:val="00B62CF0"/>
    <w:rsid w:val="00B6313B"/>
    <w:rsid w:val="00B64BF4"/>
    <w:rsid w:val="00B65123"/>
    <w:rsid w:val="00B659BD"/>
    <w:rsid w:val="00B6671C"/>
    <w:rsid w:val="00B66AF7"/>
    <w:rsid w:val="00B66AFD"/>
    <w:rsid w:val="00B67827"/>
    <w:rsid w:val="00B67CE4"/>
    <w:rsid w:val="00B704C7"/>
    <w:rsid w:val="00B70A31"/>
    <w:rsid w:val="00B71007"/>
    <w:rsid w:val="00B71746"/>
    <w:rsid w:val="00B718CE"/>
    <w:rsid w:val="00B71B20"/>
    <w:rsid w:val="00B72A64"/>
    <w:rsid w:val="00B74195"/>
    <w:rsid w:val="00B749C6"/>
    <w:rsid w:val="00B751E9"/>
    <w:rsid w:val="00B75924"/>
    <w:rsid w:val="00B75AE0"/>
    <w:rsid w:val="00B75B79"/>
    <w:rsid w:val="00B75E0E"/>
    <w:rsid w:val="00B769A6"/>
    <w:rsid w:val="00B76A19"/>
    <w:rsid w:val="00B771DF"/>
    <w:rsid w:val="00B773C0"/>
    <w:rsid w:val="00B7742C"/>
    <w:rsid w:val="00B77D4A"/>
    <w:rsid w:val="00B80BAA"/>
    <w:rsid w:val="00B8117E"/>
    <w:rsid w:val="00B82045"/>
    <w:rsid w:val="00B82A51"/>
    <w:rsid w:val="00B8354B"/>
    <w:rsid w:val="00B83D61"/>
    <w:rsid w:val="00B841B3"/>
    <w:rsid w:val="00B845E2"/>
    <w:rsid w:val="00B849DB"/>
    <w:rsid w:val="00B85E02"/>
    <w:rsid w:val="00B8620C"/>
    <w:rsid w:val="00B862F3"/>
    <w:rsid w:val="00B868D5"/>
    <w:rsid w:val="00B93119"/>
    <w:rsid w:val="00B93762"/>
    <w:rsid w:val="00B96669"/>
    <w:rsid w:val="00B96C1E"/>
    <w:rsid w:val="00B97209"/>
    <w:rsid w:val="00B97273"/>
    <w:rsid w:val="00BA0521"/>
    <w:rsid w:val="00BA0D71"/>
    <w:rsid w:val="00BA1427"/>
    <w:rsid w:val="00BA16A0"/>
    <w:rsid w:val="00BA1AA0"/>
    <w:rsid w:val="00BA288C"/>
    <w:rsid w:val="00BA36B6"/>
    <w:rsid w:val="00BA4FE5"/>
    <w:rsid w:val="00BA50FC"/>
    <w:rsid w:val="00BA5F0E"/>
    <w:rsid w:val="00BA6356"/>
    <w:rsid w:val="00BA7109"/>
    <w:rsid w:val="00BA7318"/>
    <w:rsid w:val="00BA7ABC"/>
    <w:rsid w:val="00BA7FEF"/>
    <w:rsid w:val="00BB0FEE"/>
    <w:rsid w:val="00BB11DF"/>
    <w:rsid w:val="00BB15FE"/>
    <w:rsid w:val="00BB29EB"/>
    <w:rsid w:val="00BB43BC"/>
    <w:rsid w:val="00BB484C"/>
    <w:rsid w:val="00BB4FDA"/>
    <w:rsid w:val="00BB6DAE"/>
    <w:rsid w:val="00BB6DEE"/>
    <w:rsid w:val="00BC12F3"/>
    <w:rsid w:val="00BC131E"/>
    <w:rsid w:val="00BC1794"/>
    <w:rsid w:val="00BC1DB8"/>
    <w:rsid w:val="00BC2561"/>
    <w:rsid w:val="00BC34CF"/>
    <w:rsid w:val="00BC36EB"/>
    <w:rsid w:val="00BC3C73"/>
    <w:rsid w:val="00BC4485"/>
    <w:rsid w:val="00BC4F34"/>
    <w:rsid w:val="00BC656F"/>
    <w:rsid w:val="00BC6977"/>
    <w:rsid w:val="00BD0DC0"/>
    <w:rsid w:val="00BD1200"/>
    <w:rsid w:val="00BD1B74"/>
    <w:rsid w:val="00BD23C1"/>
    <w:rsid w:val="00BD2AB8"/>
    <w:rsid w:val="00BD2E60"/>
    <w:rsid w:val="00BD3378"/>
    <w:rsid w:val="00BD3D00"/>
    <w:rsid w:val="00BD5084"/>
    <w:rsid w:val="00BD6A36"/>
    <w:rsid w:val="00BD6D1D"/>
    <w:rsid w:val="00BD6F8D"/>
    <w:rsid w:val="00BD71E2"/>
    <w:rsid w:val="00BE0123"/>
    <w:rsid w:val="00BE0F5E"/>
    <w:rsid w:val="00BE1757"/>
    <w:rsid w:val="00BE1B1E"/>
    <w:rsid w:val="00BE287F"/>
    <w:rsid w:val="00BE2E1B"/>
    <w:rsid w:val="00BE2FD4"/>
    <w:rsid w:val="00BE4720"/>
    <w:rsid w:val="00BE4C74"/>
    <w:rsid w:val="00BE4F00"/>
    <w:rsid w:val="00BE525B"/>
    <w:rsid w:val="00BE545E"/>
    <w:rsid w:val="00BE5E6F"/>
    <w:rsid w:val="00BE621B"/>
    <w:rsid w:val="00BE6232"/>
    <w:rsid w:val="00BE647B"/>
    <w:rsid w:val="00BE6496"/>
    <w:rsid w:val="00BE658E"/>
    <w:rsid w:val="00BE7C08"/>
    <w:rsid w:val="00BF037F"/>
    <w:rsid w:val="00BF1607"/>
    <w:rsid w:val="00BF260F"/>
    <w:rsid w:val="00BF386B"/>
    <w:rsid w:val="00BF4068"/>
    <w:rsid w:val="00BF409C"/>
    <w:rsid w:val="00BF485B"/>
    <w:rsid w:val="00BF5B76"/>
    <w:rsid w:val="00BF664B"/>
    <w:rsid w:val="00C00791"/>
    <w:rsid w:val="00C00FA1"/>
    <w:rsid w:val="00C00FBD"/>
    <w:rsid w:val="00C02B0E"/>
    <w:rsid w:val="00C03C67"/>
    <w:rsid w:val="00C0414C"/>
    <w:rsid w:val="00C0558B"/>
    <w:rsid w:val="00C066D3"/>
    <w:rsid w:val="00C070EC"/>
    <w:rsid w:val="00C07B14"/>
    <w:rsid w:val="00C1011B"/>
    <w:rsid w:val="00C10587"/>
    <w:rsid w:val="00C106F0"/>
    <w:rsid w:val="00C10B91"/>
    <w:rsid w:val="00C110F5"/>
    <w:rsid w:val="00C128FE"/>
    <w:rsid w:val="00C12AE1"/>
    <w:rsid w:val="00C14139"/>
    <w:rsid w:val="00C14DE1"/>
    <w:rsid w:val="00C15762"/>
    <w:rsid w:val="00C15BCB"/>
    <w:rsid w:val="00C15DB1"/>
    <w:rsid w:val="00C16FFD"/>
    <w:rsid w:val="00C20E3E"/>
    <w:rsid w:val="00C2234F"/>
    <w:rsid w:val="00C22A84"/>
    <w:rsid w:val="00C22B81"/>
    <w:rsid w:val="00C2324E"/>
    <w:rsid w:val="00C2482A"/>
    <w:rsid w:val="00C27BBC"/>
    <w:rsid w:val="00C301A4"/>
    <w:rsid w:val="00C30230"/>
    <w:rsid w:val="00C31585"/>
    <w:rsid w:val="00C3281E"/>
    <w:rsid w:val="00C32B48"/>
    <w:rsid w:val="00C34E0F"/>
    <w:rsid w:val="00C3559D"/>
    <w:rsid w:val="00C35C53"/>
    <w:rsid w:val="00C3613D"/>
    <w:rsid w:val="00C36C18"/>
    <w:rsid w:val="00C37F0C"/>
    <w:rsid w:val="00C37F43"/>
    <w:rsid w:val="00C40056"/>
    <w:rsid w:val="00C40E0F"/>
    <w:rsid w:val="00C4142A"/>
    <w:rsid w:val="00C425E8"/>
    <w:rsid w:val="00C4533E"/>
    <w:rsid w:val="00C453CA"/>
    <w:rsid w:val="00C45471"/>
    <w:rsid w:val="00C45836"/>
    <w:rsid w:val="00C45DA5"/>
    <w:rsid w:val="00C46E23"/>
    <w:rsid w:val="00C47071"/>
    <w:rsid w:val="00C47927"/>
    <w:rsid w:val="00C479EA"/>
    <w:rsid w:val="00C47B7B"/>
    <w:rsid w:val="00C505F7"/>
    <w:rsid w:val="00C50C74"/>
    <w:rsid w:val="00C518A3"/>
    <w:rsid w:val="00C51B5C"/>
    <w:rsid w:val="00C52BD9"/>
    <w:rsid w:val="00C5303C"/>
    <w:rsid w:val="00C549A2"/>
    <w:rsid w:val="00C55F55"/>
    <w:rsid w:val="00C57148"/>
    <w:rsid w:val="00C571EB"/>
    <w:rsid w:val="00C602E8"/>
    <w:rsid w:val="00C61040"/>
    <w:rsid w:val="00C6278E"/>
    <w:rsid w:val="00C6483A"/>
    <w:rsid w:val="00C674CF"/>
    <w:rsid w:val="00C675DA"/>
    <w:rsid w:val="00C7000A"/>
    <w:rsid w:val="00C718DD"/>
    <w:rsid w:val="00C72B6A"/>
    <w:rsid w:val="00C72CD6"/>
    <w:rsid w:val="00C7360C"/>
    <w:rsid w:val="00C73C30"/>
    <w:rsid w:val="00C753E4"/>
    <w:rsid w:val="00C7543B"/>
    <w:rsid w:val="00C757AC"/>
    <w:rsid w:val="00C75E16"/>
    <w:rsid w:val="00C75EE3"/>
    <w:rsid w:val="00C76339"/>
    <w:rsid w:val="00C7768E"/>
    <w:rsid w:val="00C8003B"/>
    <w:rsid w:val="00C803BC"/>
    <w:rsid w:val="00C80860"/>
    <w:rsid w:val="00C80DE2"/>
    <w:rsid w:val="00C8234A"/>
    <w:rsid w:val="00C84235"/>
    <w:rsid w:val="00C844F5"/>
    <w:rsid w:val="00C84A3B"/>
    <w:rsid w:val="00C84FF4"/>
    <w:rsid w:val="00C852CE"/>
    <w:rsid w:val="00C85CB8"/>
    <w:rsid w:val="00C90267"/>
    <w:rsid w:val="00C90BDC"/>
    <w:rsid w:val="00C90D0B"/>
    <w:rsid w:val="00C90D53"/>
    <w:rsid w:val="00C918D9"/>
    <w:rsid w:val="00C91936"/>
    <w:rsid w:val="00C91F0A"/>
    <w:rsid w:val="00C92FE9"/>
    <w:rsid w:val="00C93A62"/>
    <w:rsid w:val="00C93F71"/>
    <w:rsid w:val="00C93FF1"/>
    <w:rsid w:val="00C94517"/>
    <w:rsid w:val="00C9467F"/>
    <w:rsid w:val="00C946A3"/>
    <w:rsid w:val="00C94B60"/>
    <w:rsid w:val="00C960CA"/>
    <w:rsid w:val="00C96A61"/>
    <w:rsid w:val="00C96FC2"/>
    <w:rsid w:val="00C97374"/>
    <w:rsid w:val="00CA0177"/>
    <w:rsid w:val="00CA0B94"/>
    <w:rsid w:val="00CA1462"/>
    <w:rsid w:val="00CA1849"/>
    <w:rsid w:val="00CA185E"/>
    <w:rsid w:val="00CA28A0"/>
    <w:rsid w:val="00CA2AAD"/>
    <w:rsid w:val="00CA2B87"/>
    <w:rsid w:val="00CA3848"/>
    <w:rsid w:val="00CA50E6"/>
    <w:rsid w:val="00CA52B0"/>
    <w:rsid w:val="00CA56E2"/>
    <w:rsid w:val="00CA7726"/>
    <w:rsid w:val="00CB0C31"/>
    <w:rsid w:val="00CB0F15"/>
    <w:rsid w:val="00CB1527"/>
    <w:rsid w:val="00CB22BF"/>
    <w:rsid w:val="00CB26FA"/>
    <w:rsid w:val="00CB2896"/>
    <w:rsid w:val="00CB352F"/>
    <w:rsid w:val="00CB3AAB"/>
    <w:rsid w:val="00CB48AC"/>
    <w:rsid w:val="00CB4D2A"/>
    <w:rsid w:val="00CB584D"/>
    <w:rsid w:val="00CB58A1"/>
    <w:rsid w:val="00CB69B3"/>
    <w:rsid w:val="00CB74F7"/>
    <w:rsid w:val="00CC0073"/>
    <w:rsid w:val="00CC061B"/>
    <w:rsid w:val="00CC125E"/>
    <w:rsid w:val="00CC18BF"/>
    <w:rsid w:val="00CC25CC"/>
    <w:rsid w:val="00CC28A1"/>
    <w:rsid w:val="00CC2BF3"/>
    <w:rsid w:val="00CC2CF0"/>
    <w:rsid w:val="00CC3375"/>
    <w:rsid w:val="00CC3580"/>
    <w:rsid w:val="00CC4146"/>
    <w:rsid w:val="00CC5269"/>
    <w:rsid w:val="00CC5322"/>
    <w:rsid w:val="00CC53BC"/>
    <w:rsid w:val="00CC7862"/>
    <w:rsid w:val="00CC7A32"/>
    <w:rsid w:val="00CD0660"/>
    <w:rsid w:val="00CD06CA"/>
    <w:rsid w:val="00CD0771"/>
    <w:rsid w:val="00CD1289"/>
    <w:rsid w:val="00CD13A6"/>
    <w:rsid w:val="00CD142D"/>
    <w:rsid w:val="00CD15AA"/>
    <w:rsid w:val="00CD290C"/>
    <w:rsid w:val="00CD3CF9"/>
    <w:rsid w:val="00CD3E76"/>
    <w:rsid w:val="00CD3EAE"/>
    <w:rsid w:val="00CD45E6"/>
    <w:rsid w:val="00CD4682"/>
    <w:rsid w:val="00CD6AD2"/>
    <w:rsid w:val="00CD71BB"/>
    <w:rsid w:val="00CD7BF5"/>
    <w:rsid w:val="00CE001F"/>
    <w:rsid w:val="00CE1A1D"/>
    <w:rsid w:val="00CE252C"/>
    <w:rsid w:val="00CE46EF"/>
    <w:rsid w:val="00CE47B5"/>
    <w:rsid w:val="00CE52BC"/>
    <w:rsid w:val="00CE5C13"/>
    <w:rsid w:val="00CE5CBE"/>
    <w:rsid w:val="00CE662A"/>
    <w:rsid w:val="00CE6DE6"/>
    <w:rsid w:val="00CE7C3D"/>
    <w:rsid w:val="00CF030A"/>
    <w:rsid w:val="00CF1374"/>
    <w:rsid w:val="00CF23AE"/>
    <w:rsid w:val="00CF383A"/>
    <w:rsid w:val="00CF4AAD"/>
    <w:rsid w:val="00CF56B7"/>
    <w:rsid w:val="00CF7CE0"/>
    <w:rsid w:val="00D00467"/>
    <w:rsid w:val="00D015B3"/>
    <w:rsid w:val="00D01742"/>
    <w:rsid w:val="00D0207F"/>
    <w:rsid w:val="00D0236C"/>
    <w:rsid w:val="00D026E5"/>
    <w:rsid w:val="00D02FA5"/>
    <w:rsid w:val="00D0362B"/>
    <w:rsid w:val="00D039B1"/>
    <w:rsid w:val="00D04226"/>
    <w:rsid w:val="00D044DD"/>
    <w:rsid w:val="00D045B0"/>
    <w:rsid w:val="00D05EDF"/>
    <w:rsid w:val="00D06083"/>
    <w:rsid w:val="00D06790"/>
    <w:rsid w:val="00D06E09"/>
    <w:rsid w:val="00D07F0E"/>
    <w:rsid w:val="00D115A0"/>
    <w:rsid w:val="00D117FE"/>
    <w:rsid w:val="00D11B0B"/>
    <w:rsid w:val="00D11FF1"/>
    <w:rsid w:val="00D12349"/>
    <w:rsid w:val="00D138C7"/>
    <w:rsid w:val="00D14E29"/>
    <w:rsid w:val="00D153D4"/>
    <w:rsid w:val="00D15DF2"/>
    <w:rsid w:val="00D1656F"/>
    <w:rsid w:val="00D17AAF"/>
    <w:rsid w:val="00D2003F"/>
    <w:rsid w:val="00D20579"/>
    <w:rsid w:val="00D20DCD"/>
    <w:rsid w:val="00D21127"/>
    <w:rsid w:val="00D217AB"/>
    <w:rsid w:val="00D2235B"/>
    <w:rsid w:val="00D22721"/>
    <w:rsid w:val="00D227ED"/>
    <w:rsid w:val="00D22B19"/>
    <w:rsid w:val="00D2362C"/>
    <w:rsid w:val="00D23C9B"/>
    <w:rsid w:val="00D2418F"/>
    <w:rsid w:val="00D24996"/>
    <w:rsid w:val="00D24C13"/>
    <w:rsid w:val="00D24D43"/>
    <w:rsid w:val="00D25073"/>
    <w:rsid w:val="00D253C5"/>
    <w:rsid w:val="00D25EE4"/>
    <w:rsid w:val="00D26059"/>
    <w:rsid w:val="00D260D3"/>
    <w:rsid w:val="00D2712C"/>
    <w:rsid w:val="00D27765"/>
    <w:rsid w:val="00D27BE6"/>
    <w:rsid w:val="00D310E9"/>
    <w:rsid w:val="00D3141D"/>
    <w:rsid w:val="00D3168F"/>
    <w:rsid w:val="00D31C6E"/>
    <w:rsid w:val="00D32D9C"/>
    <w:rsid w:val="00D339AD"/>
    <w:rsid w:val="00D339E0"/>
    <w:rsid w:val="00D345FE"/>
    <w:rsid w:val="00D34F1C"/>
    <w:rsid w:val="00D34FF5"/>
    <w:rsid w:val="00D351DF"/>
    <w:rsid w:val="00D35637"/>
    <w:rsid w:val="00D3580F"/>
    <w:rsid w:val="00D35F4F"/>
    <w:rsid w:val="00D36CF7"/>
    <w:rsid w:val="00D36ED6"/>
    <w:rsid w:val="00D406D0"/>
    <w:rsid w:val="00D423A7"/>
    <w:rsid w:val="00D42762"/>
    <w:rsid w:val="00D42B57"/>
    <w:rsid w:val="00D43234"/>
    <w:rsid w:val="00D43BCD"/>
    <w:rsid w:val="00D43CDE"/>
    <w:rsid w:val="00D44B73"/>
    <w:rsid w:val="00D455E4"/>
    <w:rsid w:val="00D45B6F"/>
    <w:rsid w:val="00D46C3C"/>
    <w:rsid w:val="00D47210"/>
    <w:rsid w:val="00D500E6"/>
    <w:rsid w:val="00D5024D"/>
    <w:rsid w:val="00D51323"/>
    <w:rsid w:val="00D51707"/>
    <w:rsid w:val="00D53D43"/>
    <w:rsid w:val="00D55EE4"/>
    <w:rsid w:val="00D560E5"/>
    <w:rsid w:val="00D560FD"/>
    <w:rsid w:val="00D56C6C"/>
    <w:rsid w:val="00D57657"/>
    <w:rsid w:val="00D57D67"/>
    <w:rsid w:val="00D60F8F"/>
    <w:rsid w:val="00D61194"/>
    <w:rsid w:val="00D6264A"/>
    <w:rsid w:val="00D628A7"/>
    <w:rsid w:val="00D637CA"/>
    <w:rsid w:val="00D6470F"/>
    <w:rsid w:val="00D6550C"/>
    <w:rsid w:val="00D656CD"/>
    <w:rsid w:val="00D660A5"/>
    <w:rsid w:val="00D661E4"/>
    <w:rsid w:val="00D66D87"/>
    <w:rsid w:val="00D677ED"/>
    <w:rsid w:val="00D7039D"/>
    <w:rsid w:val="00D72A3D"/>
    <w:rsid w:val="00D72E89"/>
    <w:rsid w:val="00D735A8"/>
    <w:rsid w:val="00D74BCD"/>
    <w:rsid w:val="00D75B0F"/>
    <w:rsid w:val="00D75C09"/>
    <w:rsid w:val="00D75F6E"/>
    <w:rsid w:val="00D760BD"/>
    <w:rsid w:val="00D76611"/>
    <w:rsid w:val="00D778D4"/>
    <w:rsid w:val="00D812A4"/>
    <w:rsid w:val="00D81756"/>
    <w:rsid w:val="00D82201"/>
    <w:rsid w:val="00D8320F"/>
    <w:rsid w:val="00D83831"/>
    <w:rsid w:val="00D839B6"/>
    <w:rsid w:val="00D83F40"/>
    <w:rsid w:val="00D841D9"/>
    <w:rsid w:val="00D84D72"/>
    <w:rsid w:val="00D84EA0"/>
    <w:rsid w:val="00D850BC"/>
    <w:rsid w:val="00D85C52"/>
    <w:rsid w:val="00D8665D"/>
    <w:rsid w:val="00D86744"/>
    <w:rsid w:val="00D86E21"/>
    <w:rsid w:val="00D8701E"/>
    <w:rsid w:val="00D90619"/>
    <w:rsid w:val="00D91031"/>
    <w:rsid w:val="00D9119A"/>
    <w:rsid w:val="00D91BB5"/>
    <w:rsid w:val="00D91DE7"/>
    <w:rsid w:val="00D921CD"/>
    <w:rsid w:val="00D9356D"/>
    <w:rsid w:val="00D93ED4"/>
    <w:rsid w:val="00D93FE2"/>
    <w:rsid w:val="00D94EAB"/>
    <w:rsid w:val="00D950AC"/>
    <w:rsid w:val="00D959C7"/>
    <w:rsid w:val="00D95F7D"/>
    <w:rsid w:val="00D96D33"/>
    <w:rsid w:val="00D97A6A"/>
    <w:rsid w:val="00D97CAE"/>
    <w:rsid w:val="00DA041A"/>
    <w:rsid w:val="00DA0C94"/>
    <w:rsid w:val="00DA1832"/>
    <w:rsid w:val="00DA211F"/>
    <w:rsid w:val="00DA25BD"/>
    <w:rsid w:val="00DA3590"/>
    <w:rsid w:val="00DA5896"/>
    <w:rsid w:val="00DA6313"/>
    <w:rsid w:val="00DA6537"/>
    <w:rsid w:val="00DA6707"/>
    <w:rsid w:val="00DA7CCF"/>
    <w:rsid w:val="00DA7DAC"/>
    <w:rsid w:val="00DB102D"/>
    <w:rsid w:val="00DB18DF"/>
    <w:rsid w:val="00DB1990"/>
    <w:rsid w:val="00DB2483"/>
    <w:rsid w:val="00DB296B"/>
    <w:rsid w:val="00DB361D"/>
    <w:rsid w:val="00DB5E9D"/>
    <w:rsid w:val="00DB5F2E"/>
    <w:rsid w:val="00DB688B"/>
    <w:rsid w:val="00DB6B93"/>
    <w:rsid w:val="00DB7007"/>
    <w:rsid w:val="00DB774A"/>
    <w:rsid w:val="00DC0F4C"/>
    <w:rsid w:val="00DC0F9A"/>
    <w:rsid w:val="00DC1218"/>
    <w:rsid w:val="00DC1B19"/>
    <w:rsid w:val="00DC2025"/>
    <w:rsid w:val="00DC251D"/>
    <w:rsid w:val="00DC256F"/>
    <w:rsid w:val="00DC2ADB"/>
    <w:rsid w:val="00DC3237"/>
    <w:rsid w:val="00DC4D40"/>
    <w:rsid w:val="00DC6357"/>
    <w:rsid w:val="00DC6EEE"/>
    <w:rsid w:val="00DC7F83"/>
    <w:rsid w:val="00DD0258"/>
    <w:rsid w:val="00DD0801"/>
    <w:rsid w:val="00DD09BF"/>
    <w:rsid w:val="00DD0A7F"/>
    <w:rsid w:val="00DD15B1"/>
    <w:rsid w:val="00DD2978"/>
    <w:rsid w:val="00DD29BA"/>
    <w:rsid w:val="00DD3CF9"/>
    <w:rsid w:val="00DD417A"/>
    <w:rsid w:val="00DD4545"/>
    <w:rsid w:val="00DD4DF3"/>
    <w:rsid w:val="00DD5709"/>
    <w:rsid w:val="00DD5AD4"/>
    <w:rsid w:val="00DD634C"/>
    <w:rsid w:val="00DD6970"/>
    <w:rsid w:val="00DD73A9"/>
    <w:rsid w:val="00DE0752"/>
    <w:rsid w:val="00DE0AC5"/>
    <w:rsid w:val="00DE1754"/>
    <w:rsid w:val="00DE1B04"/>
    <w:rsid w:val="00DE310A"/>
    <w:rsid w:val="00DE3586"/>
    <w:rsid w:val="00DE3C99"/>
    <w:rsid w:val="00DE4709"/>
    <w:rsid w:val="00DE682C"/>
    <w:rsid w:val="00DE6D5D"/>
    <w:rsid w:val="00DE70B7"/>
    <w:rsid w:val="00DF0BD7"/>
    <w:rsid w:val="00DF0CD6"/>
    <w:rsid w:val="00DF0EBA"/>
    <w:rsid w:val="00DF0F9A"/>
    <w:rsid w:val="00DF2661"/>
    <w:rsid w:val="00DF33D9"/>
    <w:rsid w:val="00DF3A27"/>
    <w:rsid w:val="00DF41A2"/>
    <w:rsid w:val="00DF4B3D"/>
    <w:rsid w:val="00DF4B89"/>
    <w:rsid w:val="00DF558D"/>
    <w:rsid w:val="00DF577E"/>
    <w:rsid w:val="00DF584E"/>
    <w:rsid w:val="00DF5B1C"/>
    <w:rsid w:val="00DF6597"/>
    <w:rsid w:val="00DF6FA2"/>
    <w:rsid w:val="00DF7E6C"/>
    <w:rsid w:val="00DF7F3B"/>
    <w:rsid w:val="00E02A82"/>
    <w:rsid w:val="00E02AEF"/>
    <w:rsid w:val="00E02DC2"/>
    <w:rsid w:val="00E03CE9"/>
    <w:rsid w:val="00E03EFA"/>
    <w:rsid w:val="00E03FE3"/>
    <w:rsid w:val="00E051C7"/>
    <w:rsid w:val="00E05F15"/>
    <w:rsid w:val="00E06C23"/>
    <w:rsid w:val="00E077B6"/>
    <w:rsid w:val="00E07932"/>
    <w:rsid w:val="00E07F90"/>
    <w:rsid w:val="00E10229"/>
    <w:rsid w:val="00E116F9"/>
    <w:rsid w:val="00E11792"/>
    <w:rsid w:val="00E11C66"/>
    <w:rsid w:val="00E1221F"/>
    <w:rsid w:val="00E12E5F"/>
    <w:rsid w:val="00E12F23"/>
    <w:rsid w:val="00E1387F"/>
    <w:rsid w:val="00E141C5"/>
    <w:rsid w:val="00E169E9"/>
    <w:rsid w:val="00E16D6A"/>
    <w:rsid w:val="00E16F09"/>
    <w:rsid w:val="00E17B9E"/>
    <w:rsid w:val="00E17D12"/>
    <w:rsid w:val="00E2003B"/>
    <w:rsid w:val="00E20056"/>
    <w:rsid w:val="00E215B1"/>
    <w:rsid w:val="00E21F51"/>
    <w:rsid w:val="00E221EA"/>
    <w:rsid w:val="00E2270C"/>
    <w:rsid w:val="00E22832"/>
    <w:rsid w:val="00E24099"/>
    <w:rsid w:val="00E2417A"/>
    <w:rsid w:val="00E24214"/>
    <w:rsid w:val="00E24F07"/>
    <w:rsid w:val="00E25773"/>
    <w:rsid w:val="00E25C7A"/>
    <w:rsid w:val="00E25E0A"/>
    <w:rsid w:val="00E26055"/>
    <w:rsid w:val="00E27663"/>
    <w:rsid w:val="00E27F62"/>
    <w:rsid w:val="00E30882"/>
    <w:rsid w:val="00E31AA3"/>
    <w:rsid w:val="00E325A6"/>
    <w:rsid w:val="00E32E03"/>
    <w:rsid w:val="00E32F01"/>
    <w:rsid w:val="00E3421A"/>
    <w:rsid w:val="00E346C9"/>
    <w:rsid w:val="00E34825"/>
    <w:rsid w:val="00E350DA"/>
    <w:rsid w:val="00E35310"/>
    <w:rsid w:val="00E357FC"/>
    <w:rsid w:val="00E361DA"/>
    <w:rsid w:val="00E3673B"/>
    <w:rsid w:val="00E36B09"/>
    <w:rsid w:val="00E36B6A"/>
    <w:rsid w:val="00E375F3"/>
    <w:rsid w:val="00E40BA2"/>
    <w:rsid w:val="00E4151B"/>
    <w:rsid w:val="00E415E6"/>
    <w:rsid w:val="00E41772"/>
    <w:rsid w:val="00E421BE"/>
    <w:rsid w:val="00E42ED8"/>
    <w:rsid w:val="00E43859"/>
    <w:rsid w:val="00E44C34"/>
    <w:rsid w:val="00E4699D"/>
    <w:rsid w:val="00E4782D"/>
    <w:rsid w:val="00E4790D"/>
    <w:rsid w:val="00E50428"/>
    <w:rsid w:val="00E50465"/>
    <w:rsid w:val="00E5137A"/>
    <w:rsid w:val="00E514B4"/>
    <w:rsid w:val="00E51BCE"/>
    <w:rsid w:val="00E52A79"/>
    <w:rsid w:val="00E5335F"/>
    <w:rsid w:val="00E53606"/>
    <w:rsid w:val="00E537BC"/>
    <w:rsid w:val="00E5413F"/>
    <w:rsid w:val="00E54992"/>
    <w:rsid w:val="00E54AF4"/>
    <w:rsid w:val="00E54CE4"/>
    <w:rsid w:val="00E555D2"/>
    <w:rsid w:val="00E55BBF"/>
    <w:rsid w:val="00E5688A"/>
    <w:rsid w:val="00E56BBB"/>
    <w:rsid w:val="00E57035"/>
    <w:rsid w:val="00E5723A"/>
    <w:rsid w:val="00E605BE"/>
    <w:rsid w:val="00E60B5C"/>
    <w:rsid w:val="00E61335"/>
    <w:rsid w:val="00E6258F"/>
    <w:rsid w:val="00E62EFE"/>
    <w:rsid w:val="00E63C7D"/>
    <w:rsid w:val="00E63D36"/>
    <w:rsid w:val="00E64455"/>
    <w:rsid w:val="00E64900"/>
    <w:rsid w:val="00E65791"/>
    <w:rsid w:val="00E658B5"/>
    <w:rsid w:val="00E66481"/>
    <w:rsid w:val="00E66B91"/>
    <w:rsid w:val="00E66DBB"/>
    <w:rsid w:val="00E66E31"/>
    <w:rsid w:val="00E670BF"/>
    <w:rsid w:val="00E6781E"/>
    <w:rsid w:val="00E67E57"/>
    <w:rsid w:val="00E71AE0"/>
    <w:rsid w:val="00E72244"/>
    <w:rsid w:val="00E7259F"/>
    <w:rsid w:val="00E72792"/>
    <w:rsid w:val="00E72AE7"/>
    <w:rsid w:val="00E72E2A"/>
    <w:rsid w:val="00E73B55"/>
    <w:rsid w:val="00E73FF8"/>
    <w:rsid w:val="00E74224"/>
    <w:rsid w:val="00E74A03"/>
    <w:rsid w:val="00E75CE3"/>
    <w:rsid w:val="00E804A8"/>
    <w:rsid w:val="00E80618"/>
    <w:rsid w:val="00E8200D"/>
    <w:rsid w:val="00E8298E"/>
    <w:rsid w:val="00E8340E"/>
    <w:rsid w:val="00E835E5"/>
    <w:rsid w:val="00E84120"/>
    <w:rsid w:val="00E84142"/>
    <w:rsid w:val="00E84F91"/>
    <w:rsid w:val="00E868F1"/>
    <w:rsid w:val="00E874E5"/>
    <w:rsid w:val="00E8768D"/>
    <w:rsid w:val="00E90C14"/>
    <w:rsid w:val="00E914D8"/>
    <w:rsid w:val="00E93296"/>
    <w:rsid w:val="00E9329B"/>
    <w:rsid w:val="00E93624"/>
    <w:rsid w:val="00E93E4C"/>
    <w:rsid w:val="00E94F72"/>
    <w:rsid w:val="00E96890"/>
    <w:rsid w:val="00E97580"/>
    <w:rsid w:val="00EA0081"/>
    <w:rsid w:val="00EA0187"/>
    <w:rsid w:val="00EA0AE4"/>
    <w:rsid w:val="00EA0DAA"/>
    <w:rsid w:val="00EA0FCB"/>
    <w:rsid w:val="00EA2E05"/>
    <w:rsid w:val="00EA3274"/>
    <w:rsid w:val="00EA4022"/>
    <w:rsid w:val="00EA6130"/>
    <w:rsid w:val="00EA6189"/>
    <w:rsid w:val="00EA6E02"/>
    <w:rsid w:val="00EA70A5"/>
    <w:rsid w:val="00EB186C"/>
    <w:rsid w:val="00EB18B0"/>
    <w:rsid w:val="00EB2762"/>
    <w:rsid w:val="00EB36D6"/>
    <w:rsid w:val="00EB5348"/>
    <w:rsid w:val="00EB6FD2"/>
    <w:rsid w:val="00EC006D"/>
    <w:rsid w:val="00EC1217"/>
    <w:rsid w:val="00EC128D"/>
    <w:rsid w:val="00EC1C6B"/>
    <w:rsid w:val="00EC2882"/>
    <w:rsid w:val="00EC307C"/>
    <w:rsid w:val="00EC3BAD"/>
    <w:rsid w:val="00EC4647"/>
    <w:rsid w:val="00EC4CA9"/>
    <w:rsid w:val="00EC4D12"/>
    <w:rsid w:val="00EC5C89"/>
    <w:rsid w:val="00EC5D17"/>
    <w:rsid w:val="00EC62BF"/>
    <w:rsid w:val="00EC70CE"/>
    <w:rsid w:val="00EC74F6"/>
    <w:rsid w:val="00ED1026"/>
    <w:rsid w:val="00ED16CC"/>
    <w:rsid w:val="00ED1CAE"/>
    <w:rsid w:val="00ED2273"/>
    <w:rsid w:val="00ED39C8"/>
    <w:rsid w:val="00ED53AA"/>
    <w:rsid w:val="00ED5F83"/>
    <w:rsid w:val="00ED6E61"/>
    <w:rsid w:val="00EE05E4"/>
    <w:rsid w:val="00EE0812"/>
    <w:rsid w:val="00EE0835"/>
    <w:rsid w:val="00EE1088"/>
    <w:rsid w:val="00EE2B15"/>
    <w:rsid w:val="00EE2C6C"/>
    <w:rsid w:val="00EE6F44"/>
    <w:rsid w:val="00EF1449"/>
    <w:rsid w:val="00EF1E96"/>
    <w:rsid w:val="00EF1F5E"/>
    <w:rsid w:val="00EF3147"/>
    <w:rsid w:val="00EF319F"/>
    <w:rsid w:val="00EF331A"/>
    <w:rsid w:val="00EF3853"/>
    <w:rsid w:val="00EF39FE"/>
    <w:rsid w:val="00EF4DB8"/>
    <w:rsid w:val="00EF65AA"/>
    <w:rsid w:val="00EF7026"/>
    <w:rsid w:val="00F00235"/>
    <w:rsid w:val="00F00B05"/>
    <w:rsid w:val="00F00F5E"/>
    <w:rsid w:val="00F01A5E"/>
    <w:rsid w:val="00F02BF3"/>
    <w:rsid w:val="00F046BA"/>
    <w:rsid w:val="00F049F1"/>
    <w:rsid w:val="00F05C8A"/>
    <w:rsid w:val="00F05CB9"/>
    <w:rsid w:val="00F06430"/>
    <w:rsid w:val="00F06683"/>
    <w:rsid w:val="00F0674B"/>
    <w:rsid w:val="00F07D5F"/>
    <w:rsid w:val="00F108EA"/>
    <w:rsid w:val="00F11E6B"/>
    <w:rsid w:val="00F15579"/>
    <w:rsid w:val="00F15DB2"/>
    <w:rsid w:val="00F1660C"/>
    <w:rsid w:val="00F16A79"/>
    <w:rsid w:val="00F16DFB"/>
    <w:rsid w:val="00F17114"/>
    <w:rsid w:val="00F20613"/>
    <w:rsid w:val="00F22344"/>
    <w:rsid w:val="00F24A29"/>
    <w:rsid w:val="00F24B2A"/>
    <w:rsid w:val="00F25375"/>
    <w:rsid w:val="00F25C33"/>
    <w:rsid w:val="00F25EFE"/>
    <w:rsid w:val="00F27CF7"/>
    <w:rsid w:val="00F3050A"/>
    <w:rsid w:val="00F3087F"/>
    <w:rsid w:val="00F3100B"/>
    <w:rsid w:val="00F313F1"/>
    <w:rsid w:val="00F31412"/>
    <w:rsid w:val="00F31497"/>
    <w:rsid w:val="00F32097"/>
    <w:rsid w:val="00F3236D"/>
    <w:rsid w:val="00F330F0"/>
    <w:rsid w:val="00F33A41"/>
    <w:rsid w:val="00F33C19"/>
    <w:rsid w:val="00F34A2E"/>
    <w:rsid w:val="00F34A95"/>
    <w:rsid w:val="00F34E23"/>
    <w:rsid w:val="00F36411"/>
    <w:rsid w:val="00F3662C"/>
    <w:rsid w:val="00F3771C"/>
    <w:rsid w:val="00F37805"/>
    <w:rsid w:val="00F379DE"/>
    <w:rsid w:val="00F37B46"/>
    <w:rsid w:val="00F401A6"/>
    <w:rsid w:val="00F4057E"/>
    <w:rsid w:val="00F407F7"/>
    <w:rsid w:val="00F4087F"/>
    <w:rsid w:val="00F40AC8"/>
    <w:rsid w:val="00F41BA5"/>
    <w:rsid w:val="00F4272B"/>
    <w:rsid w:val="00F42745"/>
    <w:rsid w:val="00F42A3C"/>
    <w:rsid w:val="00F440AB"/>
    <w:rsid w:val="00F449CB"/>
    <w:rsid w:val="00F4549B"/>
    <w:rsid w:val="00F45BFF"/>
    <w:rsid w:val="00F467C2"/>
    <w:rsid w:val="00F502AC"/>
    <w:rsid w:val="00F50EC1"/>
    <w:rsid w:val="00F51D54"/>
    <w:rsid w:val="00F5208F"/>
    <w:rsid w:val="00F52627"/>
    <w:rsid w:val="00F52C0B"/>
    <w:rsid w:val="00F54431"/>
    <w:rsid w:val="00F54885"/>
    <w:rsid w:val="00F54BB6"/>
    <w:rsid w:val="00F54CEB"/>
    <w:rsid w:val="00F55C8A"/>
    <w:rsid w:val="00F55EF6"/>
    <w:rsid w:val="00F566D0"/>
    <w:rsid w:val="00F56967"/>
    <w:rsid w:val="00F56BA1"/>
    <w:rsid w:val="00F56CBD"/>
    <w:rsid w:val="00F573B8"/>
    <w:rsid w:val="00F57FD8"/>
    <w:rsid w:val="00F626EB"/>
    <w:rsid w:val="00F62E37"/>
    <w:rsid w:val="00F63AFC"/>
    <w:rsid w:val="00F63E52"/>
    <w:rsid w:val="00F6491B"/>
    <w:rsid w:val="00F65397"/>
    <w:rsid w:val="00F6622F"/>
    <w:rsid w:val="00F67760"/>
    <w:rsid w:val="00F700F3"/>
    <w:rsid w:val="00F7019F"/>
    <w:rsid w:val="00F70514"/>
    <w:rsid w:val="00F7087D"/>
    <w:rsid w:val="00F716F9"/>
    <w:rsid w:val="00F71BD7"/>
    <w:rsid w:val="00F720CE"/>
    <w:rsid w:val="00F72BC6"/>
    <w:rsid w:val="00F730F9"/>
    <w:rsid w:val="00F732C9"/>
    <w:rsid w:val="00F73AD1"/>
    <w:rsid w:val="00F75ED2"/>
    <w:rsid w:val="00F7616A"/>
    <w:rsid w:val="00F762F0"/>
    <w:rsid w:val="00F76D5A"/>
    <w:rsid w:val="00F77041"/>
    <w:rsid w:val="00F777DD"/>
    <w:rsid w:val="00F779BF"/>
    <w:rsid w:val="00F82619"/>
    <w:rsid w:val="00F8264C"/>
    <w:rsid w:val="00F82917"/>
    <w:rsid w:val="00F831AF"/>
    <w:rsid w:val="00F83A58"/>
    <w:rsid w:val="00F83B05"/>
    <w:rsid w:val="00F84156"/>
    <w:rsid w:val="00F858DD"/>
    <w:rsid w:val="00F86941"/>
    <w:rsid w:val="00F87BEC"/>
    <w:rsid w:val="00F90D7D"/>
    <w:rsid w:val="00F90E4C"/>
    <w:rsid w:val="00F91113"/>
    <w:rsid w:val="00F9326C"/>
    <w:rsid w:val="00F93934"/>
    <w:rsid w:val="00F94E07"/>
    <w:rsid w:val="00F96C32"/>
    <w:rsid w:val="00F977D9"/>
    <w:rsid w:val="00F97BB1"/>
    <w:rsid w:val="00FA0A13"/>
    <w:rsid w:val="00FA1082"/>
    <w:rsid w:val="00FA1608"/>
    <w:rsid w:val="00FA192E"/>
    <w:rsid w:val="00FA1D2A"/>
    <w:rsid w:val="00FA2F3B"/>
    <w:rsid w:val="00FA317C"/>
    <w:rsid w:val="00FA34AF"/>
    <w:rsid w:val="00FA3ADB"/>
    <w:rsid w:val="00FA3FA5"/>
    <w:rsid w:val="00FA4F40"/>
    <w:rsid w:val="00FA7033"/>
    <w:rsid w:val="00FB0B14"/>
    <w:rsid w:val="00FB0F42"/>
    <w:rsid w:val="00FB1122"/>
    <w:rsid w:val="00FB120F"/>
    <w:rsid w:val="00FB15FF"/>
    <w:rsid w:val="00FB1DDB"/>
    <w:rsid w:val="00FB1FDA"/>
    <w:rsid w:val="00FB2845"/>
    <w:rsid w:val="00FB29C2"/>
    <w:rsid w:val="00FB3B70"/>
    <w:rsid w:val="00FB3DF3"/>
    <w:rsid w:val="00FB5284"/>
    <w:rsid w:val="00FB6968"/>
    <w:rsid w:val="00FB73EE"/>
    <w:rsid w:val="00FB75D4"/>
    <w:rsid w:val="00FC02D9"/>
    <w:rsid w:val="00FC14F6"/>
    <w:rsid w:val="00FC1F3A"/>
    <w:rsid w:val="00FC2305"/>
    <w:rsid w:val="00FC3416"/>
    <w:rsid w:val="00FC3E6C"/>
    <w:rsid w:val="00FC4603"/>
    <w:rsid w:val="00FC4688"/>
    <w:rsid w:val="00FC4BB5"/>
    <w:rsid w:val="00FC4E86"/>
    <w:rsid w:val="00FC5033"/>
    <w:rsid w:val="00FC52C7"/>
    <w:rsid w:val="00FC55E0"/>
    <w:rsid w:val="00FC5C5E"/>
    <w:rsid w:val="00FC6438"/>
    <w:rsid w:val="00FC7951"/>
    <w:rsid w:val="00FD2C8E"/>
    <w:rsid w:val="00FD3361"/>
    <w:rsid w:val="00FD58C5"/>
    <w:rsid w:val="00FD5DC3"/>
    <w:rsid w:val="00FD73EA"/>
    <w:rsid w:val="00FE058B"/>
    <w:rsid w:val="00FE064A"/>
    <w:rsid w:val="00FE2542"/>
    <w:rsid w:val="00FE2A02"/>
    <w:rsid w:val="00FE2B16"/>
    <w:rsid w:val="00FE33F6"/>
    <w:rsid w:val="00FE39A9"/>
    <w:rsid w:val="00FE4168"/>
    <w:rsid w:val="00FE50D7"/>
    <w:rsid w:val="00FE58E7"/>
    <w:rsid w:val="00FE6894"/>
    <w:rsid w:val="00FE6A5B"/>
    <w:rsid w:val="00FE7147"/>
    <w:rsid w:val="00FE7191"/>
    <w:rsid w:val="00FF1E2E"/>
    <w:rsid w:val="00FF223B"/>
    <w:rsid w:val="00FF3385"/>
    <w:rsid w:val="00FF473C"/>
    <w:rsid w:val="00FF4AEB"/>
    <w:rsid w:val="00FF705F"/>
    <w:rsid w:val="00FF78B4"/>
  </w:rsids>
  <m:mathPr>
    <m:mathFont m:val="Cambria Math"/>
    <m:smallFrac/>
  </m:mathPr>
  <w:themeFontLang w:val="bg-BG"/>
  <w:clrSchemeMapping w:bg1="light1" w:t1="dark1" w:bg2="light2" w:t2="dark2" w:accent1="accent1" w:accent2="accent2" w:accent3="accent3" w:accent4="accent4" w:accent5="accent5" w:accent6="accent6" w:hyperlink="hyperlink" w:followedHyperlink="followedHyperlink"/>
  <w:doNotIncludeSubdocsInStats/>
  <w15:docId w15:val="{459B3C8C-25F3-47A7-9E78-FF6EFE9FE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en-GB"/>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6BB0"/>
    <w:rPr>
      <w:noProof/>
      <w:sz w:val="24"/>
      <w:szCs w:val="24"/>
    </w:rPr>
  </w:style>
  <w:style w:type="paragraph" w:styleId="Heading1">
    <w:name w:val="heading 1"/>
    <w:aliases w:val="ПодРаздел"/>
    <w:basedOn w:val="Normal"/>
    <w:next w:val="Normal"/>
    <w:qFormat/>
    <w:rsid w:val="0096528A"/>
    <w:pPr>
      <w:keepNext/>
      <w:shd w:val="clear" w:color="auto" w:fill="90C5F6" w:themeFill="accent1" w:themeFillTint="66"/>
      <w:spacing w:before="120" w:after="120"/>
      <w:ind w:firstLine="432"/>
      <w:jc w:val="both"/>
      <w:outlineLvl w:val="0"/>
    </w:pPr>
    <w:rPr>
      <w:b/>
      <w:bCs/>
      <w:kern w:val="32"/>
      <w:szCs w:val="32"/>
    </w:rPr>
  </w:style>
  <w:style w:type="paragraph" w:styleId="Heading2">
    <w:name w:val="heading 2"/>
    <w:aliases w:val="Раздел"/>
    <w:basedOn w:val="Normal"/>
    <w:next w:val="Normal"/>
    <w:link w:val="Heading2Char"/>
    <w:qFormat/>
    <w:rsid w:val="00D117FE"/>
    <w:pPr>
      <w:keepNext/>
      <w:numPr>
        <w:numId w:val="19"/>
      </w:numPr>
      <w:shd w:val="clear" w:color="auto" w:fill="59A9F2" w:themeFill="accent1" w:themeFillTint="99"/>
      <w:spacing w:before="120" w:after="120"/>
      <w:jc w:val="both"/>
      <w:outlineLvl w:val="1"/>
    </w:pPr>
    <w:rPr>
      <w:b/>
      <w:bCs/>
      <w:iCs/>
      <w:caps/>
      <w:spacing w:val="20"/>
      <w:szCs w:val="28"/>
    </w:rPr>
  </w:style>
  <w:style w:type="paragraph" w:styleId="Heading3">
    <w:name w:val="heading 3"/>
    <w:basedOn w:val="Normal"/>
    <w:next w:val="Normal"/>
    <w:qFormat/>
    <w:rsid w:val="00D56C6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BC131E"/>
    <w:pPr>
      <w:spacing w:after="240"/>
      <w:ind w:left="482"/>
      <w:jc w:val="both"/>
    </w:pPr>
    <w:rPr>
      <w:noProof w:val="0"/>
      <w:szCs w:val="20"/>
    </w:rPr>
  </w:style>
  <w:style w:type="character" w:styleId="Hyperlink">
    <w:name w:val="Hyperlink"/>
    <w:uiPriority w:val="99"/>
    <w:rsid w:val="00FB1122"/>
    <w:rPr>
      <w:rFonts w:cs="Times New Roman"/>
      <w:color w:val="0000FF"/>
      <w:u w:val="single"/>
    </w:rPr>
  </w:style>
  <w:style w:type="table" w:styleId="TableGrid">
    <w:name w:val="Table Grid"/>
    <w:basedOn w:val="TableNormal"/>
    <w:rsid w:val="00FB11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90440E"/>
    <w:pPr>
      <w:spacing w:before="100" w:beforeAutospacing="1" w:after="100" w:afterAutospacing="1"/>
    </w:pPr>
    <w:rPr>
      <w:noProof w:val="0"/>
    </w:rPr>
  </w:style>
  <w:style w:type="paragraph" w:customStyle="1" w:styleId="Default">
    <w:name w:val="Default"/>
    <w:uiPriority w:val="99"/>
    <w:rsid w:val="00FB29C2"/>
    <w:pPr>
      <w:autoSpaceDE w:val="0"/>
      <w:autoSpaceDN w:val="0"/>
      <w:adjustRightInd w:val="0"/>
    </w:pPr>
    <w:rPr>
      <w:color w:val="000000"/>
      <w:sz w:val="24"/>
      <w:szCs w:val="24"/>
    </w:rPr>
  </w:style>
  <w:style w:type="paragraph" w:styleId="Footer">
    <w:name w:val="footer"/>
    <w:basedOn w:val="Normal"/>
    <w:link w:val="FooterChar"/>
    <w:uiPriority w:val="99"/>
    <w:rsid w:val="00A13D88"/>
    <w:pPr>
      <w:tabs>
        <w:tab w:val="center" w:pos="4536"/>
        <w:tab w:val="right" w:pos="9072"/>
      </w:tabs>
    </w:pPr>
  </w:style>
  <w:style w:type="character" w:styleId="PageNumber">
    <w:name w:val="page number"/>
    <w:basedOn w:val="DefaultParagraphFont"/>
    <w:rsid w:val="00A13D88"/>
  </w:style>
  <w:style w:type="paragraph" w:styleId="Header">
    <w:name w:val="header"/>
    <w:basedOn w:val="Normal"/>
    <w:link w:val="HeaderChar"/>
    <w:uiPriority w:val="99"/>
    <w:rsid w:val="00A13D88"/>
    <w:pPr>
      <w:tabs>
        <w:tab w:val="center" w:pos="4536"/>
        <w:tab w:val="right" w:pos="9072"/>
      </w:tabs>
    </w:pPr>
  </w:style>
  <w:style w:type="paragraph" w:customStyle="1" w:styleId="StandardText">
    <w:name w:val="Standard Text"/>
    <w:basedOn w:val="Normal"/>
    <w:rsid w:val="00390E69"/>
    <w:pPr>
      <w:spacing w:after="240" w:line="240" w:lineRule="exact"/>
      <w:jc w:val="both"/>
    </w:pPr>
    <w:rPr>
      <w:noProof w:val="0"/>
    </w:rPr>
  </w:style>
  <w:style w:type="paragraph" w:customStyle="1" w:styleId="Ueber1">
    <w:name w:val="Ueber 1"/>
    <w:basedOn w:val="Heading1"/>
    <w:next w:val="StandardText"/>
    <w:rsid w:val="00D56C6C"/>
    <w:pPr>
      <w:numPr>
        <w:numId w:val="1"/>
      </w:numPr>
      <w:spacing w:before="480" w:after="240" w:line="320" w:lineRule="exact"/>
    </w:pPr>
    <w:rPr>
      <w:noProof w:val="0"/>
      <w:sz w:val="28"/>
    </w:rPr>
  </w:style>
  <w:style w:type="paragraph" w:customStyle="1" w:styleId="Ueber2">
    <w:name w:val="Ueber 2"/>
    <w:basedOn w:val="Heading2"/>
    <w:next w:val="StandardText"/>
    <w:rsid w:val="00D56C6C"/>
    <w:pPr>
      <w:numPr>
        <w:ilvl w:val="1"/>
        <w:numId w:val="1"/>
      </w:numPr>
      <w:spacing w:before="360" w:after="240" w:line="320" w:lineRule="exact"/>
    </w:pPr>
    <w:rPr>
      <w:noProof w:val="0"/>
    </w:rPr>
  </w:style>
  <w:style w:type="paragraph" w:customStyle="1" w:styleId="Ueber3">
    <w:name w:val="Ueber 3"/>
    <w:basedOn w:val="Heading3"/>
    <w:next w:val="StandardText"/>
    <w:rsid w:val="00D56C6C"/>
    <w:pPr>
      <w:numPr>
        <w:ilvl w:val="2"/>
        <w:numId w:val="1"/>
      </w:numPr>
      <w:spacing w:before="360" w:after="240" w:line="240" w:lineRule="exact"/>
      <w:jc w:val="both"/>
    </w:pPr>
    <w:rPr>
      <w:noProof w:val="0"/>
      <w:sz w:val="24"/>
    </w:rPr>
  </w:style>
  <w:style w:type="character" w:customStyle="1" w:styleId="hps">
    <w:name w:val="hps"/>
    <w:basedOn w:val="DefaultParagraphFont"/>
    <w:rsid w:val="000055DE"/>
  </w:style>
  <w:style w:type="paragraph" w:customStyle="1" w:styleId="CM4">
    <w:name w:val="CM4"/>
    <w:basedOn w:val="Normal"/>
    <w:next w:val="Normal"/>
    <w:rsid w:val="00021991"/>
    <w:pPr>
      <w:autoSpaceDE w:val="0"/>
      <w:autoSpaceDN w:val="0"/>
      <w:adjustRightInd w:val="0"/>
    </w:pPr>
    <w:rPr>
      <w:rFonts w:ascii="EUAlbertina" w:hAnsi="EUAlbertina"/>
      <w:noProof w:val="0"/>
    </w:rPr>
  </w:style>
  <w:style w:type="character" w:customStyle="1" w:styleId="apple-style-span">
    <w:name w:val="apple-style-span"/>
    <w:basedOn w:val="DefaultParagraphFont"/>
    <w:rsid w:val="006A2243"/>
  </w:style>
  <w:style w:type="paragraph" w:styleId="BodyText">
    <w:name w:val="Body Text"/>
    <w:basedOn w:val="Normal"/>
    <w:rsid w:val="00FE2B16"/>
    <w:pPr>
      <w:spacing w:after="120"/>
    </w:pPr>
    <w:rPr>
      <w:noProof w:val="0"/>
    </w:rPr>
  </w:style>
  <w:style w:type="character" w:customStyle="1" w:styleId="HeaderChar">
    <w:name w:val="Header Char"/>
    <w:link w:val="Header"/>
    <w:uiPriority w:val="99"/>
    <w:rsid w:val="0008617B"/>
    <w:rPr>
      <w:noProof/>
      <w:sz w:val="24"/>
      <w:szCs w:val="24"/>
      <w:lang w:val="en-GB" w:eastAsia="en-GB" w:bidi="en-GB"/>
    </w:rPr>
  </w:style>
  <w:style w:type="character" w:customStyle="1" w:styleId="atn">
    <w:name w:val="atn"/>
    <w:basedOn w:val="DefaultParagraphFont"/>
    <w:rsid w:val="009B4CEF"/>
  </w:style>
  <w:style w:type="paragraph" w:customStyle="1" w:styleId="m">
    <w:name w:val="m"/>
    <w:basedOn w:val="Normal"/>
    <w:rsid w:val="00D75F6E"/>
    <w:pPr>
      <w:spacing w:before="100" w:beforeAutospacing="1" w:after="100" w:afterAutospacing="1"/>
    </w:pPr>
    <w:rPr>
      <w:noProof w:val="0"/>
    </w:rPr>
  </w:style>
  <w:style w:type="paragraph" w:styleId="BalloonText">
    <w:name w:val="Balloon Text"/>
    <w:basedOn w:val="Normal"/>
    <w:link w:val="BalloonTextChar"/>
    <w:rsid w:val="00A7256F"/>
    <w:rPr>
      <w:rFonts w:ascii="Tahoma" w:hAnsi="Tahoma" w:cs="Tahoma"/>
      <w:sz w:val="16"/>
      <w:szCs w:val="16"/>
    </w:rPr>
  </w:style>
  <w:style w:type="character" w:customStyle="1" w:styleId="BalloonTextChar">
    <w:name w:val="Balloon Text Char"/>
    <w:link w:val="BalloonText"/>
    <w:rsid w:val="00A7256F"/>
    <w:rPr>
      <w:rFonts w:ascii="Tahoma" w:hAnsi="Tahoma" w:cs="Tahoma"/>
      <w:noProof/>
      <w:sz w:val="16"/>
      <w:szCs w:val="16"/>
    </w:rPr>
  </w:style>
  <w:style w:type="character" w:customStyle="1" w:styleId="FooterChar">
    <w:name w:val="Footer Char"/>
    <w:link w:val="Footer"/>
    <w:uiPriority w:val="99"/>
    <w:rsid w:val="00270FF6"/>
    <w:rPr>
      <w:noProof/>
      <w:sz w:val="24"/>
      <w:szCs w:val="24"/>
    </w:rPr>
  </w:style>
  <w:style w:type="paragraph" w:customStyle="1" w:styleId="2909F619802848F09E01365C32F34654">
    <w:name w:val="2909F619802848F09E01365C32F34654"/>
    <w:rsid w:val="000D3B95"/>
    <w:pPr>
      <w:spacing w:after="200" w:line="276" w:lineRule="auto"/>
    </w:pPr>
    <w:rPr>
      <w:rFonts w:ascii="Calibri" w:hAnsi="Calibri"/>
      <w:sz w:val="22"/>
      <w:szCs w:val="22"/>
    </w:rPr>
  </w:style>
  <w:style w:type="paragraph" w:styleId="FootnoteText">
    <w:name w:val="footnote text"/>
    <w:basedOn w:val="Normal"/>
    <w:link w:val="FootnoteTextChar"/>
    <w:rsid w:val="00084411"/>
    <w:rPr>
      <w:sz w:val="20"/>
      <w:szCs w:val="20"/>
    </w:rPr>
  </w:style>
  <w:style w:type="character" w:customStyle="1" w:styleId="FootnoteTextChar">
    <w:name w:val="Footnote Text Char"/>
    <w:link w:val="FootnoteText"/>
    <w:rsid w:val="00084411"/>
    <w:rPr>
      <w:noProof/>
    </w:rPr>
  </w:style>
  <w:style w:type="character" w:styleId="FootnoteReference">
    <w:name w:val="footnote reference"/>
    <w:uiPriority w:val="99"/>
    <w:rsid w:val="00084411"/>
    <w:rPr>
      <w:rFonts w:cs="Times New Roman"/>
      <w:vertAlign w:val="superscript"/>
      <w:lang w:val="en-GB"/>
    </w:rPr>
  </w:style>
  <w:style w:type="paragraph" w:styleId="EndnoteText">
    <w:name w:val="endnote text"/>
    <w:basedOn w:val="Normal"/>
    <w:link w:val="EndnoteTextChar"/>
    <w:rsid w:val="00B52C2D"/>
    <w:rPr>
      <w:sz w:val="20"/>
      <w:szCs w:val="20"/>
    </w:rPr>
  </w:style>
  <w:style w:type="character" w:customStyle="1" w:styleId="EndnoteTextChar">
    <w:name w:val="Endnote Text Char"/>
    <w:link w:val="EndnoteText"/>
    <w:rsid w:val="00B52C2D"/>
    <w:rPr>
      <w:noProof/>
    </w:rPr>
  </w:style>
  <w:style w:type="character" w:styleId="EndnoteReference">
    <w:name w:val="endnote reference"/>
    <w:rsid w:val="00B52C2D"/>
    <w:rPr>
      <w:vertAlign w:val="superscript"/>
    </w:rPr>
  </w:style>
  <w:style w:type="paragraph" w:styleId="ListParagraph">
    <w:name w:val="List Paragraph"/>
    <w:basedOn w:val="Normal"/>
    <w:uiPriority w:val="34"/>
    <w:qFormat/>
    <w:rsid w:val="00EC5C89"/>
    <w:pPr>
      <w:ind w:left="708"/>
    </w:pPr>
  </w:style>
  <w:style w:type="paragraph" w:styleId="Title">
    <w:name w:val="Title"/>
    <w:basedOn w:val="Normal"/>
    <w:next w:val="Normal"/>
    <w:link w:val="TitleChar"/>
    <w:uiPriority w:val="10"/>
    <w:qFormat/>
    <w:rsid w:val="009F5607"/>
    <w:pPr>
      <w:pBdr>
        <w:bottom w:val="single" w:sz="8" w:space="4" w:color="4F81BD"/>
      </w:pBdr>
      <w:spacing w:after="300"/>
      <w:contextualSpacing/>
    </w:pPr>
    <w:rPr>
      <w:rFonts w:ascii="Cambria" w:eastAsia="MS Gothic" w:hAnsi="Cambria"/>
      <w:noProof w:val="0"/>
      <w:color w:val="17365D"/>
      <w:spacing w:val="5"/>
      <w:kern w:val="28"/>
      <w:sz w:val="52"/>
      <w:szCs w:val="52"/>
    </w:rPr>
  </w:style>
  <w:style w:type="character" w:customStyle="1" w:styleId="TitleChar">
    <w:name w:val="Title Char"/>
    <w:link w:val="Title"/>
    <w:uiPriority w:val="10"/>
    <w:rsid w:val="009F5607"/>
    <w:rPr>
      <w:rFonts w:ascii="Cambria" w:eastAsia="MS Gothic" w:hAnsi="Cambria"/>
      <w:color w:val="17365D"/>
      <w:spacing w:val="5"/>
      <w:kern w:val="28"/>
      <w:sz w:val="52"/>
      <w:szCs w:val="52"/>
      <w:lang w:val="en-GB" w:eastAsia="en-GB"/>
    </w:rPr>
  </w:style>
  <w:style w:type="paragraph" w:styleId="Subtitle">
    <w:name w:val="Subtitle"/>
    <w:basedOn w:val="Normal"/>
    <w:next w:val="Normal"/>
    <w:link w:val="SubtitleChar"/>
    <w:uiPriority w:val="11"/>
    <w:qFormat/>
    <w:rsid w:val="009F5607"/>
    <w:pPr>
      <w:numPr>
        <w:ilvl w:val="1"/>
      </w:numPr>
      <w:spacing w:after="200" w:line="276" w:lineRule="auto"/>
    </w:pPr>
    <w:rPr>
      <w:rFonts w:ascii="Cambria" w:eastAsia="MS Gothic" w:hAnsi="Cambria"/>
      <w:i/>
      <w:iCs/>
      <w:noProof w:val="0"/>
      <w:color w:val="4F81BD"/>
      <w:spacing w:val="15"/>
    </w:rPr>
  </w:style>
  <w:style w:type="character" w:customStyle="1" w:styleId="SubtitleChar">
    <w:name w:val="Subtitle Char"/>
    <w:link w:val="Subtitle"/>
    <w:uiPriority w:val="11"/>
    <w:rsid w:val="009F5607"/>
    <w:rPr>
      <w:rFonts w:ascii="Cambria" w:eastAsia="MS Gothic" w:hAnsi="Cambria"/>
      <w:i/>
      <w:iCs/>
      <w:color w:val="4F81BD"/>
      <w:spacing w:val="15"/>
      <w:sz w:val="24"/>
      <w:szCs w:val="24"/>
      <w:lang w:val="en-GB" w:eastAsia="en-GB"/>
    </w:rPr>
  </w:style>
  <w:style w:type="character" w:customStyle="1" w:styleId="3">
    <w:name w:val="Основен текст (3)_"/>
    <w:link w:val="31"/>
    <w:locked/>
    <w:rsid w:val="00217BED"/>
    <w:rPr>
      <w:b/>
      <w:bCs/>
      <w:shd w:val="clear" w:color="auto" w:fill="FFFFFF"/>
    </w:rPr>
  </w:style>
  <w:style w:type="paragraph" w:customStyle="1" w:styleId="31">
    <w:name w:val="Основен текст (3)1"/>
    <w:basedOn w:val="Normal"/>
    <w:link w:val="3"/>
    <w:rsid w:val="00217BED"/>
    <w:pPr>
      <w:shd w:val="clear" w:color="auto" w:fill="FFFFFF"/>
      <w:spacing w:before="120" w:line="245" w:lineRule="exact"/>
      <w:jc w:val="both"/>
    </w:pPr>
    <w:rPr>
      <w:b/>
      <w:bCs/>
      <w:noProof w:val="0"/>
      <w:sz w:val="20"/>
      <w:szCs w:val="20"/>
    </w:rPr>
  </w:style>
  <w:style w:type="character" w:styleId="Strong">
    <w:name w:val="Strong"/>
    <w:qFormat/>
    <w:rsid w:val="00A50A09"/>
    <w:rPr>
      <w:b/>
      <w:bCs/>
    </w:rPr>
  </w:style>
  <w:style w:type="character" w:styleId="CommentReference">
    <w:name w:val="annotation reference"/>
    <w:basedOn w:val="DefaultParagraphFont"/>
    <w:uiPriority w:val="99"/>
    <w:rsid w:val="008857A0"/>
    <w:rPr>
      <w:sz w:val="16"/>
      <w:szCs w:val="16"/>
    </w:rPr>
  </w:style>
  <w:style w:type="paragraph" w:styleId="CommentText">
    <w:name w:val="annotation text"/>
    <w:basedOn w:val="Normal"/>
    <w:link w:val="CommentTextChar"/>
    <w:uiPriority w:val="99"/>
    <w:rsid w:val="008857A0"/>
    <w:rPr>
      <w:sz w:val="20"/>
      <w:szCs w:val="20"/>
    </w:rPr>
  </w:style>
  <w:style w:type="character" w:customStyle="1" w:styleId="CommentTextChar">
    <w:name w:val="Comment Text Char"/>
    <w:basedOn w:val="DefaultParagraphFont"/>
    <w:link w:val="CommentText"/>
    <w:uiPriority w:val="99"/>
    <w:rsid w:val="008857A0"/>
    <w:rPr>
      <w:noProof/>
    </w:rPr>
  </w:style>
  <w:style w:type="paragraph" w:styleId="CommentSubject">
    <w:name w:val="annotation subject"/>
    <w:basedOn w:val="CommentText"/>
    <w:next w:val="CommentText"/>
    <w:link w:val="CommentSubjectChar"/>
    <w:rsid w:val="008857A0"/>
    <w:rPr>
      <w:b/>
      <w:bCs/>
    </w:rPr>
  </w:style>
  <w:style w:type="character" w:customStyle="1" w:styleId="CommentSubjectChar">
    <w:name w:val="Comment Subject Char"/>
    <w:basedOn w:val="CommentTextChar"/>
    <w:link w:val="CommentSubject"/>
    <w:rsid w:val="008857A0"/>
    <w:rPr>
      <w:b/>
      <w:bCs/>
      <w:noProof/>
    </w:rPr>
  </w:style>
  <w:style w:type="table" w:styleId="TableClassic2">
    <w:name w:val="Table Classic 2"/>
    <w:basedOn w:val="TableNormal"/>
    <w:rsid w:val="00563BC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63BC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63BC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rsid w:val="00563BC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63BC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63BC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63BC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63BC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MediumGrid3Accent4">
    <w:name w:val="Medium Grid 3 Accent 4"/>
    <w:basedOn w:val="TableNormal"/>
    <w:uiPriority w:val="69"/>
    <w:rsid w:val="00563B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FAE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0CF9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0CF9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0CF9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AF4D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AF4D3" w:themeFill="accent4" w:themeFillTint="7F"/>
      </w:tcPr>
    </w:tblStylePr>
  </w:style>
  <w:style w:type="character" w:styleId="FollowedHyperlink">
    <w:name w:val="FollowedHyperlink"/>
    <w:basedOn w:val="DefaultParagraphFont"/>
    <w:rsid w:val="003C4D10"/>
    <w:rPr>
      <w:color w:val="85DFD0" w:themeColor="followedHyperlink"/>
      <w:u w:val="single"/>
    </w:rPr>
  </w:style>
  <w:style w:type="table" w:styleId="MediumGrid3Accent2">
    <w:name w:val="Medium Grid 3 Accent 2"/>
    <w:basedOn w:val="TableNormal"/>
    <w:uiPriority w:val="69"/>
    <w:rsid w:val="00A30F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6EA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DD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DD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DD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DD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DD6FF" w:themeFill="accent2" w:themeFillTint="7F"/>
      </w:tcPr>
    </w:tblStylePr>
  </w:style>
  <w:style w:type="table" w:styleId="MediumGrid3Accent6">
    <w:name w:val="Medium Grid 3 Accent 6"/>
    <w:basedOn w:val="TableNormal"/>
    <w:uiPriority w:val="69"/>
    <w:rsid w:val="00A30F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MediumGrid2Accent6">
    <w:name w:val="Medium Grid 2 Accent 6"/>
    <w:basedOn w:val="TableNormal"/>
    <w:uiPriority w:val="68"/>
    <w:rsid w:val="00A30FB2"/>
    <w:rPr>
      <w:rFonts w:asciiTheme="majorHAnsi" w:eastAsiaTheme="majorEastAsia" w:hAnsiTheme="majorHAnsi" w:cstheme="majorBidi"/>
      <w:color w:val="000000" w:themeColor="text1"/>
    </w:rPr>
    <w:tblPr>
      <w:tblStyleRowBandSize w:val="1"/>
      <w:tblStyleColBandSize w:val="1"/>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Pr>
    <w:tcPr>
      <w:shd w:val="clear" w:color="auto" w:fill="E8F0D1" w:themeFill="accent6" w:themeFillTint="3F"/>
    </w:tcPr>
    <w:tblStylePr w:type="firstRow">
      <w:rPr>
        <w:b/>
        <w:bCs/>
        <w:color w:val="000000" w:themeColor="text1"/>
      </w:rPr>
      <w:tblPr/>
      <w:tcPr>
        <w:shd w:val="clear" w:color="auto" w:fill="F6F9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2DA" w:themeFill="accent6" w:themeFillTint="33"/>
      </w:tcPr>
    </w:tblStylePr>
    <w:tblStylePr w:type="band1Vert">
      <w:tblPr/>
      <w:tcPr>
        <w:shd w:val="clear" w:color="auto" w:fill="D1E0A4" w:themeFill="accent6" w:themeFillTint="7F"/>
      </w:tcPr>
    </w:tblStylePr>
    <w:tblStylePr w:type="band1Horz">
      <w:tblPr/>
      <w:tcPr>
        <w:tcBorders>
          <w:insideH w:val="single" w:sz="6" w:space="0" w:color="A5C249" w:themeColor="accent6"/>
          <w:insideV w:val="single" w:sz="6" w:space="0" w:color="A5C249" w:themeColor="accent6"/>
        </w:tcBorders>
        <w:shd w:val="clear" w:color="auto" w:fill="D1E0A4" w:themeFill="accent6" w:themeFillTint="7F"/>
      </w:tcPr>
    </w:tblStylePr>
    <w:tblStylePr w:type="nwCell">
      <w:tblPr/>
      <w:tcPr>
        <w:shd w:val="clear" w:color="auto" w:fill="FFFFFF" w:themeFill="background1"/>
      </w:tcPr>
    </w:tblStylePr>
  </w:style>
  <w:style w:type="table" w:styleId="MediumShading1Accent6">
    <w:name w:val="Medium Shading 1 Accent 6"/>
    <w:basedOn w:val="TableNormal"/>
    <w:uiPriority w:val="63"/>
    <w:rsid w:val="003220EA"/>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Pr>
    <w:tblStylePr w:type="firstRow">
      <w:pPr>
        <w:spacing w:before="0" w:after="0" w:line="240" w:lineRule="auto"/>
      </w:pPr>
      <w:rPr>
        <w:b/>
        <w:bCs/>
        <w:color w:val="FFFFFF"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9C3794"/>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2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CCA6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CCA6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CCA6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E4B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E4B0" w:themeFill="accent5" w:themeFillTint="7F"/>
      </w:tcPr>
    </w:tblStylePr>
  </w:style>
  <w:style w:type="table" w:styleId="MediumGrid3Accent1">
    <w:name w:val="Medium Grid 3 Accent 1"/>
    <w:basedOn w:val="TableNormal"/>
    <w:uiPriority w:val="69"/>
    <w:rsid w:val="000504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styleId="MediumGrid3Accent3">
    <w:name w:val="Medium Grid 3 Accent 3"/>
    <w:basedOn w:val="TableNormal"/>
    <w:uiPriority w:val="69"/>
    <w:rsid w:val="0005043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F8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BD0D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BD0D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BD0D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F2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F2F8" w:themeFill="accent3" w:themeFillTint="7F"/>
      </w:tcPr>
    </w:tblStylePr>
  </w:style>
  <w:style w:type="table" w:styleId="MediumGrid1Accent5">
    <w:name w:val="Medium Grid 1 Accent 5"/>
    <w:basedOn w:val="TableNormal"/>
    <w:uiPriority w:val="67"/>
    <w:rsid w:val="00812E8D"/>
    <w:tblPr>
      <w:tblStyleRowBandSize w:val="1"/>
      <w:tblStyleColBandSize w:val="1"/>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paragraph" w:styleId="NoSpacing">
    <w:name w:val="No Spacing"/>
    <w:link w:val="NoSpacingChar"/>
    <w:uiPriority w:val="1"/>
    <w:qFormat/>
    <w:rsid w:val="008D742A"/>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8D742A"/>
    <w:rPr>
      <w:rFonts w:asciiTheme="minorHAnsi" w:eastAsiaTheme="minorEastAsia" w:hAnsiTheme="minorHAnsi" w:cstheme="minorBidi"/>
      <w:sz w:val="22"/>
      <w:szCs w:val="22"/>
      <w:lang w:val="en-GB" w:eastAsia="en-GB"/>
    </w:rPr>
  </w:style>
  <w:style w:type="paragraph" w:styleId="Caption">
    <w:name w:val="caption"/>
    <w:basedOn w:val="Normal"/>
    <w:next w:val="Normal"/>
    <w:unhideWhenUsed/>
    <w:qFormat/>
    <w:rsid w:val="008F29BD"/>
    <w:pPr>
      <w:spacing w:after="200"/>
    </w:pPr>
    <w:rPr>
      <w:b/>
      <w:bCs/>
      <w:color w:val="0F6FC6" w:themeColor="accent1"/>
      <w:sz w:val="18"/>
      <w:szCs w:val="18"/>
    </w:rPr>
  </w:style>
  <w:style w:type="paragraph" w:styleId="TOCHeading">
    <w:name w:val="TOC Heading"/>
    <w:basedOn w:val="Heading1"/>
    <w:next w:val="Normal"/>
    <w:uiPriority w:val="39"/>
    <w:unhideWhenUsed/>
    <w:qFormat/>
    <w:rsid w:val="009925C2"/>
    <w:pPr>
      <w:keepLines/>
      <w:spacing w:before="480" w:after="0" w:line="276" w:lineRule="auto"/>
      <w:outlineLvl w:val="9"/>
    </w:pPr>
    <w:rPr>
      <w:rFonts w:asciiTheme="majorHAnsi" w:eastAsiaTheme="majorEastAsia" w:hAnsiTheme="majorHAnsi" w:cstheme="majorBidi"/>
      <w:noProof w:val="0"/>
      <w:color w:val="0B5294" w:themeColor="accent1" w:themeShade="BF"/>
      <w:kern w:val="0"/>
      <w:sz w:val="28"/>
      <w:szCs w:val="28"/>
    </w:rPr>
  </w:style>
  <w:style w:type="paragraph" w:styleId="TOC2">
    <w:name w:val="toc 2"/>
    <w:basedOn w:val="Normal"/>
    <w:next w:val="Normal"/>
    <w:autoRedefine/>
    <w:uiPriority w:val="39"/>
    <w:qFormat/>
    <w:rsid w:val="00DE682C"/>
    <w:pPr>
      <w:tabs>
        <w:tab w:val="left" w:pos="851"/>
        <w:tab w:val="right" w:leader="dot" w:pos="10632"/>
      </w:tabs>
      <w:spacing w:after="60"/>
      <w:ind w:left="567" w:hanging="567"/>
      <w:jc w:val="both"/>
    </w:pPr>
    <w:rPr>
      <w:rFonts w:eastAsia="Calibri"/>
      <w:b/>
      <w:caps/>
    </w:rPr>
  </w:style>
  <w:style w:type="paragraph" w:styleId="TOC1">
    <w:name w:val="toc 1"/>
    <w:basedOn w:val="Normal"/>
    <w:next w:val="Normal"/>
    <w:autoRedefine/>
    <w:uiPriority w:val="39"/>
    <w:qFormat/>
    <w:rsid w:val="00275944"/>
    <w:pPr>
      <w:tabs>
        <w:tab w:val="left" w:pos="0"/>
        <w:tab w:val="right" w:leader="dot" w:pos="10632"/>
        <w:tab w:val="right" w:leader="dot" w:pos="10773"/>
      </w:tabs>
      <w:spacing w:after="60"/>
      <w:ind w:left="567" w:hanging="567"/>
      <w:jc w:val="both"/>
    </w:pPr>
    <w:rPr>
      <w:bCs/>
      <w:smallCaps/>
    </w:rPr>
  </w:style>
  <w:style w:type="paragraph" w:styleId="TOC3">
    <w:name w:val="toc 3"/>
    <w:basedOn w:val="Normal"/>
    <w:next w:val="Normal"/>
    <w:autoRedefine/>
    <w:uiPriority w:val="39"/>
    <w:unhideWhenUsed/>
    <w:qFormat/>
    <w:rsid w:val="00B60526"/>
    <w:pPr>
      <w:spacing w:after="100" w:line="276" w:lineRule="auto"/>
      <w:ind w:left="446"/>
    </w:pPr>
    <w:rPr>
      <w:rFonts w:eastAsiaTheme="minorEastAsia"/>
      <w:smallCaps/>
      <w:noProof w:val="0"/>
      <w:szCs w:val="22"/>
    </w:rPr>
  </w:style>
  <w:style w:type="table" w:styleId="MediumGrid2Accent2">
    <w:name w:val="Medium Grid 2 Accent 2"/>
    <w:basedOn w:val="TableNormal"/>
    <w:uiPriority w:val="68"/>
    <w:rsid w:val="00E34825"/>
    <w:rPr>
      <w:rFonts w:asciiTheme="majorHAnsi" w:eastAsiaTheme="majorEastAsia" w:hAnsiTheme="majorHAnsi" w:cstheme="majorBidi"/>
      <w:color w:val="000000" w:themeColor="text1"/>
    </w:rPr>
    <w:tblPr>
      <w:tblStyleRowBandSize w:val="1"/>
      <w:tblStyleColBandSize w:val="1"/>
      <w:tblBorders>
        <w:top w:val="single" w:sz="8" w:space="0" w:color="009DD9" w:themeColor="accent2"/>
        <w:left w:val="single" w:sz="8" w:space="0" w:color="009DD9" w:themeColor="accent2"/>
        <w:bottom w:val="single" w:sz="8" w:space="0" w:color="009DD9" w:themeColor="accent2"/>
        <w:right w:val="single" w:sz="8" w:space="0" w:color="009DD9" w:themeColor="accent2"/>
        <w:insideH w:val="single" w:sz="8" w:space="0" w:color="009DD9" w:themeColor="accent2"/>
        <w:insideV w:val="single" w:sz="8" w:space="0" w:color="009DD9" w:themeColor="accent2"/>
      </w:tblBorders>
    </w:tblPr>
    <w:tcPr>
      <w:shd w:val="clear" w:color="auto" w:fill="B6EAFF" w:themeFill="accent2" w:themeFillTint="3F"/>
    </w:tcPr>
    <w:tblStylePr w:type="firstRow">
      <w:rPr>
        <w:b/>
        <w:bCs/>
        <w:color w:val="000000" w:themeColor="text1"/>
      </w:rPr>
      <w:tblPr/>
      <w:tcPr>
        <w:shd w:val="clear" w:color="auto" w:fill="E2F6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4EEFF" w:themeFill="accent2" w:themeFillTint="33"/>
      </w:tcPr>
    </w:tblStylePr>
    <w:tblStylePr w:type="band1Vert">
      <w:tblPr/>
      <w:tcPr>
        <w:shd w:val="clear" w:color="auto" w:fill="6DD6FF" w:themeFill="accent2" w:themeFillTint="7F"/>
      </w:tcPr>
    </w:tblStylePr>
    <w:tblStylePr w:type="band1Horz">
      <w:tblPr/>
      <w:tcPr>
        <w:tcBorders>
          <w:insideH w:val="single" w:sz="6" w:space="0" w:color="009DD9" w:themeColor="accent2"/>
          <w:insideV w:val="single" w:sz="6" w:space="0" w:color="009DD9" w:themeColor="accent2"/>
        </w:tcBorders>
        <w:shd w:val="clear" w:color="auto" w:fill="6DD6FF" w:themeFill="accent2" w:themeFillTint="7F"/>
      </w:tcPr>
    </w:tblStylePr>
    <w:tblStylePr w:type="nwCell">
      <w:tblPr/>
      <w:tcPr>
        <w:shd w:val="clear" w:color="auto" w:fill="FFFFFF" w:themeFill="background1"/>
      </w:tcPr>
    </w:tblStylePr>
  </w:style>
  <w:style w:type="table" w:styleId="TableList7">
    <w:name w:val="Table List 7"/>
    <w:basedOn w:val="TableNormal"/>
    <w:rsid w:val="00E8414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ghtGridAccent5">
    <w:name w:val="Light Grid Accent 5"/>
    <w:basedOn w:val="TableNormal"/>
    <w:uiPriority w:val="62"/>
    <w:rsid w:val="00436F39"/>
    <w:tblPr>
      <w:tblStyleRowBandSize w:val="1"/>
      <w:tblStyleColBandSize w:val="1"/>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paragraph" w:styleId="HTMLPreformatted">
    <w:name w:val="HTML Preformatted"/>
    <w:basedOn w:val="Normal"/>
    <w:link w:val="HTMLPreformattedChar"/>
    <w:rsid w:val="00AF2FC4"/>
    <w:rPr>
      <w:rFonts w:ascii="Consolas" w:hAnsi="Consolas" w:cs="Consolas"/>
      <w:sz w:val="20"/>
      <w:szCs w:val="20"/>
    </w:rPr>
  </w:style>
  <w:style w:type="character" w:customStyle="1" w:styleId="HTMLPreformattedChar">
    <w:name w:val="HTML Preformatted Char"/>
    <w:basedOn w:val="DefaultParagraphFont"/>
    <w:link w:val="HTMLPreformatted"/>
    <w:rsid w:val="00AF2FC4"/>
    <w:rPr>
      <w:rFonts w:ascii="Consolas" w:hAnsi="Consolas" w:cs="Consolas"/>
      <w:noProof/>
    </w:rPr>
  </w:style>
  <w:style w:type="table" w:styleId="MediumGrid1Accent6">
    <w:name w:val="Medium Grid 1 Accent 6"/>
    <w:basedOn w:val="TableNormal"/>
    <w:uiPriority w:val="67"/>
    <w:rsid w:val="00595B39"/>
    <w:tblPr>
      <w:tblStyleRowBandSize w:val="1"/>
      <w:tblStyleColBandSize w:val="1"/>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MediumGrid2Accent4">
    <w:name w:val="Medium Grid 2 Accent 4"/>
    <w:basedOn w:val="TableNormal"/>
    <w:uiPriority w:val="68"/>
    <w:rsid w:val="00595B39"/>
    <w:rPr>
      <w:rFonts w:asciiTheme="majorHAnsi" w:eastAsiaTheme="majorEastAsia" w:hAnsiTheme="majorHAnsi" w:cstheme="majorBidi"/>
      <w:color w:val="000000" w:themeColor="text1"/>
    </w:rPr>
    <w:tblPr>
      <w:tblStyleRowBandSize w:val="1"/>
      <w:tblStyleColBandSize w:val="1"/>
      <w:tblBorders>
        <w:top w:val="single" w:sz="8" w:space="0" w:color="10CF9B" w:themeColor="accent4"/>
        <w:left w:val="single" w:sz="8" w:space="0" w:color="10CF9B" w:themeColor="accent4"/>
        <w:bottom w:val="single" w:sz="8" w:space="0" w:color="10CF9B" w:themeColor="accent4"/>
        <w:right w:val="single" w:sz="8" w:space="0" w:color="10CF9B" w:themeColor="accent4"/>
        <w:insideH w:val="single" w:sz="8" w:space="0" w:color="10CF9B" w:themeColor="accent4"/>
        <w:insideV w:val="single" w:sz="8" w:space="0" w:color="10CF9B" w:themeColor="accent4"/>
      </w:tblBorders>
    </w:tblPr>
    <w:tcPr>
      <w:shd w:val="clear" w:color="auto" w:fill="BDFAE9" w:themeFill="accent4" w:themeFillTint="3F"/>
    </w:tcPr>
    <w:tblStylePr w:type="firstRow">
      <w:rPr>
        <w:b/>
        <w:bCs/>
        <w:color w:val="000000" w:themeColor="text1"/>
      </w:rPr>
      <w:tblPr/>
      <w:tcPr>
        <w:shd w:val="clear" w:color="auto" w:fill="E4FD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FBED" w:themeFill="accent4" w:themeFillTint="33"/>
      </w:tcPr>
    </w:tblStylePr>
    <w:tblStylePr w:type="band1Vert">
      <w:tblPr/>
      <w:tcPr>
        <w:shd w:val="clear" w:color="auto" w:fill="7AF4D3" w:themeFill="accent4" w:themeFillTint="7F"/>
      </w:tcPr>
    </w:tblStylePr>
    <w:tblStylePr w:type="band1Horz">
      <w:tblPr/>
      <w:tcPr>
        <w:tcBorders>
          <w:insideH w:val="single" w:sz="6" w:space="0" w:color="10CF9B" w:themeColor="accent4"/>
          <w:insideV w:val="single" w:sz="6" w:space="0" w:color="10CF9B" w:themeColor="accent4"/>
        </w:tcBorders>
        <w:shd w:val="clear" w:color="auto" w:fill="7AF4D3" w:themeFill="accent4" w:themeFillTint="7F"/>
      </w:tcPr>
    </w:tblStylePr>
    <w:tblStylePr w:type="nwCell">
      <w:tblPr/>
      <w:tcPr>
        <w:shd w:val="clear" w:color="auto" w:fill="FFFFFF" w:themeFill="background1"/>
      </w:tcPr>
    </w:tblStylePr>
  </w:style>
  <w:style w:type="character" w:customStyle="1" w:styleId="Heading2Char">
    <w:name w:val="Heading 2 Char"/>
    <w:aliases w:val="Раздел Char"/>
    <w:basedOn w:val="DefaultParagraphFont"/>
    <w:link w:val="Heading2"/>
    <w:rsid w:val="00D117FE"/>
    <w:rPr>
      <w:b/>
      <w:bCs/>
      <w:iCs/>
      <w:caps/>
      <w:noProof/>
      <w:spacing w:val="20"/>
      <w:sz w:val="24"/>
      <w:szCs w:val="28"/>
      <w:shd w:val="clear" w:color="auto" w:fill="59A9F2" w:themeFill="accent1" w:themeFillTint="9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apis://Base=APEV&amp;CELEX=02004L0049&amp;ToPar=Art14&#1072;_Par8&amp;Type=203/" TargetMode="External" /><Relationship Id="rId11" Type="http://schemas.openxmlformats.org/officeDocument/2006/relationships/image" Target="media/image4.jpeg" /><Relationship Id="rId12" Type="http://schemas.openxmlformats.org/officeDocument/2006/relationships/image" Target="media/image5.jpeg" /><Relationship Id="rId13" Type="http://schemas.openxmlformats.org/officeDocument/2006/relationships/image" Target="media/image6.jpeg" /><Relationship Id="rId14" Type="http://schemas.openxmlformats.org/officeDocument/2006/relationships/image" Target="media/image7.png" /><Relationship Id="rId15" Type="http://schemas.openxmlformats.org/officeDocument/2006/relationships/image" Target="media/image8.jpeg" /><Relationship Id="rId16" Type="http://schemas.openxmlformats.org/officeDocument/2006/relationships/image" Target="media/image9.jpeg" /><Relationship Id="rId17" Type="http://schemas.openxmlformats.org/officeDocument/2006/relationships/image" Target="media/image10.jpeg" /><Relationship Id="rId18" Type="http://schemas.openxmlformats.org/officeDocument/2006/relationships/image" Target="media/image11.jpeg" /><Relationship Id="rId19" Type="http://schemas.openxmlformats.org/officeDocument/2006/relationships/image" Target="media/image12.jpeg" /><Relationship Id="rId2" Type="http://schemas.openxmlformats.org/officeDocument/2006/relationships/settings" Target="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jpeg" /><Relationship Id="rId25" Type="http://schemas.openxmlformats.org/officeDocument/2006/relationships/hyperlink" Target="http://www.transportinfo.bg/" TargetMode="External" /><Relationship Id="rId26" Type="http://schemas.openxmlformats.org/officeDocument/2006/relationships/header" Target="header1.xml" /><Relationship Id="rId27" Type="http://schemas.openxmlformats.org/officeDocument/2006/relationships/footer" Target="footer1.xml" /><Relationship Id="rId28" Type="http://schemas.openxmlformats.org/officeDocument/2006/relationships/footer" Target="footer2.xml" /><Relationship Id="rId29" Type="http://schemas.openxmlformats.org/officeDocument/2006/relationships/header" Target="header2.xml" /><Relationship Id="rId3" Type="http://schemas.openxmlformats.org/officeDocument/2006/relationships/webSettings" Target="webSettings.xml" /><Relationship Id="rId30" Type="http://schemas.openxmlformats.org/officeDocument/2006/relationships/image" Target="media/image18.png" /><Relationship Id="rId31" Type="http://schemas.openxmlformats.org/officeDocument/2006/relationships/image" Target="media/image19.png" /><Relationship Id="rId32" Type="http://schemas.openxmlformats.org/officeDocument/2006/relationships/image" Target="media/image20.png" /><Relationship Id="rId33" Type="http://schemas.openxmlformats.org/officeDocument/2006/relationships/image" Target="media/image21.png" /><Relationship Id="rId34" Type="http://schemas.openxmlformats.org/officeDocument/2006/relationships/image" Target="media/image22.png" /><Relationship Id="rId35" Type="http://schemas.openxmlformats.org/officeDocument/2006/relationships/image" Target="media/image23.png" /><Relationship Id="rId36" Type="http://schemas.openxmlformats.org/officeDocument/2006/relationships/image" Target="media/image24.png" /><Relationship Id="rId37" Type="http://schemas.openxmlformats.org/officeDocument/2006/relationships/image" Target="media/image25.png" /><Relationship Id="rId38" Type="http://schemas.openxmlformats.org/officeDocument/2006/relationships/image" Target="media/image26.png" /><Relationship Id="rId39" Type="http://schemas.openxmlformats.org/officeDocument/2006/relationships/image" Target="media/image27.png" /><Relationship Id="rId4" Type="http://schemas.openxmlformats.org/officeDocument/2006/relationships/fontTable" Target="fontTable.xml" /><Relationship Id="rId40" Type="http://schemas.openxmlformats.org/officeDocument/2006/relationships/image" Target="media/image28.png" /><Relationship Id="rId41" Type="http://schemas.openxmlformats.org/officeDocument/2006/relationships/image" Target="media/image29.png" /><Relationship Id="rId42" Type="http://schemas.openxmlformats.org/officeDocument/2006/relationships/image" Target="media/image30.png" /><Relationship Id="rId43" Type="http://schemas.openxmlformats.org/officeDocument/2006/relationships/image" Target="media/image31.png" /><Relationship Id="rId44" Type="http://schemas.openxmlformats.org/officeDocument/2006/relationships/image" Target="media/image32.png" /><Relationship Id="rId45" Type="http://schemas.openxmlformats.org/officeDocument/2006/relationships/image" Target="media/image33.png" /><Relationship Id="rId46" Type="http://schemas.openxmlformats.org/officeDocument/2006/relationships/image" Target="media/image34.png" /><Relationship Id="rId47" Type="http://schemas.openxmlformats.org/officeDocument/2006/relationships/image" Target="media/image35.png" /><Relationship Id="rId48" Type="http://schemas.openxmlformats.org/officeDocument/2006/relationships/image" Target="media/image36.png" /><Relationship Id="rId49" Type="http://schemas.openxmlformats.org/officeDocument/2006/relationships/image" Target="media/image37.png" /><Relationship Id="rId5" Type="http://schemas.openxmlformats.org/officeDocument/2006/relationships/customXml" Target="../customXml/item1.xml" /><Relationship Id="rId50" Type="http://schemas.openxmlformats.org/officeDocument/2006/relationships/image" Target="media/image38.png" /><Relationship Id="rId51" Type="http://schemas.openxmlformats.org/officeDocument/2006/relationships/image" Target="media/image39.jpeg" /><Relationship Id="rId52" Type="http://schemas.openxmlformats.org/officeDocument/2006/relationships/header" Target="header3.xml" /><Relationship Id="rId53" Type="http://schemas.openxmlformats.org/officeDocument/2006/relationships/footer" Target="footer3.xml" /><Relationship Id="rId54" Type="http://schemas.openxmlformats.org/officeDocument/2006/relationships/theme" Target="theme/theme1.xml" /><Relationship Id="rId55" Type="http://schemas.openxmlformats.org/officeDocument/2006/relationships/numbering" Target="numbering.xml" /><Relationship Id="rId56" Type="http://schemas.openxmlformats.org/officeDocument/2006/relationships/styles" Target="styles.xml" /><Relationship Id="rId6" Type="http://schemas.openxmlformats.org/officeDocument/2006/relationships/customXml" Target="../customXml/item2.xm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word/_rels/footnotes.xml.rels>&#65279;<?xml version="1.0" encoding="utf-8" standalone="yes"?><Relationships xmlns="http://schemas.openxmlformats.org/package/2006/relationships"><Relationship Id="rId1" Type="http://schemas.openxmlformats.org/officeDocument/2006/relationships/hyperlink" Target="https://eradis.era.europa.eu/safety_docs/AnnualReport/default.aspx" TargetMode="External" /><Relationship Id="rId2" Type="http://schemas.openxmlformats.org/officeDocument/2006/relationships/hyperlink" Target="https://erail.era.europa.eu/safety-indicators.aspx" TargetMode="External" /></Relationships>
</file>

<file path=word/theme/_rels/theme1.xml.rels>&#65279;<?xml version="1.0" encoding="utf-8" standalone="yes"?><Relationships xmlns="http://schemas.openxmlformats.org/package/2006/relationships"><Relationship Id="rId1" Type="http://schemas.openxmlformats.org/officeDocument/2006/relationships/image" Target="../media/image40.jpeg" /></Relationships>
</file>

<file path=word/theme/theme1.xml><?xml version="1.0" encoding="utf-8"?>
<a:theme xmlns:a="http://schemas.openxmlformats.org/drawingml/2006/main" name="Flow">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low">
      <a:majorFont>
        <a:latin typeface="Calibri"/>
        <a:ea typeface=""/>
        <a:cs typeface=""/>
        <a:font script="Jpan" typeface="ＭＳ Ｐゴシック"/>
        <a:font script="Hang" typeface="HY중고딕"/>
        <a:font script="Hans" typeface="隶书"/>
        <a:font script="Hant" typeface="微軟正黑體"/>
        <a:font script="Arab" typeface="Traditional Arabic"/>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nstantia"/>
        <a:ea typeface=""/>
        <a:cs typeface=""/>
        <a:font script="Jpan" typeface="HGP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Flow">
      <a:fillStyleLst>
        <a:solidFill>
          <a:schemeClr val="phClr"/>
        </a:solidFill>
        <a:gradFill rotWithShape="1">
          <a:gsLst>
            <a:gs pos="0">
              <a:schemeClr val="phClr">
                <a:tint val="70000"/>
                <a:satMod val="130000"/>
              </a:schemeClr>
            </a:gs>
            <a:gs pos="43000">
              <a:schemeClr val="phClr">
                <a:tint val="44000"/>
                <a:satMod val="165000"/>
              </a:schemeClr>
            </a:gs>
            <a:gs pos="93000">
              <a:schemeClr val="phClr">
                <a:tint val="15000"/>
                <a:satMod val="165000"/>
              </a:schemeClr>
            </a:gs>
            <a:gs pos="100000">
              <a:schemeClr val="phClr">
                <a:tint val="5000"/>
                <a:satMod val="250000"/>
              </a:schemeClr>
            </a:gs>
          </a:gsLst>
          <a:path path="circle">
            <a:fillToRect l="50000" t="130000" r="50000" b="-30000"/>
          </a:path>
        </a:gradFill>
        <a:gradFill rotWithShape="1">
          <a:gsLst>
            <a:gs pos="0">
              <a:schemeClr val="phClr">
                <a:tint val="98000"/>
                <a:shade val="25000"/>
                <a:satMod val="250000"/>
              </a:schemeClr>
            </a:gs>
            <a:gs pos="68000">
              <a:schemeClr val="phClr">
                <a:tint val="86000"/>
                <a:satMod val="115000"/>
              </a:schemeClr>
            </a:gs>
            <a:gs pos="100000">
              <a:schemeClr val="phClr">
                <a:tint val="50000"/>
                <a:satMod val="150000"/>
              </a:schemeClr>
            </a:gs>
          </a:gsLst>
          <a:path path="circle">
            <a:fillToRect l="50000" t="130000" r="50000" b="-30000"/>
          </a:path>
        </a:gradFill>
      </a:fillStyleLst>
      <a:lnStyleLst>
        <a:ln w="9525" cap="flat" cmpd="sng" algn="ctr">
          <a:solidFill>
            <a:schemeClr val="phClr">
              <a:shade val="50000"/>
              <a:satMod val="103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effectStyle>
        <a:effectStyle>
          <a:effectLst>
            <a:outerShdw blurRad="57150" dist="38100" dir="5400000" algn="ctr" rotWithShape="0">
              <a:schemeClr val="phClr">
                <a:shade val="9000"/>
                <a:alpha val="48000"/>
                <a:satMod val="105000"/>
              </a:schemeClr>
            </a:outerShdw>
          </a:effectLst>
          <a:scene3d>
            <a:camera prst="orthographicFront">
              <a:rot lat="0" lon="0" rev="0"/>
            </a:camera>
            <a:lightRig rig="glow" dir="tl">
              <a:rot lat="0" lon="0" rev="900000"/>
            </a:lightRig>
          </a:scene3d>
          <a:sp3d prstMaterial="powder">
            <a:bevelT w="25400" h="38100"/>
          </a:sp3d>
        </a:effectStyle>
      </a:effectStyleLst>
      <a:bgFillStyleLst>
        <a:solidFill>
          <a:schemeClr val="phClr"/>
        </a:solidFill>
        <a:gradFill rotWithShape="1">
          <a:gsLst>
            <a:gs pos="0">
              <a:schemeClr val="phClr">
                <a:tint val="80000"/>
                <a:satMod val="400000"/>
              </a:schemeClr>
            </a:gs>
            <a:gs pos="25000">
              <a:schemeClr val="phClr">
                <a:tint val="83000"/>
                <a:satMod val="320000"/>
              </a:schemeClr>
            </a:gs>
            <a:gs pos="100000">
              <a:schemeClr val="phClr">
                <a:shade val="15000"/>
                <a:satMod val="320000"/>
              </a:schemeClr>
            </a:gs>
          </a:gsLst>
          <a:path path="circle">
            <a:fillToRect l="10000" t="110000" r="10000" b="100000"/>
          </a:path>
        </a:gradFill>
        <a:blipFill>
          <a:blip xmlns:r="http://schemas.openxmlformats.org/officeDocument/2006/relationships" r:embed="rId1">
            <a:duotone>
              <a:schemeClr val="phClr">
                <a:shade val="90000"/>
                <a:satMod val="150000"/>
              </a:schemeClr>
              <a:schemeClr val="phClr">
                <a:tint val="88000"/>
                <a:satMod val="150000"/>
              </a:schemeClr>
            </a:duotone>
          </a:blip>
          <a:tile tx="0" ty="0" sx="65000" sy="65000" flip="none" algn="tl"/>
        </a:blip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2018-09-28T00:00:00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8B23FD-4103-478E-B860-29BB46984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39</Pages>
  <Words>15156</Words>
  <Characters>83362</Characters>
  <Application>Microsoft Office Word</Application>
  <DocSecurity>0</DocSecurity>
  <Lines>694</Lines>
  <Paragraphs>196</Paragraphs>
  <ScaleCrop>false</ScaleCrop>
  <HeadingPairs>
    <vt:vector size="2" baseType="variant">
      <vt:variant>
        <vt:lpstr>Title</vt:lpstr>
      </vt:variant>
      <vt:variant>
        <vt:i4>1</vt:i4>
      </vt:variant>
    </vt:vector>
  </HeadingPairs>
  <TitlesOfParts>
    <vt:vector size="1" baseType="lpstr">
      <vt:lpstr>Годишен доклад за безопасност за 2017 г. на Националния орган за безопасност на Република България</vt:lpstr>
    </vt:vector>
  </TitlesOfParts>
  <Company>CDT</Company>
  <LinksUpToDate>false</LinksUpToDate>
  <CharactersWithSpaces>98322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Годишен доклад за безопасност за 2017 г. на Националния орган за безопасност на Република България</dc:title>
  <dc:creator>CDT</dc:creator>
  <cp:lastModifiedBy>CDT</cp:lastModifiedBy>
  <cp:revision>5</cp:revision>
  <cp:lastPrinted>2017-09-20T10:21:00Z</cp:lastPrinted>
  <dcterms:created xsi:type="dcterms:W3CDTF">2018-10-12T13:45:00Z</dcterms:created>
  <dcterms:modified xsi:type="dcterms:W3CDTF">2018-12-06T09:12:00Z</dcterms:modified>
</cp:coreProperties>
</file>