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FA3161" w:rsidRPr="00A1550F" w:rsidP="001F5808">
      <w:pPr>
        <w:spacing w:line="360" w:lineRule="auto"/>
        <w:rPr>
          <w:rFonts w:ascii="Arial" w:hAnsi="Arial" w:cs="Arial"/>
          <w:color w:val="000000"/>
          <w:sz w:val="22"/>
          <w:szCs w:val="22"/>
        </w:rPr>
      </w:pPr>
      <w:r w:rsidRPr="00A1550F">
        <w:rPr>
          <w:rFonts w:ascii="Arial" w:hAnsi="Arial" w:cs="Arial"/>
          <w:noProof/>
          <w:color w:val="000000"/>
          <w:sz w:val="22"/>
          <w:szCs w:val="22"/>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509270</wp:posOffset>
                </wp:positionH>
                <wp:positionV relativeFrom="paragraph">
                  <wp:posOffset>-7915910</wp:posOffset>
                </wp:positionV>
                <wp:extent cx="5607685" cy="7177405"/>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7685" cy="717740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2B24" w:rsidRPr="00A1550F" w:rsidP="00412D33">
                            <w:pPr>
                              <w:spacing w:line="360" w:lineRule="auto"/>
                              <w:jc w:val="center"/>
                              <w:rPr>
                                <w:rFonts w:ascii="Arial" w:hAnsi="Arial" w:cs="Arial"/>
                                <w:b/>
                                <w:sz w:val="44"/>
                                <w:szCs w:val="44"/>
                              </w:rPr>
                            </w:pPr>
                          </w:p>
                          <w:p w:rsidR="00CE2B24" w:rsidRPr="00A1550F" w:rsidP="00412D33">
                            <w:pPr>
                              <w:spacing w:line="360" w:lineRule="auto"/>
                              <w:jc w:val="center"/>
                              <w:rPr>
                                <w:rFonts w:ascii="Arial" w:hAnsi="Arial" w:cs="Arial"/>
                                <w:b/>
                                <w:sz w:val="44"/>
                                <w:szCs w:val="44"/>
                              </w:rPr>
                            </w:pPr>
                          </w:p>
                          <w:p w:rsidR="00CE2B24" w:rsidRPr="00A1550F" w:rsidP="00412D33">
                            <w:pPr>
                              <w:spacing w:line="360" w:lineRule="auto"/>
                              <w:jc w:val="center"/>
                              <w:rPr>
                                <w:rFonts w:ascii="Arial" w:hAnsi="Arial" w:cs="Arial"/>
                                <w:b/>
                                <w:sz w:val="52"/>
                                <w:szCs w:val="52"/>
                              </w:rPr>
                            </w:pPr>
                            <w:r w:rsidRPr="00A1550F">
                              <w:rPr>
                                <w:rFonts w:ascii="Arial" w:hAnsi="Arial"/>
                                <w:b/>
                                <w:sz w:val="52"/>
                              </w:rPr>
                              <w:t>Activity Report</w:t>
                            </w:r>
                          </w:p>
                          <w:p w:rsidR="00CE2B24" w:rsidRPr="00A1550F" w:rsidP="003809E9">
                            <w:pPr>
                              <w:spacing w:line="360" w:lineRule="auto"/>
                              <w:jc w:val="center"/>
                              <w:rPr>
                                <w:rFonts w:ascii="Arial" w:hAnsi="Arial" w:cs="Arial"/>
                                <w:b/>
                                <w:sz w:val="36"/>
                                <w:szCs w:val="36"/>
                              </w:rPr>
                            </w:pPr>
                            <w:r w:rsidRPr="00A1550F">
                              <w:rPr>
                                <w:rFonts w:ascii="Arial" w:hAnsi="Arial"/>
                                <w:b/>
                                <w:sz w:val="52"/>
                              </w:rPr>
                              <w:t>2017</w:t>
                            </w:r>
                          </w:p>
                          <w:p w:rsidR="00CE2B24" w:rsidRPr="00A1550F" w:rsidP="003809E9">
                            <w:pPr>
                              <w:spacing w:line="360" w:lineRule="auto"/>
                              <w:jc w:val="center"/>
                              <w:rPr>
                                <w:rFonts w:ascii="Arial" w:hAnsi="Arial" w:cs="Arial"/>
                                <w:b/>
                                <w:sz w:val="36"/>
                                <w:szCs w:val="36"/>
                              </w:rPr>
                            </w:pPr>
                          </w:p>
                          <w:p w:rsidR="00CE2B24" w:rsidRPr="00A1550F" w:rsidP="003809E9">
                            <w:pPr>
                              <w:spacing w:line="360" w:lineRule="auto"/>
                              <w:jc w:val="center"/>
                              <w:rPr>
                                <w:rFonts w:ascii="Arial" w:hAnsi="Arial" w:cs="Arial"/>
                                <w:b/>
                                <w:sz w:val="36"/>
                                <w:szCs w:val="36"/>
                              </w:rPr>
                            </w:pPr>
                          </w:p>
                          <w:p w:rsidR="00CE2B24" w:rsidRPr="00A1550F" w:rsidP="00E22C22">
                            <w:pPr>
                              <w:spacing w:line="360" w:lineRule="auto"/>
                              <w:jc w:val="center"/>
                              <w:rPr>
                                <w:rFonts w:ascii="Arial" w:hAnsi="Arial" w:cs="Arial"/>
                                <w:sz w:val="32"/>
                                <w:szCs w:val="32"/>
                              </w:rPr>
                            </w:pPr>
                            <w:r w:rsidRPr="00A1550F">
                              <w:rPr>
                                <w:rFonts w:ascii="Arial" w:hAnsi="Arial"/>
                                <w:sz w:val="32"/>
                              </w:rPr>
                              <w:t>September 2018</w:t>
                            </w:r>
                          </w:p>
                          <w:p w:rsidR="00CE2B24" w:rsidRPr="00A1550F" w:rsidP="00E22C22">
                            <w:pPr>
                              <w:spacing w:line="360" w:lineRule="auto"/>
                              <w:jc w:val="center"/>
                              <w:rPr>
                                <w:rFonts w:ascii="Arial" w:hAnsi="Arial" w:cs="Arial"/>
                                <w:sz w:val="32"/>
                                <w:szCs w:val="32"/>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rFonts w:ascii="Arial" w:hAnsi="Arial" w:cs="Arial"/>
                                <w:b/>
                                <w:sz w:val="28"/>
                                <w:szCs w:val="28"/>
                              </w:rPr>
                            </w:pPr>
                            <w:r w:rsidRPr="00A1550F">
                              <w:rPr>
                                <w:rFonts w:ascii="Arial" w:hAnsi="Arial"/>
                                <w:b/>
                                <w:sz w:val="28"/>
                              </w:rPr>
                              <w:t xml:space="preserve"> Railway Sector</w:t>
                            </w: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r w:rsidRPr="00A1550F">
                              <w:rPr>
                                <w:b/>
                                <w:sz w:val="28"/>
                              </w:rPr>
                              <w:t>TECHNICAL INVESTIGATION ADMINISTRATION</w:t>
                            </w:r>
                          </w:p>
                          <w:p w:rsidR="00CE2B24" w:rsidRPr="00A1550F" w:rsidP="003809E9">
                            <w:pPr>
                              <w:jc w:val="center"/>
                            </w:pPr>
                            <w:r w:rsidRPr="00A1550F">
                              <w:t>CIVIL AVIATION – MARITIME – INLAND WATERWAYS – RAILWAYS – ROADS</w:t>
                            </w:r>
                          </w:p>
                          <w:p w:rsidR="00A511FE" w:rsidRPr="00A1550F" w:rsidP="003809E9">
                            <w:pPr>
                              <w:jc w:val="center"/>
                            </w:pPr>
                            <w:r w:rsidRPr="00A1550F">
                              <w:rPr>
                                <w:noProof/>
                                <w:lang w:val="en-US" w:eastAsia="en-US" w:bidi="ar-SA"/>
                              </w:rPr>
                              <w:drawing>
                                <wp:inline distT="0" distB="0" distL="0" distR="0">
                                  <wp:extent cx="5400675" cy="1190625"/>
                                  <wp:effectExtent l="0" t="0" r="9525" b="9525"/>
                                  <wp:docPr id="12559839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97408" name="Picture 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0675" cy="1190625"/>
                                          </a:xfrm>
                                          <a:prstGeom prst="rect">
                                            <a:avLst/>
                                          </a:prstGeom>
                                          <a:noFill/>
                                          <a:ln>
                                            <a:noFill/>
                                          </a:ln>
                                        </pic:spPr>
                                      </pic:pic>
                                    </a:graphicData>
                                  </a:graphic>
                                </wp:inline>
                              </w:drawing>
                            </w:r>
                          </w:p>
                          <w:p w:rsidR="00CE2B24" w:rsidRPr="00A1550F" w:rsidP="003809E9">
                            <w:pPr>
                              <w:spacing w:line="360" w:lineRule="auto"/>
                              <w:jc w:val="center"/>
                              <w:rPr>
                                <w:rFonts w:ascii="Arial" w:hAnsi="Arial" w:cs="Arial"/>
                                <w:sz w:val="18"/>
                                <w:szCs w:val="18"/>
                              </w:rPr>
                            </w:pPr>
                          </w:p>
                          <w:p w:rsidR="00CE2B24" w:rsidRPr="00A1550F" w:rsidP="003809E9">
                            <w:pPr>
                              <w:spacing w:line="360" w:lineRule="auto"/>
                              <w:jc w:val="center"/>
                              <w:rPr>
                                <w:rFonts w:ascii="Arial" w:hAnsi="Arial" w:cs="Arial"/>
                                <w:sz w:val="28"/>
                                <w:szCs w:val="28"/>
                              </w:rPr>
                            </w:pPr>
                          </w:p>
                          <w:p w:rsidR="00CE2B24" w:rsidRPr="00A1550F" w:rsidP="003809E9">
                            <w:pPr>
                              <w:spacing w:line="360" w:lineRule="auto"/>
                              <w:jc w:val="center"/>
                              <w:rPr>
                                <w:rFonts w:ascii="Arial" w:hAnsi="Arial" w:cs="Arial"/>
                                <w:sz w:val="28"/>
                                <w:szCs w:val="28"/>
                              </w:rPr>
                            </w:pPr>
                          </w:p>
                          <w:p w:rsidR="00CE2B24" w:rsidRPr="00A1550F" w:rsidP="003809E9">
                            <w:pPr>
                              <w:spacing w:line="360" w:lineRule="auto"/>
                              <w:rPr>
                                <w:rFonts w:ascii="Arial" w:hAnsi="Arial" w:cs="Arial"/>
                                <w:sz w:val="36"/>
                                <w:szCs w:val="36"/>
                              </w:rPr>
                            </w:pPr>
                          </w:p>
                          <w:p w:rsidR="00CE2B24" w:rsidRPr="00A1550F" w:rsidP="003809E9">
                            <w:pPr>
                              <w:spacing w:line="360" w:lineRule="auto"/>
                              <w:rPr>
                                <w:rFonts w:ascii="Arial" w:hAnsi="Arial" w:cs="Arial"/>
                                <w:sz w:val="36"/>
                                <w:szCs w:val="36"/>
                              </w:rPr>
                            </w:pPr>
                          </w:p>
                          <w:p w:rsidR="00CE2B24" w:rsidRPr="00A1550F"/>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41.55pt;height:565.15pt;margin-top:-623.3pt;margin-left:40.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E2B24" w:rsidRPr="00A1550F" w:rsidP="00412D33">
                      <w:pPr>
                        <w:spacing w:line="360" w:lineRule="auto"/>
                        <w:jc w:val="center"/>
                        <w:rPr>
                          <w:rFonts w:ascii="Arial" w:hAnsi="Arial" w:cs="Arial"/>
                          <w:b/>
                          <w:sz w:val="44"/>
                          <w:szCs w:val="44"/>
                        </w:rPr>
                      </w:pPr>
                    </w:p>
                    <w:p w:rsidR="00CE2B24" w:rsidRPr="00A1550F" w:rsidP="00412D33">
                      <w:pPr>
                        <w:spacing w:line="360" w:lineRule="auto"/>
                        <w:jc w:val="center"/>
                        <w:rPr>
                          <w:rFonts w:ascii="Arial" w:hAnsi="Arial" w:cs="Arial"/>
                          <w:b/>
                          <w:sz w:val="44"/>
                          <w:szCs w:val="44"/>
                        </w:rPr>
                      </w:pPr>
                    </w:p>
                    <w:p w:rsidR="00CE2B24" w:rsidRPr="00A1550F" w:rsidP="00412D33">
                      <w:pPr>
                        <w:spacing w:line="360" w:lineRule="auto"/>
                        <w:jc w:val="center"/>
                        <w:rPr>
                          <w:rFonts w:ascii="Arial" w:hAnsi="Arial" w:cs="Arial"/>
                          <w:b/>
                          <w:sz w:val="52"/>
                          <w:szCs w:val="52"/>
                        </w:rPr>
                      </w:pPr>
                      <w:r w:rsidRPr="00A1550F">
                        <w:rPr>
                          <w:rFonts w:ascii="Arial" w:hAnsi="Arial"/>
                          <w:b/>
                          <w:sz w:val="52"/>
                        </w:rPr>
                        <w:t>Activity Report</w:t>
                      </w:r>
                    </w:p>
                    <w:p w:rsidR="00CE2B24" w:rsidRPr="00A1550F" w:rsidP="003809E9">
                      <w:pPr>
                        <w:spacing w:line="360" w:lineRule="auto"/>
                        <w:jc w:val="center"/>
                        <w:rPr>
                          <w:rFonts w:ascii="Arial" w:hAnsi="Arial" w:cs="Arial"/>
                          <w:b/>
                          <w:sz w:val="36"/>
                          <w:szCs w:val="36"/>
                        </w:rPr>
                      </w:pPr>
                      <w:r w:rsidRPr="00A1550F">
                        <w:rPr>
                          <w:rFonts w:ascii="Arial" w:hAnsi="Arial"/>
                          <w:b/>
                          <w:sz w:val="52"/>
                        </w:rPr>
                        <w:t>2017</w:t>
                      </w:r>
                    </w:p>
                    <w:p w:rsidR="00CE2B24" w:rsidRPr="00A1550F" w:rsidP="003809E9">
                      <w:pPr>
                        <w:spacing w:line="360" w:lineRule="auto"/>
                        <w:jc w:val="center"/>
                        <w:rPr>
                          <w:rFonts w:ascii="Arial" w:hAnsi="Arial" w:cs="Arial"/>
                          <w:b/>
                          <w:sz w:val="36"/>
                          <w:szCs w:val="36"/>
                        </w:rPr>
                      </w:pPr>
                    </w:p>
                    <w:p w:rsidR="00CE2B24" w:rsidRPr="00A1550F" w:rsidP="003809E9">
                      <w:pPr>
                        <w:spacing w:line="360" w:lineRule="auto"/>
                        <w:jc w:val="center"/>
                        <w:rPr>
                          <w:rFonts w:ascii="Arial" w:hAnsi="Arial" w:cs="Arial"/>
                          <w:b/>
                          <w:sz w:val="36"/>
                          <w:szCs w:val="36"/>
                        </w:rPr>
                      </w:pPr>
                    </w:p>
                    <w:p w:rsidR="00CE2B24" w:rsidRPr="00A1550F" w:rsidP="00E22C22">
                      <w:pPr>
                        <w:spacing w:line="360" w:lineRule="auto"/>
                        <w:jc w:val="center"/>
                        <w:rPr>
                          <w:rFonts w:ascii="Arial" w:hAnsi="Arial" w:cs="Arial"/>
                          <w:sz w:val="32"/>
                          <w:szCs w:val="32"/>
                        </w:rPr>
                      </w:pPr>
                      <w:r w:rsidRPr="00A1550F">
                        <w:rPr>
                          <w:rFonts w:ascii="Arial" w:hAnsi="Arial"/>
                          <w:sz w:val="32"/>
                        </w:rPr>
                        <w:t>September 2018</w:t>
                      </w:r>
                    </w:p>
                    <w:p w:rsidR="00CE2B24" w:rsidRPr="00A1550F" w:rsidP="00E22C22">
                      <w:pPr>
                        <w:spacing w:line="360" w:lineRule="auto"/>
                        <w:jc w:val="center"/>
                        <w:rPr>
                          <w:rFonts w:ascii="Arial" w:hAnsi="Arial" w:cs="Arial"/>
                          <w:sz w:val="32"/>
                          <w:szCs w:val="32"/>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rFonts w:ascii="Arial" w:hAnsi="Arial" w:cs="Arial"/>
                          <w:b/>
                          <w:sz w:val="28"/>
                          <w:szCs w:val="28"/>
                        </w:rPr>
                      </w:pPr>
                      <w:r w:rsidRPr="00A1550F">
                        <w:rPr>
                          <w:rFonts w:ascii="Arial" w:hAnsi="Arial"/>
                          <w:b/>
                          <w:sz w:val="28"/>
                        </w:rPr>
                        <w:t xml:space="preserve"> Railway Sector</w:t>
                      </w: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p>
                    <w:p w:rsidR="00CE2B24" w:rsidRPr="00A1550F" w:rsidP="003809E9">
                      <w:pPr>
                        <w:jc w:val="center"/>
                        <w:rPr>
                          <w:b/>
                          <w:sz w:val="28"/>
                          <w:szCs w:val="28"/>
                        </w:rPr>
                      </w:pPr>
                      <w:r w:rsidRPr="00A1550F">
                        <w:rPr>
                          <w:b/>
                          <w:sz w:val="28"/>
                        </w:rPr>
                        <w:t>TECHNICAL INVESTIGATION ADMINISTRATION</w:t>
                      </w:r>
                    </w:p>
                    <w:p w:rsidR="00CE2B24" w:rsidRPr="00A1550F" w:rsidP="003809E9">
                      <w:pPr>
                        <w:jc w:val="center"/>
                      </w:pPr>
                      <w:r w:rsidRPr="00A1550F">
                        <w:t>CIVIL AVIATION – MARITIME – INLAND WATERWAYS – RAILWAYS – ROADS</w:t>
                      </w:r>
                    </w:p>
                    <w:p w:rsidR="00A511FE" w:rsidRPr="00A1550F" w:rsidP="003809E9">
                      <w:pPr>
                        <w:jc w:val="center"/>
                      </w:pPr>
                      <w:drawing>
                        <wp:inline distT="0" distB="0" distL="0" distR="0">
                          <wp:extent cx="5400675" cy="1190625"/>
                          <wp:effectExtent l="0" t="0" r="9525" b="952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78176" name="Picture 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0675" cy="1190625"/>
                                  </a:xfrm>
                                  <a:prstGeom prst="rect">
                                    <a:avLst/>
                                  </a:prstGeom>
                                  <a:noFill/>
                                  <a:ln>
                                    <a:noFill/>
                                  </a:ln>
                                </pic:spPr>
                              </pic:pic>
                            </a:graphicData>
                          </a:graphic>
                        </wp:inline>
                      </w:drawing>
                    </w:p>
                    <w:p w:rsidR="00CE2B24" w:rsidRPr="00A1550F" w:rsidP="003809E9">
                      <w:pPr>
                        <w:spacing w:line="360" w:lineRule="auto"/>
                        <w:jc w:val="center"/>
                        <w:rPr>
                          <w:rFonts w:ascii="Arial" w:hAnsi="Arial" w:cs="Arial"/>
                          <w:sz w:val="18"/>
                          <w:szCs w:val="18"/>
                        </w:rPr>
                      </w:pPr>
                    </w:p>
                    <w:p w:rsidR="00CE2B24" w:rsidRPr="00A1550F" w:rsidP="003809E9">
                      <w:pPr>
                        <w:spacing w:line="360" w:lineRule="auto"/>
                        <w:jc w:val="center"/>
                        <w:rPr>
                          <w:rFonts w:ascii="Arial" w:hAnsi="Arial" w:cs="Arial"/>
                          <w:sz w:val="28"/>
                          <w:szCs w:val="28"/>
                        </w:rPr>
                      </w:pPr>
                    </w:p>
                    <w:p w:rsidR="00CE2B24" w:rsidRPr="00A1550F" w:rsidP="003809E9">
                      <w:pPr>
                        <w:spacing w:line="360" w:lineRule="auto"/>
                        <w:jc w:val="center"/>
                        <w:rPr>
                          <w:rFonts w:ascii="Arial" w:hAnsi="Arial" w:cs="Arial"/>
                          <w:sz w:val="28"/>
                          <w:szCs w:val="28"/>
                        </w:rPr>
                      </w:pPr>
                    </w:p>
                    <w:p w:rsidR="00CE2B24" w:rsidRPr="00A1550F" w:rsidP="003809E9">
                      <w:pPr>
                        <w:spacing w:line="360" w:lineRule="auto"/>
                        <w:rPr>
                          <w:rFonts w:ascii="Arial" w:hAnsi="Arial" w:cs="Arial"/>
                          <w:sz w:val="36"/>
                          <w:szCs w:val="36"/>
                        </w:rPr>
                      </w:pPr>
                    </w:p>
                    <w:p w:rsidR="00CE2B24" w:rsidRPr="00A1550F" w:rsidP="003809E9">
                      <w:pPr>
                        <w:spacing w:line="360" w:lineRule="auto"/>
                        <w:rPr>
                          <w:rFonts w:ascii="Arial" w:hAnsi="Arial" w:cs="Arial"/>
                          <w:sz w:val="36"/>
                          <w:szCs w:val="36"/>
                        </w:rPr>
                      </w:pPr>
                    </w:p>
                    <w:p w:rsidR="00CE2B24" w:rsidRPr="00A1550F"/>
                  </w:txbxContent>
                </v:textbox>
              </v:shape>
            </w:pict>
          </mc:Fallback>
        </mc:AlternateContent>
      </w:r>
    </w:p>
    <w:p w:rsidR="00FA3161" w:rsidRPr="00A1550F" w:rsidP="001F5808">
      <w:pPr>
        <w:spacing w:line="360" w:lineRule="auto"/>
        <w:rPr>
          <w:rFonts w:ascii="Arial" w:hAnsi="Arial" w:cs="Arial"/>
          <w:color w:val="000000"/>
          <w:sz w:val="22"/>
          <w:szCs w:val="22"/>
        </w:rPr>
      </w:pPr>
    </w:p>
    <w:p w:rsidR="00FA3161" w:rsidRPr="00A1550F" w:rsidP="001F5808">
      <w:pPr>
        <w:spacing w:line="360" w:lineRule="auto"/>
        <w:rPr>
          <w:rFonts w:ascii="Arial" w:hAnsi="Arial" w:cs="Arial"/>
          <w:color w:val="000000"/>
          <w:sz w:val="22"/>
          <w:szCs w:val="22"/>
        </w:rPr>
      </w:pPr>
    </w:p>
    <w:p w:rsidR="003471C7" w:rsidRPr="00A1550F" w:rsidP="001F5808">
      <w:pPr>
        <w:spacing w:line="360" w:lineRule="auto"/>
        <w:rPr>
          <w:rFonts w:ascii="Arial" w:hAnsi="Arial" w:cs="Arial"/>
          <w:color w:val="000000"/>
          <w:sz w:val="22"/>
          <w:szCs w:val="22"/>
        </w:rPr>
      </w:pPr>
    </w:p>
    <w:p w:rsidR="0068044E" w:rsidRPr="00A1550F" w:rsidP="001F5808">
      <w:pPr>
        <w:spacing w:line="360" w:lineRule="auto"/>
        <w:rPr>
          <w:rFonts w:ascii="Arial" w:hAnsi="Arial" w:cs="Arial"/>
          <w:color w:val="000000"/>
          <w:sz w:val="22"/>
          <w:szCs w:val="22"/>
        </w:rPr>
      </w:pPr>
    </w:p>
    <w:p w:rsidR="0068044E" w:rsidRPr="00A1550F" w:rsidP="001F5808">
      <w:pPr>
        <w:spacing w:line="360" w:lineRule="auto"/>
        <w:rPr>
          <w:rFonts w:ascii="Arial" w:hAnsi="Arial" w:cs="Arial"/>
          <w:color w:val="000000"/>
          <w:sz w:val="22"/>
          <w:szCs w:val="22"/>
        </w:rPr>
      </w:pPr>
    </w:p>
    <w:p w:rsidR="0068044E" w:rsidRPr="00A1550F" w:rsidP="001F5808">
      <w:pPr>
        <w:spacing w:line="360" w:lineRule="auto"/>
        <w:rPr>
          <w:rFonts w:ascii="Arial" w:hAnsi="Arial" w:cs="Arial"/>
          <w:color w:val="000000"/>
          <w:sz w:val="22"/>
          <w:szCs w:val="22"/>
        </w:rPr>
      </w:pPr>
    </w:p>
    <w:p w:rsidR="001113E3" w:rsidRPr="00A1550F" w:rsidP="00412D33">
      <w:pPr>
        <w:pStyle w:val="Heading1"/>
        <w:jc w:val="center"/>
        <w:rPr>
          <w:bCs w:val="0"/>
          <w:iCs/>
          <w:color w:val="000000"/>
          <w:sz w:val="24"/>
          <w:szCs w:val="24"/>
        </w:rPr>
      </w:pPr>
      <w:bookmarkStart w:id="0" w:name="_Toc337115491"/>
      <w:r w:rsidRPr="00A1550F">
        <w:rPr>
          <w:color w:val="000000"/>
          <w:sz w:val="24"/>
        </w:rPr>
        <w:t>Foreword</w:t>
      </w:r>
      <w:bookmarkEnd w:id="0"/>
    </w:p>
    <w:p w:rsidR="008A5AC3" w:rsidRPr="00A1550F" w:rsidP="008A5AC3"/>
    <w:p w:rsidR="008A5AC3" w:rsidRPr="00A1550F" w:rsidP="008A5AC3"/>
    <w:p w:rsidR="008A5AC3" w:rsidRPr="00A1550F" w:rsidP="008E5A02">
      <w:pPr>
        <w:spacing w:line="360" w:lineRule="auto"/>
        <w:jc w:val="both"/>
        <w:rPr>
          <w:rFonts w:ascii="Arial" w:hAnsi="Arial" w:cs="Arial"/>
          <w:color w:val="000000"/>
          <w:sz w:val="22"/>
          <w:szCs w:val="22"/>
        </w:rPr>
      </w:pPr>
      <w:r w:rsidRPr="00A1550F">
        <w:rPr>
          <w:rFonts w:ascii="Arial" w:hAnsi="Arial"/>
          <w:color w:val="000000"/>
          <w:sz w:val="22"/>
        </w:rPr>
        <w:t xml:space="preserve">This activity report summarises the activities of the Technical Investigation Administration (Administration des </w:t>
      </w:r>
      <w:r w:rsidRPr="00A1550F">
        <w:rPr>
          <w:rFonts w:ascii="Arial" w:hAnsi="Arial"/>
          <w:color w:val="000000"/>
          <w:sz w:val="22"/>
        </w:rPr>
        <w:t>enquêtes</w:t>
      </w:r>
      <w:r w:rsidRPr="00A1550F">
        <w:rPr>
          <w:rFonts w:ascii="Arial" w:hAnsi="Arial"/>
          <w:color w:val="000000"/>
          <w:sz w:val="22"/>
        </w:rPr>
        <w:t xml:space="preserve"> techniques – AET) in the railway sector in 2017, as well as the accidents and incidents that occurred on the Luxembourg rail network and that were notified by the infrastructure manager or railway undertakings in the same year. </w:t>
      </w:r>
    </w:p>
    <w:p w:rsidR="008A5AC3" w:rsidRPr="00A1550F" w:rsidP="006B2C68">
      <w:pPr>
        <w:spacing w:line="360" w:lineRule="auto"/>
        <w:jc w:val="both"/>
        <w:rPr>
          <w:rFonts w:ascii="Arial" w:hAnsi="Arial" w:cs="Arial"/>
          <w:color w:val="000000"/>
          <w:sz w:val="22"/>
          <w:szCs w:val="22"/>
        </w:rPr>
      </w:pPr>
    </w:p>
    <w:p w:rsidR="00412D33" w:rsidRPr="00A1550F" w:rsidP="006B2C68">
      <w:pPr>
        <w:spacing w:line="360" w:lineRule="auto"/>
        <w:jc w:val="both"/>
        <w:rPr>
          <w:rFonts w:ascii="Arial" w:hAnsi="Arial" w:cs="Arial"/>
          <w:color w:val="000000"/>
          <w:sz w:val="22"/>
          <w:szCs w:val="22"/>
        </w:rPr>
      </w:pPr>
      <w:r w:rsidRPr="00A1550F">
        <w:rPr>
          <w:rFonts w:ascii="Arial" w:hAnsi="Arial"/>
          <w:color w:val="000000"/>
          <w:sz w:val="22"/>
        </w:rPr>
        <w:t xml:space="preserve">This document has been prepared in accordance with Article 10(2) of the Grand-Ducal Regulation of 7 November 2008 laying down additional specifications for accidents and incidents occurring in the railway sector, and also in accordance with Article 24(3) of Directive (EU) 2016/798/EC. </w:t>
      </w:r>
    </w:p>
    <w:p w:rsidR="00E65DDD" w:rsidRPr="00A1550F" w:rsidP="00F44707">
      <w:pPr>
        <w:pageBreakBefore/>
        <w:rPr>
          <w:rFonts w:ascii="Arial" w:hAnsi="Arial" w:cs="Arial"/>
          <w:b/>
        </w:rPr>
      </w:pPr>
      <w:r w:rsidRPr="00A1550F">
        <w:rPr>
          <w:rFonts w:ascii="Arial" w:hAnsi="Arial"/>
          <w:b/>
        </w:rPr>
        <w:t>Technical Investigation Administration (AET)</w:t>
      </w:r>
    </w:p>
    <w:p w:rsidR="00E65DDD" w:rsidRPr="00A1550F" w:rsidP="00E65DDD">
      <w:pPr>
        <w:rPr>
          <w:rFonts w:ascii="Arial" w:hAnsi="Arial" w:cs="Arial"/>
          <w:b/>
        </w:rPr>
      </w:pPr>
    </w:p>
    <w:p w:rsidR="00E65DDD" w:rsidRPr="00A1550F" w:rsidP="00E65DDD">
      <w:pPr>
        <w:rPr>
          <w:rFonts w:ascii="Arial" w:hAnsi="Arial" w:cs="Arial"/>
          <w:b/>
        </w:rPr>
      </w:pPr>
      <w:r w:rsidRPr="00A1550F">
        <w:rPr>
          <w:rFonts w:ascii="Arial" w:hAnsi="Arial"/>
          <w:b/>
        </w:rPr>
        <w:t>1. General context</w:t>
      </w:r>
    </w:p>
    <w:p w:rsidR="00E65DDD" w:rsidRPr="00A1550F" w:rsidP="00E65DDD">
      <w:pPr>
        <w:rPr>
          <w:rFonts w:ascii="Arial" w:hAnsi="Arial" w:cs="Arial"/>
          <w:b/>
        </w:rPr>
      </w:pPr>
    </w:p>
    <w:p w:rsidR="00E65DDD" w:rsidRPr="00A1550F" w:rsidP="00E65DDD">
      <w:pPr>
        <w:jc w:val="both"/>
        <w:rPr>
          <w:rFonts w:ascii="Arial" w:hAnsi="Arial" w:cs="Arial"/>
        </w:rPr>
      </w:pPr>
      <w:r w:rsidRPr="00A1550F">
        <w:rPr>
          <w:rFonts w:ascii="Arial" w:hAnsi="Arial"/>
        </w:rPr>
        <w:t xml:space="preserve">The political initiative to improve road safety led to the decision to extend the AET's powers to fatal vehicle traffic accidents on public roads and to serious accidents on the tramway network. </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It should be noted that in the road traffic sector, apart from the criminal investigations carried out following certain serious accidents, no technical investigations are currently carried out in Luxembourg.</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In the vast majority of cases, the inappropriate individual behaviour of public road users is the cause of accidents (alcohol, speed, other non-compliance with traffic regulations, etc.). Therefore, the legislator’s intention is to limit technical investigations in this area solely to cases where a significant improvement in road safety can be expected. A draft law was drafted, tabled and adopted for this purpose. The law entered into force on 1</w:t>
      </w:r>
      <w:r w:rsidRPr="00A1550F">
        <w:t> </w:t>
      </w:r>
      <w:r w:rsidRPr="00A1550F">
        <w:rPr>
          <w:rFonts w:ascii="Arial" w:hAnsi="Arial"/>
        </w:rPr>
        <w:t>July 2017. The entry into service of the first section of the tramways in Luxembourg, between the ‘</w:t>
      </w:r>
      <w:r w:rsidRPr="00A1550F">
        <w:rPr>
          <w:rFonts w:ascii="Arial" w:hAnsi="Arial"/>
        </w:rPr>
        <w:t>Luxexpo</w:t>
      </w:r>
      <w:r w:rsidRPr="00A1550F">
        <w:rPr>
          <w:rFonts w:ascii="Arial" w:hAnsi="Arial"/>
        </w:rPr>
        <w:t>’ and ‘</w:t>
      </w:r>
      <w:r w:rsidRPr="00A1550F">
        <w:rPr>
          <w:rFonts w:ascii="Arial" w:hAnsi="Arial"/>
        </w:rPr>
        <w:t>Pfaffenthal</w:t>
      </w:r>
      <w:r w:rsidRPr="00A1550F">
        <w:rPr>
          <w:rFonts w:ascii="Arial" w:hAnsi="Arial"/>
        </w:rPr>
        <w:t xml:space="preserve">’ stops, took place on 10 December 2017. </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As far as the civil aviation, maritime, inland waterway and railway transport sectors are concerned, new investigations were opened in 2017, while other investigations were still underway or were in the process of being completed. Two investigation reports in the civil aviation sector were completed and published in 2017.</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Some of the AET’s time is spent on ensuring good relations and cooperation with other stakeholders in its areas of activity, at both national and international level.</w:t>
      </w:r>
    </w:p>
    <w:p w:rsidR="00E65DDD" w:rsidRPr="00A1550F" w:rsidP="00E65DDD">
      <w:pPr>
        <w:jc w:val="both"/>
        <w:rPr>
          <w:rFonts w:ascii="Arial" w:hAnsi="Arial" w:cs="Arial"/>
        </w:rPr>
      </w:pPr>
    </w:p>
    <w:p w:rsidR="00E65DDD" w:rsidRPr="00A1550F" w:rsidP="00E65DDD">
      <w:pPr>
        <w:pStyle w:val="ListParagraph"/>
        <w:ind w:left="0"/>
        <w:rPr>
          <w:rFonts w:ascii="Arial" w:hAnsi="Arial" w:cs="Arial"/>
          <w:b/>
        </w:rPr>
      </w:pPr>
      <w:r w:rsidRPr="00A1550F">
        <w:rPr>
          <w:rFonts w:ascii="Arial" w:hAnsi="Arial"/>
          <w:b/>
        </w:rPr>
        <w:t>2. Functional context</w:t>
      </w:r>
    </w:p>
    <w:p w:rsidR="00E65DDD" w:rsidRPr="00A1550F" w:rsidP="00E65DDD">
      <w:pPr>
        <w:pStyle w:val="ListParagraph"/>
        <w:ind w:left="0"/>
        <w:rPr>
          <w:rFonts w:ascii="Arial" w:hAnsi="Arial" w:cs="Arial"/>
          <w:b/>
        </w:rPr>
      </w:pPr>
    </w:p>
    <w:p w:rsidR="00E65DDD" w:rsidRPr="00A1550F" w:rsidP="00E65DDD">
      <w:pPr>
        <w:jc w:val="both"/>
        <w:rPr>
          <w:rFonts w:ascii="Arial" w:hAnsi="Arial" w:cs="Arial"/>
        </w:rPr>
      </w:pPr>
      <w:r w:rsidRPr="00A1550F">
        <w:rPr>
          <w:rFonts w:ascii="Arial" w:hAnsi="Arial"/>
        </w:rPr>
        <w:t>In August 2017, the AET was able to add to its staff an engineer whose activities are primarily focused on the area of vehicle traffic on public roads.</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An engineer seconded from another administration who joined the AET in 2016 retired at the end of 2017.</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 xml:space="preserve">The Administration’s staff currently consists of a director, three investigators and one person responsible for administration. However, it should be noted that, if necessary for a safety investigation, the amended Law of 30 April 2008 creating the Technical Investigation Administration provides for expert assistance to be sought from outside the AET. </w:t>
      </w:r>
    </w:p>
    <w:p w:rsidR="00E65DDD" w:rsidRPr="00A1550F" w:rsidP="00F44707">
      <w:pPr>
        <w:pageBreakBefore/>
        <w:jc w:val="both"/>
        <w:rPr>
          <w:rFonts w:ascii="Arial" w:hAnsi="Arial" w:cs="Arial"/>
          <w:bCs/>
        </w:rPr>
      </w:pPr>
      <w:r w:rsidRPr="00A1550F">
        <w:rPr>
          <w:rFonts w:ascii="Arial" w:hAnsi="Arial"/>
        </w:rPr>
        <w:t>The AET is an independent body under the authority of the member of the government who is responsible for transport.</w:t>
      </w:r>
    </w:p>
    <w:p w:rsidR="00F06A9D" w:rsidRPr="00A1550F" w:rsidP="00E65DDD">
      <w:pPr>
        <w:rPr>
          <w:rFonts w:ascii="Arial" w:hAnsi="Arial" w:cs="Arial"/>
          <w:b/>
        </w:rPr>
      </w:pPr>
    </w:p>
    <w:p w:rsidR="00F06A9D" w:rsidRPr="00A1550F" w:rsidP="00E65DDD">
      <w:pPr>
        <w:rPr>
          <w:rFonts w:ascii="Arial" w:hAnsi="Arial" w:cs="Arial"/>
          <w:b/>
        </w:rPr>
      </w:pPr>
      <w:r w:rsidRPr="00A1550F">
        <w:rPr>
          <w:rFonts w:ascii="Calibri" w:hAnsi="Calibri"/>
          <w:noProof/>
          <w:lang w:val="en-US" w:eastAsia="en-US" w:bidi="ar-SA"/>
        </w:rPr>
        <w:drawing>
          <wp:anchor distT="0" distB="0" distL="114300" distR="114300" simplePos="0" relativeHeight="251660288" behindDoc="0" locked="0" layoutInCell="1" allowOverlap="1">
            <wp:simplePos x="0" y="0"/>
            <wp:positionH relativeFrom="column">
              <wp:posOffset>168910</wp:posOffset>
            </wp:positionH>
            <wp:positionV relativeFrom="paragraph">
              <wp:posOffset>42545</wp:posOffset>
            </wp:positionV>
            <wp:extent cx="5695950" cy="4540250"/>
            <wp:effectExtent l="0" t="0" r="0" b="0"/>
            <wp:wrapSquare wrapText="r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50220"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30400" t="8800" r="20961" b="42574"/>
                    <a:stretch>
                      <a:fillRect/>
                    </a:stretch>
                  </pic:blipFill>
                  <pic:spPr bwMode="auto">
                    <a:xfrm>
                      <a:off x="0" y="0"/>
                      <a:ext cx="5695950" cy="4540250"/>
                    </a:xfrm>
                    <a:prstGeom prst="rect">
                      <a:avLst/>
                    </a:prstGeom>
                    <a:noFill/>
                  </pic:spPr>
                </pic:pic>
              </a:graphicData>
            </a:graphic>
            <wp14:sizeRelH relativeFrom="page">
              <wp14:pctWidth>0</wp14:pctWidth>
            </wp14:sizeRelH>
            <wp14:sizeRelV relativeFrom="page">
              <wp14:pctHeight>0</wp14:pctHeight>
            </wp14:sizeRelV>
          </wp:anchor>
        </w:drawing>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3"/>
        <w:gridCol w:w="4741"/>
      </w:tblGrid>
      <w:tr w:rsidTr="000875B9">
        <w:tblPrEx>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Ministre</w:t>
            </w:r>
            <w:r w:rsidRPr="00A1550F">
              <w:rPr>
                <w:rFonts w:ascii="Arial" w:hAnsi="Arial"/>
                <w:sz w:val="16"/>
              </w:rPr>
              <w:t xml:space="preserve"> des transports</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Minister for Transport</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Coordination </w:t>
            </w:r>
            <w:r w:rsidRPr="00A1550F">
              <w:rPr>
                <w:rFonts w:ascii="Arial" w:hAnsi="Arial"/>
                <w:sz w:val="16"/>
              </w:rPr>
              <w:t>générale</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General Coordination Unit</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Administration des </w:t>
            </w:r>
            <w:r w:rsidRPr="00A1550F">
              <w:rPr>
                <w:rFonts w:ascii="Arial" w:hAnsi="Arial"/>
                <w:sz w:val="16"/>
              </w:rPr>
              <w:t>enquêtes</w:t>
            </w:r>
            <w:r w:rsidRPr="00A1550F">
              <w:rPr>
                <w:rFonts w:ascii="Arial" w:hAnsi="Arial"/>
                <w:sz w:val="16"/>
              </w:rPr>
              <w:t xml:space="preserve"> techniques</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Technical Investigation Administration</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Direction de la stratégie et de la planification</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Strategy and Planning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Direction des transports aériens et fluviaux</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Air and Inland Waterway Transport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Direction des transports </w:t>
            </w:r>
            <w:r w:rsidRPr="00A1550F">
              <w:rPr>
                <w:rFonts w:ascii="Arial" w:hAnsi="Arial"/>
                <w:sz w:val="16"/>
              </w:rPr>
              <w:t>routiers</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Road Transport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Direction de la circulation et de la sécurité routières</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Road Safety and Traffic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Direction des chemins de fer</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Railway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Direction des transports publics</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Public Transport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Direction des affaires </w:t>
            </w:r>
            <w:r w:rsidRPr="00A1550F">
              <w:rPr>
                <w:rFonts w:ascii="Arial" w:hAnsi="Arial"/>
                <w:sz w:val="16"/>
              </w:rPr>
              <w:t>générales</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General Affairs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Direction de </w:t>
            </w:r>
            <w:r w:rsidRPr="00A1550F">
              <w:rPr>
                <w:rFonts w:ascii="Arial" w:hAnsi="Arial"/>
                <w:sz w:val="16"/>
              </w:rPr>
              <w:t>l’aviation</w:t>
            </w:r>
            <w:r w:rsidRPr="00A1550F">
              <w:rPr>
                <w:rFonts w:ascii="Arial" w:hAnsi="Arial"/>
                <w:sz w:val="16"/>
              </w:rPr>
              <w:t xml:space="preserve"> </w:t>
            </w:r>
            <w:r w:rsidRPr="00A1550F">
              <w:rPr>
                <w:rFonts w:ascii="Arial" w:hAnsi="Arial"/>
                <w:sz w:val="16"/>
              </w:rPr>
              <w:t>civile</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Civil Aviation Directorate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Administration de la navigation aérienne</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Air Traffic Authority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Service de la navigation </w:t>
            </w:r>
            <w:r w:rsidRPr="00A1550F">
              <w:rPr>
                <w:rFonts w:ascii="Arial" w:hAnsi="Arial"/>
                <w:sz w:val="16"/>
              </w:rPr>
              <w:t>fluviale</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Inland Waterway Traffic Service</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Administration des chemins de fer</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Railway Authority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Commissaire du Gouvernement près les CFL</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Government Commissioner to the CFL (Luxembourg National Railway Company)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G.I.E. </w:t>
            </w:r>
            <w:r w:rsidRPr="00A1550F">
              <w:rPr>
                <w:rFonts w:ascii="Arial" w:hAnsi="Arial"/>
                <w:sz w:val="16"/>
              </w:rPr>
              <w:t>Luxt</w:t>
            </w:r>
            <w:r w:rsidRPr="00A1550F" w:rsidR="006611F5">
              <w:rPr>
                <w:rFonts w:ascii="Arial" w:hAnsi="Arial"/>
                <w:sz w:val="16"/>
              </w:rPr>
              <w:t>ram</w:t>
            </w:r>
          </w:p>
        </w:tc>
        <w:tc>
          <w:tcPr>
            <w:tcW w:w="4741" w:type="dxa"/>
            <w:shd w:val="clear" w:color="auto" w:fill="auto"/>
          </w:tcPr>
          <w:p w:rsidR="000875B9" w:rsidRPr="00A1550F" w:rsidP="000875B9">
            <w:pPr>
              <w:rPr>
                <w:rFonts w:ascii="Arial" w:hAnsi="Arial" w:cs="Arial"/>
                <w:sz w:val="16"/>
                <w:szCs w:val="16"/>
              </w:rPr>
            </w:pPr>
            <w:r w:rsidRPr="00A1550F">
              <w:rPr>
                <w:rFonts w:ascii="Arial" w:hAnsi="Arial"/>
                <w:sz w:val="16"/>
              </w:rPr>
              <w:t xml:space="preserve">G.I.E. (Economic Interest Grouping) </w:t>
            </w:r>
            <w:r w:rsidRPr="00A1550F">
              <w:rPr>
                <w:rFonts w:ascii="Arial" w:hAnsi="Arial"/>
                <w:sz w:val="16"/>
              </w:rPr>
              <w:t>Luxtram</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Luxair</w:t>
            </w:r>
          </w:p>
        </w:tc>
        <w:tc>
          <w:tcPr>
            <w:tcW w:w="4741" w:type="dxa"/>
          </w:tcPr>
          <w:p w:rsidR="000875B9" w:rsidRPr="00A1550F" w:rsidP="000875B9">
            <w:pPr>
              <w:rPr>
                <w:rFonts w:ascii="Arial" w:hAnsi="Arial" w:cs="Arial"/>
                <w:sz w:val="16"/>
                <w:szCs w:val="16"/>
              </w:rPr>
            </w:pPr>
            <w:r w:rsidRPr="00A1550F">
              <w:rPr>
                <w:rFonts w:ascii="Arial" w:hAnsi="Arial"/>
                <w:sz w:val="16"/>
              </w:rPr>
              <w:t>Luxair</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l</w:t>
            </w:r>
            <w:r w:rsidRPr="00A1550F" w:rsidR="006611F5">
              <w:rPr>
                <w:rFonts w:ascii="Arial" w:hAnsi="Arial"/>
                <w:sz w:val="16"/>
              </w:rPr>
              <w:t>ux-Airport</w:t>
            </w:r>
          </w:p>
        </w:tc>
        <w:tc>
          <w:tcPr>
            <w:tcW w:w="4741" w:type="dxa"/>
          </w:tcPr>
          <w:p w:rsidR="000875B9" w:rsidRPr="00A1550F" w:rsidP="000875B9">
            <w:pPr>
              <w:rPr>
                <w:rFonts w:ascii="Arial" w:hAnsi="Arial" w:cs="Arial"/>
                <w:sz w:val="16"/>
                <w:szCs w:val="16"/>
              </w:rPr>
            </w:pPr>
            <w:r w:rsidRPr="00A1550F">
              <w:rPr>
                <w:rFonts w:ascii="Arial" w:hAnsi="Arial"/>
                <w:sz w:val="16"/>
              </w:rPr>
              <w:t>lux-Airport</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Société du Port de Mertert</w:t>
            </w:r>
          </w:p>
        </w:tc>
        <w:tc>
          <w:tcPr>
            <w:tcW w:w="4741" w:type="dxa"/>
          </w:tcPr>
          <w:p w:rsidR="000875B9" w:rsidRPr="00A1550F" w:rsidP="00F372BA">
            <w:pPr>
              <w:rPr>
                <w:rFonts w:ascii="Arial" w:hAnsi="Arial" w:cs="Arial"/>
                <w:sz w:val="16"/>
                <w:szCs w:val="16"/>
              </w:rPr>
            </w:pPr>
            <w:r w:rsidRPr="00A1550F">
              <w:rPr>
                <w:rFonts w:ascii="Arial" w:hAnsi="Arial"/>
                <w:sz w:val="16"/>
              </w:rPr>
              <w:t>Mertert</w:t>
            </w:r>
            <w:r w:rsidRPr="00A1550F">
              <w:rPr>
                <w:rFonts w:ascii="Arial" w:hAnsi="Arial"/>
                <w:sz w:val="16"/>
              </w:rPr>
              <w:t xml:space="preserve"> Port Company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Société nationale de contrôle technique</w:t>
            </w:r>
          </w:p>
        </w:tc>
        <w:tc>
          <w:tcPr>
            <w:tcW w:w="4741" w:type="dxa"/>
          </w:tcPr>
          <w:p w:rsidR="000875B9" w:rsidRPr="00A1550F" w:rsidP="00F372BA">
            <w:pPr>
              <w:rPr>
                <w:rFonts w:ascii="Arial" w:hAnsi="Arial" w:cs="Arial"/>
                <w:sz w:val="16"/>
                <w:szCs w:val="16"/>
              </w:rPr>
            </w:pPr>
            <w:r w:rsidRPr="00A1550F">
              <w:rPr>
                <w:rFonts w:ascii="Arial" w:hAnsi="Arial"/>
                <w:sz w:val="16"/>
              </w:rPr>
              <w:t>National Agency for Technical Vehicle Inspection</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Société nationale de certification et d’homologation</w:t>
            </w:r>
          </w:p>
        </w:tc>
        <w:tc>
          <w:tcPr>
            <w:tcW w:w="4741" w:type="dxa"/>
          </w:tcPr>
          <w:p w:rsidR="000875B9" w:rsidRPr="00A1550F" w:rsidP="002661EE">
            <w:pPr>
              <w:rPr>
                <w:rFonts w:ascii="Arial" w:hAnsi="Arial" w:cs="Arial"/>
                <w:sz w:val="16"/>
                <w:szCs w:val="16"/>
              </w:rPr>
            </w:pPr>
            <w:r w:rsidRPr="00A1550F">
              <w:rPr>
                <w:rFonts w:ascii="Arial" w:hAnsi="Arial"/>
                <w:sz w:val="16"/>
              </w:rPr>
              <w:t xml:space="preserve">National </w:t>
            </w:r>
            <w:r w:rsidRPr="00A1550F" w:rsidR="002661EE">
              <w:rPr>
                <w:rFonts w:ascii="Arial" w:hAnsi="Arial"/>
                <w:sz w:val="16"/>
              </w:rPr>
              <w:t xml:space="preserve">Agency for </w:t>
            </w:r>
            <w:r w:rsidRPr="00A1550F">
              <w:rPr>
                <w:rFonts w:ascii="Arial" w:hAnsi="Arial"/>
                <w:sz w:val="16"/>
              </w:rPr>
              <w:t>Certification and Accreditation</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Société nationale des chemins de fer luxembourgeois</w:t>
            </w:r>
          </w:p>
        </w:tc>
        <w:tc>
          <w:tcPr>
            <w:tcW w:w="4741" w:type="dxa"/>
          </w:tcPr>
          <w:p w:rsidR="000875B9" w:rsidRPr="00A1550F" w:rsidP="00F372BA">
            <w:pPr>
              <w:rPr>
                <w:rFonts w:ascii="Arial" w:hAnsi="Arial" w:cs="Arial"/>
                <w:sz w:val="16"/>
                <w:szCs w:val="16"/>
              </w:rPr>
            </w:pPr>
            <w:r w:rsidRPr="00A1550F">
              <w:rPr>
                <w:rFonts w:ascii="Arial" w:hAnsi="Arial"/>
                <w:sz w:val="16"/>
              </w:rPr>
              <w:t>Luxembourg National Railway Company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Communauté</w:t>
            </w:r>
            <w:r w:rsidRPr="00A1550F">
              <w:rPr>
                <w:rFonts w:ascii="Arial" w:hAnsi="Arial"/>
                <w:sz w:val="16"/>
              </w:rPr>
              <w:t xml:space="preserve"> des Transports</w:t>
            </w:r>
          </w:p>
        </w:tc>
        <w:tc>
          <w:tcPr>
            <w:tcW w:w="4741" w:type="dxa"/>
          </w:tcPr>
          <w:p w:rsidR="000875B9" w:rsidRPr="00A1550F" w:rsidP="00F372BA">
            <w:pPr>
              <w:rPr>
                <w:rFonts w:ascii="Arial" w:hAnsi="Arial" w:cs="Arial"/>
                <w:sz w:val="16"/>
                <w:szCs w:val="16"/>
              </w:rPr>
            </w:pPr>
            <w:r w:rsidRPr="00A1550F">
              <w:rPr>
                <w:rFonts w:ascii="Arial" w:hAnsi="Arial"/>
                <w:sz w:val="16"/>
              </w:rPr>
              <w:t>Transport Federation</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Légende</w:t>
            </w:r>
          </w:p>
        </w:tc>
        <w:tc>
          <w:tcPr>
            <w:tcW w:w="4741" w:type="dxa"/>
          </w:tcPr>
          <w:p w:rsidR="000875B9" w:rsidRPr="00A1550F" w:rsidP="000875B9">
            <w:pPr>
              <w:rPr>
                <w:rFonts w:ascii="Arial" w:hAnsi="Arial" w:cs="Arial"/>
                <w:sz w:val="16"/>
                <w:szCs w:val="16"/>
              </w:rPr>
            </w:pPr>
            <w:r w:rsidRPr="00A1550F">
              <w:rPr>
                <w:rFonts w:ascii="Arial" w:hAnsi="Arial"/>
                <w:sz w:val="16"/>
              </w:rPr>
              <w:t>Key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 xml:space="preserve">directions internes du </w:t>
            </w:r>
            <w:r w:rsidRPr="00A1550F">
              <w:rPr>
                <w:rFonts w:ascii="Arial" w:hAnsi="Arial"/>
                <w:sz w:val="16"/>
              </w:rPr>
              <w:t>ministère</w:t>
            </w:r>
          </w:p>
        </w:tc>
        <w:tc>
          <w:tcPr>
            <w:tcW w:w="4741" w:type="dxa"/>
          </w:tcPr>
          <w:p w:rsidR="000875B9" w:rsidRPr="00A1550F" w:rsidP="000875B9">
            <w:pPr>
              <w:rPr>
                <w:rFonts w:ascii="Arial" w:hAnsi="Arial" w:cs="Arial"/>
                <w:sz w:val="16"/>
                <w:szCs w:val="16"/>
              </w:rPr>
            </w:pPr>
            <w:r w:rsidRPr="00A1550F">
              <w:rPr>
                <w:rFonts w:ascii="Arial" w:hAnsi="Arial"/>
                <w:sz w:val="16"/>
              </w:rPr>
              <w:t>Ministry’s internal directorates</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administrations et services dépendant du ministère</w:t>
            </w:r>
          </w:p>
        </w:tc>
        <w:tc>
          <w:tcPr>
            <w:tcW w:w="4741" w:type="dxa"/>
          </w:tcPr>
          <w:p w:rsidR="000875B9" w:rsidRPr="00A1550F" w:rsidP="000875B9">
            <w:pPr>
              <w:rPr>
                <w:rFonts w:ascii="Arial" w:hAnsi="Arial" w:cs="Arial"/>
                <w:sz w:val="16"/>
                <w:szCs w:val="16"/>
              </w:rPr>
            </w:pPr>
            <w:r w:rsidRPr="00A1550F">
              <w:rPr>
                <w:rFonts w:ascii="Arial" w:hAnsi="Arial"/>
                <w:sz w:val="16"/>
              </w:rPr>
              <w:t>Authorities and services answerable to the Ministry</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rPr>
            </w:pPr>
            <w:r w:rsidRPr="00A1550F">
              <w:rPr>
                <w:rFonts w:ascii="Arial" w:hAnsi="Arial"/>
                <w:sz w:val="16"/>
              </w:rPr>
              <w:t>organismes</w:t>
            </w:r>
            <w:r w:rsidRPr="00A1550F">
              <w:rPr>
                <w:rFonts w:ascii="Arial" w:hAnsi="Arial"/>
                <w:sz w:val="16"/>
              </w:rPr>
              <w:t xml:space="preserve"> avec participation </w:t>
            </w:r>
            <w:r w:rsidRPr="00A1550F">
              <w:rPr>
                <w:rFonts w:ascii="Arial" w:hAnsi="Arial"/>
                <w:sz w:val="16"/>
              </w:rPr>
              <w:t>étatique</w:t>
            </w:r>
          </w:p>
        </w:tc>
        <w:tc>
          <w:tcPr>
            <w:tcW w:w="4741" w:type="dxa"/>
          </w:tcPr>
          <w:p w:rsidR="000875B9" w:rsidRPr="00A1550F" w:rsidP="000875B9">
            <w:pPr>
              <w:rPr>
                <w:rFonts w:ascii="Arial" w:hAnsi="Arial" w:cs="Arial"/>
                <w:sz w:val="16"/>
                <w:szCs w:val="16"/>
              </w:rPr>
            </w:pPr>
            <w:r w:rsidRPr="00A1550F">
              <w:rPr>
                <w:rFonts w:ascii="Arial" w:hAnsi="Arial"/>
                <w:sz w:val="16"/>
              </w:rPr>
              <w:t>Bodies with government involvement</w:t>
            </w:r>
          </w:p>
        </w:tc>
      </w:tr>
      <w:tr w:rsidTr="000875B9">
        <w:tblPrEx>
          <w:tblW w:w="9514" w:type="dxa"/>
          <w:tblLook w:val="04A0"/>
        </w:tblPrEx>
        <w:tc>
          <w:tcPr>
            <w:tcW w:w="4773" w:type="dxa"/>
            <w:shd w:val="clear" w:color="auto" w:fill="auto"/>
          </w:tcPr>
          <w:p w:rsidR="000875B9" w:rsidRPr="00A1550F" w:rsidP="000875B9">
            <w:pPr>
              <w:rPr>
                <w:rFonts w:ascii="Arial" w:hAnsi="Arial" w:cs="Arial"/>
                <w:sz w:val="16"/>
                <w:szCs w:val="16"/>
                <w:lang w:val="fr-FR"/>
              </w:rPr>
            </w:pPr>
            <w:r w:rsidRPr="00A1550F">
              <w:rPr>
                <w:rFonts w:ascii="Arial" w:hAnsi="Arial"/>
                <w:sz w:val="16"/>
                <w:lang w:val="fr-FR"/>
              </w:rPr>
              <w:t>administration</w:t>
            </w:r>
            <w:r w:rsidRPr="00A1550F" w:rsidR="002661EE">
              <w:rPr>
                <w:rFonts w:ascii="Arial" w:hAnsi="Arial"/>
                <w:sz w:val="16"/>
                <w:lang w:val="fr-FR"/>
              </w:rPr>
              <w:t>s</w:t>
            </w:r>
            <w:r w:rsidRPr="00A1550F">
              <w:rPr>
                <w:rFonts w:ascii="Arial" w:hAnsi="Arial"/>
                <w:sz w:val="16"/>
                <w:lang w:val="fr-FR"/>
              </w:rPr>
              <w:t xml:space="preserve"> en création au cours de 2008</w:t>
            </w:r>
            <w:bookmarkStart w:id="1" w:name="_GoBack"/>
            <w:bookmarkEnd w:id="1"/>
          </w:p>
        </w:tc>
        <w:tc>
          <w:tcPr>
            <w:tcW w:w="4741" w:type="dxa"/>
          </w:tcPr>
          <w:p w:rsidR="000875B9" w:rsidRPr="00A1550F" w:rsidP="000875B9">
            <w:pPr>
              <w:rPr>
                <w:rFonts w:ascii="Arial" w:hAnsi="Arial" w:cs="Arial"/>
                <w:sz w:val="16"/>
                <w:szCs w:val="16"/>
              </w:rPr>
            </w:pPr>
            <w:r w:rsidRPr="00A1550F">
              <w:rPr>
                <w:rFonts w:ascii="Arial" w:hAnsi="Arial"/>
                <w:sz w:val="16"/>
              </w:rPr>
              <w:t>Authorities created during 2008</w:t>
            </w:r>
          </w:p>
        </w:tc>
      </w:tr>
    </w:tbl>
    <w:p w:rsidR="00F44707" w:rsidRPr="00A1550F" w:rsidP="00E65DDD">
      <w:pPr>
        <w:rPr>
          <w:rFonts w:ascii="Arial" w:hAnsi="Arial" w:cs="Arial"/>
        </w:rPr>
      </w:pPr>
    </w:p>
    <w:p w:rsidR="00F06A9D" w:rsidRPr="00A1550F" w:rsidP="00E65DDD">
      <w:pPr>
        <w:rPr>
          <w:rFonts w:ascii="Arial" w:hAnsi="Arial" w:cs="Arial"/>
        </w:rPr>
      </w:pPr>
      <w:r w:rsidRPr="00A1550F">
        <w:rPr>
          <w:rFonts w:ascii="Arial" w:hAnsi="Arial"/>
        </w:rPr>
        <w:t>The internal structure of the AET is represented in the diagram below.</w:t>
      </w:r>
    </w:p>
    <w:p w:rsidR="004A4102" w:rsidRPr="00A1550F" w:rsidP="00E65DDD">
      <w:pPr>
        <w:rPr>
          <w:rFonts w:ascii="Arial" w:hAnsi="Arial" w:cs="Arial"/>
          <w:b/>
        </w:rPr>
      </w:pPr>
    </w:p>
    <w:p w:rsidR="004A4102" w:rsidRPr="00A1550F" w:rsidP="00E65DDD">
      <w:pPr>
        <w:rPr>
          <w:rFonts w:ascii="Arial" w:hAnsi="Arial" w:cs="Arial"/>
          <w:b/>
        </w:rPr>
      </w:pPr>
      <w:r w:rsidRPr="00A1550F">
        <w:rPr>
          <w:rFonts w:ascii="Arial" w:hAnsi="Arial" w:cs="Arial"/>
          <w:b/>
          <w:noProof/>
          <w:lang w:val="en-US" w:eastAsia="en-US" w:bidi="ar-SA"/>
        </w:rPr>
        <w:drawing>
          <wp:inline distT="0" distB="0" distL="0" distR="0">
            <wp:extent cx="6057900" cy="3009900"/>
            <wp:effectExtent l="0" t="0" r="0" b="0"/>
            <wp:docPr id="3"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074613313" name="Picture 3"/>
                    <pic:cNvPicPr>
                      <a:picLocks noRot="1" noChangeAspect="1" noMove="1" noResize="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057900" cy="3009900"/>
                    </a:xfrm>
                    <a:prstGeom prst="rect">
                      <a:avLst/>
                    </a:prstGeom>
                    <a:noFill/>
                    <a:ln>
                      <a:noFill/>
                    </a:ln>
                  </pic:spPr>
                </pic:pic>
              </a:graphicData>
            </a:graphic>
          </wp:inline>
        </w:drawing>
      </w:r>
    </w:p>
    <w:p w:rsidR="004A4102" w:rsidRPr="00A1550F" w:rsidP="00E65DDD">
      <w:pPr>
        <w:rPr>
          <w:rFonts w:ascii="Arial" w:hAnsi="Arial" w:cs="Arial"/>
          <w:b/>
        </w:rPr>
      </w:pPr>
    </w:p>
    <w:tbl>
      <w:tblPr>
        <w:tblStyle w:val="TableGrid"/>
        <w:tblW w:w="9514" w:type="dxa"/>
        <w:tblLook w:val="04A0"/>
      </w:tblPr>
      <w:tblGrid>
        <w:gridCol w:w="4757"/>
        <w:gridCol w:w="4757"/>
      </w:tblGrid>
      <w:tr w:rsidTr="00E5102E">
        <w:tblPrEx>
          <w:tblW w:w="9514" w:type="dxa"/>
          <w:tblLook w:val="04A0"/>
        </w:tblPrEx>
        <w:tc>
          <w:tcPr>
            <w:tcW w:w="4757" w:type="dxa"/>
          </w:tcPr>
          <w:p w:rsidR="00E5102E" w:rsidRPr="00A1550F" w:rsidP="00E5102E">
            <w:pPr>
              <w:rPr>
                <w:rFonts w:ascii="Arial" w:hAnsi="Arial" w:cs="Arial"/>
                <w:sz w:val="16"/>
                <w:szCs w:val="16"/>
              </w:rPr>
            </w:pPr>
            <w:r w:rsidRPr="00A1550F">
              <w:rPr>
                <w:rFonts w:ascii="Arial" w:hAnsi="Arial"/>
                <w:b/>
                <w:sz w:val="16"/>
              </w:rPr>
              <w:t>Directeur</w:t>
            </w:r>
            <w:r w:rsidRPr="00A1550F">
              <w:rPr>
                <w:rFonts w:ascii="Arial" w:hAnsi="Arial" w:cs="Arial"/>
                <w:sz w:val="16"/>
                <w:szCs w:val="16"/>
              </w:rPr>
              <w:br/>
            </w:r>
            <w:r w:rsidRPr="00A1550F">
              <w:rPr>
                <w:rFonts w:ascii="Arial" w:hAnsi="Arial"/>
                <w:sz w:val="16"/>
              </w:rPr>
              <w:t>Paul MEYERS</w:t>
            </w:r>
            <w:r w:rsidRPr="00A1550F">
              <w:rPr>
                <w:rFonts w:ascii="Arial" w:hAnsi="Arial" w:cs="Arial"/>
                <w:sz w:val="16"/>
                <w:szCs w:val="16"/>
              </w:rPr>
              <w:br/>
            </w:r>
            <w:r w:rsidRPr="00A1550F">
              <w:rPr>
                <w:rFonts w:ascii="Arial" w:hAnsi="Arial"/>
                <w:b/>
                <w:sz w:val="16"/>
              </w:rPr>
              <w:t>maritime</w:t>
            </w:r>
          </w:p>
        </w:tc>
        <w:tc>
          <w:tcPr>
            <w:tcW w:w="4757" w:type="dxa"/>
          </w:tcPr>
          <w:p w:rsidR="00E5102E" w:rsidRPr="00A1550F" w:rsidP="00F372BA">
            <w:pPr>
              <w:rPr>
                <w:rFonts w:ascii="Arial" w:hAnsi="Arial" w:cs="Arial"/>
                <w:sz w:val="16"/>
                <w:szCs w:val="16"/>
              </w:rPr>
            </w:pPr>
            <w:r w:rsidRPr="00A1550F">
              <w:rPr>
                <w:rFonts w:ascii="Arial" w:hAnsi="Arial"/>
                <w:b/>
                <w:sz w:val="16"/>
              </w:rPr>
              <w:t>Director</w:t>
            </w:r>
            <w:r w:rsidRPr="00A1550F">
              <w:rPr>
                <w:rFonts w:ascii="Arial" w:hAnsi="Arial" w:cs="Arial"/>
                <w:sz w:val="16"/>
                <w:szCs w:val="16"/>
              </w:rPr>
              <w:br/>
            </w:r>
            <w:r w:rsidRPr="00A1550F">
              <w:rPr>
                <w:rFonts w:ascii="Arial" w:hAnsi="Arial"/>
                <w:sz w:val="16"/>
              </w:rPr>
              <w:t>Paul Meyers</w:t>
            </w:r>
            <w:r w:rsidRPr="00A1550F">
              <w:rPr>
                <w:rFonts w:ascii="Arial" w:hAnsi="Arial" w:cs="Arial"/>
                <w:sz w:val="16"/>
                <w:szCs w:val="16"/>
              </w:rPr>
              <w:br/>
            </w:r>
            <w:r w:rsidRPr="00A1550F" w:rsidR="00F372BA">
              <w:rPr>
                <w:rFonts w:ascii="Arial" w:hAnsi="Arial" w:cs="Arial"/>
                <w:b/>
                <w:sz w:val="16"/>
                <w:szCs w:val="16"/>
              </w:rPr>
              <w:t>maritime</w:t>
            </w:r>
          </w:p>
        </w:tc>
      </w:tr>
      <w:tr w:rsidTr="00E5102E">
        <w:tblPrEx>
          <w:tblW w:w="9514" w:type="dxa"/>
          <w:tblLook w:val="04A0"/>
        </w:tblPrEx>
        <w:tc>
          <w:tcPr>
            <w:tcW w:w="4757" w:type="dxa"/>
          </w:tcPr>
          <w:p w:rsidR="00E5102E" w:rsidRPr="00A1550F" w:rsidP="00E5102E">
            <w:pPr>
              <w:rPr>
                <w:rFonts w:ascii="Arial" w:hAnsi="Arial" w:cs="Arial"/>
                <w:sz w:val="16"/>
                <w:szCs w:val="16"/>
                <w:lang w:val="fr-FR"/>
              </w:rPr>
            </w:pPr>
            <w:r w:rsidRPr="00A1550F">
              <w:rPr>
                <w:rFonts w:ascii="Arial" w:hAnsi="Arial"/>
                <w:b/>
                <w:sz w:val="16"/>
                <w:lang w:val="fr-FR"/>
              </w:rPr>
              <w:t>Enquêteur</w:t>
            </w:r>
            <w:r w:rsidRPr="00A1550F">
              <w:rPr>
                <w:rFonts w:ascii="Arial" w:hAnsi="Arial" w:cs="Arial"/>
                <w:sz w:val="16"/>
                <w:szCs w:val="16"/>
                <w:lang w:val="fr-FR"/>
              </w:rPr>
              <w:br/>
            </w:r>
            <w:r w:rsidRPr="00A1550F">
              <w:rPr>
                <w:rFonts w:ascii="Arial" w:hAnsi="Arial"/>
                <w:sz w:val="16"/>
                <w:lang w:val="fr-FR"/>
              </w:rPr>
              <w:t>Céline MOSCA</w:t>
            </w:r>
            <w:r w:rsidRPr="00A1550F">
              <w:rPr>
                <w:rFonts w:ascii="Arial" w:hAnsi="Arial" w:cs="Arial"/>
                <w:sz w:val="16"/>
                <w:szCs w:val="16"/>
                <w:lang w:val="fr-FR"/>
              </w:rPr>
              <w:br/>
            </w:r>
            <w:r w:rsidRPr="00A1550F">
              <w:rPr>
                <w:rFonts w:ascii="Arial" w:hAnsi="Arial"/>
                <w:sz w:val="16"/>
                <w:lang w:val="fr-FR"/>
              </w:rPr>
              <w:t>Circulation routière</w:t>
            </w:r>
          </w:p>
        </w:tc>
        <w:tc>
          <w:tcPr>
            <w:tcW w:w="4757" w:type="dxa"/>
          </w:tcPr>
          <w:p w:rsidR="00E5102E" w:rsidRPr="00A1550F" w:rsidP="00E5102E">
            <w:pPr>
              <w:rPr>
                <w:rFonts w:ascii="Arial" w:hAnsi="Arial" w:cs="Arial"/>
                <w:sz w:val="16"/>
                <w:szCs w:val="16"/>
              </w:rPr>
            </w:pPr>
            <w:r w:rsidRPr="00A1550F">
              <w:rPr>
                <w:rFonts w:ascii="Arial" w:hAnsi="Arial"/>
                <w:b/>
                <w:sz w:val="16"/>
              </w:rPr>
              <w:t>Investigator</w:t>
            </w:r>
            <w:r w:rsidRPr="00A1550F">
              <w:rPr>
                <w:rFonts w:ascii="Arial" w:hAnsi="Arial" w:cs="Arial"/>
                <w:sz w:val="16"/>
                <w:szCs w:val="16"/>
              </w:rPr>
              <w:br/>
            </w:r>
            <w:r w:rsidRPr="00A1550F">
              <w:rPr>
                <w:rFonts w:ascii="Arial" w:hAnsi="Arial"/>
                <w:sz w:val="16"/>
              </w:rPr>
              <w:t xml:space="preserve">Céline </w:t>
            </w:r>
            <w:r w:rsidRPr="00A1550F">
              <w:rPr>
                <w:rFonts w:ascii="Arial" w:hAnsi="Arial"/>
                <w:sz w:val="16"/>
              </w:rPr>
              <w:t>Mosca</w:t>
            </w:r>
            <w:r w:rsidRPr="00A1550F">
              <w:rPr>
                <w:rFonts w:ascii="Arial" w:hAnsi="Arial" w:cs="Arial"/>
                <w:sz w:val="16"/>
                <w:szCs w:val="16"/>
              </w:rPr>
              <w:br/>
            </w:r>
            <w:r w:rsidRPr="00A1550F">
              <w:rPr>
                <w:rFonts w:ascii="Arial" w:hAnsi="Arial"/>
                <w:sz w:val="16"/>
              </w:rPr>
              <w:t>Road Traffic</w:t>
            </w:r>
          </w:p>
        </w:tc>
      </w:tr>
      <w:tr w:rsidTr="00E5102E">
        <w:tblPrEx>
          <w:tblW w:w="9514" w:type="dxa"/>
          <w:tblLook w:val="04A0"/>
        </w:tblPrEx>
        <w:tc>
          <w:tcPr>
            <w:tcW w:w="4757" w:type="dxa"/>
          </w:tcPr>
          <w:p w:rsidR="00E5102E" w:rsidRPr="00A1550F" w:rsidP="00E5102E">
            <w:pPr>
              <w:rPr>
                <w:rFonts w:ascii="Arial" w:hAnsi="Arial" w:cs="Arial"/>
                <w:sz w:val="16"/>
                <w:szCs w:val="16"/>
                <w:lang w:val="fr-FR"/>
              </w:rPr>
            </w:pPr>
            <w:r w:rsidRPr="00A1550F">
              <w:rPr>
                <w:rFonts w:ascii="Arial" w:hAnsi="Arial"/>
                <w:b/>
                <w:sz w:val="16"/>
                <w:lang w:val="fr-FR"/>
              </w:rPr>
              <w:t>Enquêteur</w:t>
            </w:r>
            <w:r w:rsidRPr="00A1550F">
              <w:rPr>
                <w:rFonts w:ascii="Arial" w:hAnsi="Arial" w:cs="Arial"/>
                <w:sz w:val="16"/>
                <w:szCs w:val="16"/>
                <w:lang w:val="fr-FR"/>
              </w:rPr>
              <w:br/>
            </w:r>
            <w:r w:rsidRPr="00A1550F">
              <w:rPr>
                <w:rFonts w:ascii="Arial" w:hAnsi="Arial"/>
                <w:sz w:val="16"/>
                <w:lang w:val="fr-FR"/>
              </w:rPr>
              <w:t>Angelo DAPRILE</w:t>
            </w:r>
            <w:r w:rsidRPr="00A1550F">
              <w:rPr>
                <w:rFonts w:ascii="Arial" w:hAnsi="Arial" w:cs="Arial"/>
                <w:sz w:val="16"/>
                <w:szCs w:val="16"/>
                <w:lang w:val="fr-FR"/>
              </w:rPr>
              <w:br/>
            </w:r>
            <w:r w:rsidRPr="00A1550F">
              <w:rPr>
                <w:rFonts w:ascii="Arial" w:hAnsi="Arial"/>
                <w:sz w:val="16"/>
                <w:lang w:val="fr-FR"/>
              </w:rPr>
              <w:t>Chemin de fer et tram</w:t>
            </w:r>
          </w:p>
        </w:tc>
        <w:tc>
          <w:tcPr>
            <w:tcW w:w="4757" w:type="dxa"/>
          </w:tcPr>
          <w:p w:rsidR="00E5102E" w:rsidRPr="00A1550F" w:rsidP="00E5102E">
            <w:pPr>
              <w:rPr>
                <w:rFonts w:ascii="Arial" w:hAnsi="Arial" w:cs="Arial"/>
                <w:sz w:val="16"/>
                <w:szCs w:val="16"/>
              </w:rPr>
            </w:pPr>
            <w:r w:rsidRPr="00A1550F">
              <w:rPr>
                <w:rFonts w:ascii="Arial" w:hAnsi="Arial"/>
                <w:b/>
                <w:sz w:val="16"/>
              </w:rPr>
              <w:t>Investigator</w:t>
            </w:r>
            <w:r w:rsidRPr="00A1550F">
              <w:rPr>
                <w:rFonts w:ascii="Arial" w:hAnsi="Arial" w:cs="Arial"/>
                <w:sz w:val="16"/>
                <w:szCs w:val="16"/>
              </w:rPr>
              <w:br/>
            </w:r>
            <w:r w:rsidRPr="00A1550F">
              <w:rPr>
                <w:rFonts w:ascii="Arial" w:hAnsi="Arial"/>
                <w:sz w:val="16"/>
              </w:rPr>
              <w:t xml:space="preserve">Angelo </w:t>
            </w:r>
            <w:r w:rsidRPr="00A1550F">
              <w:rPr>
                <w:rFonts w:ascii="Arial" w:hAnsi="Arial"/>
                <w:sz w:val="16"/>
              </w:rPr>
              <w:t>Daprile</w:t>
            </w:r>
            <w:r w:rsidRPr="00A1550F">
              <w:rPr>
                <w:rFonts w:ascii="Arial" w:hAnsi="Arial" w:cs="Arial"/>
                <w:sz w:val="16"/>
                <w:szCs w:val="16"/>
              </w:rPr>
              <w:br/>
            </w:r>
            <w:r w:rsidRPr="00A1550F">
              <w:rPr>
                <w:rFonts w:ascii="Arial" w:hAnsi="Arial"/>
                <w:sz w:val="16"/>
              </w:rPr>
              <w:t>Railway and Tram</w:t>
            </w:r>
          </w:p>
        </w:tc>
      </w:tr>
      <w:tr w:rsidTr="00E5102E">
        <w:tblPrEx>
          <w:tblW w:w="9514" w:type="dxa"/>
          <w:tblLook w:val="04A0"/>
        </w:tblPrEx>
        <w:tc>
          <w:tcPr>
            <w:tcW w:w="4757" w:type="dxa"/>
          </w:tcPr>
          <w:p w:rsidR="00E5102E" w:rsidRPr="00A1550F" w:rsidP="00E5102E">
            <w:pPr>
              <w:rPr>
                <w:rFonts w:ascii="Arial" w:hAnsi="Arial" w:cs="Arial"/>
                <w:sz w:val="16"/>
                <w:szCs w:val="16"/>
                <w:lang w:val="fr-FR"/>
              </w:rPr>
            </w:pPr>
            <w:r w:rsidRPr="00A1550F">
              <w:rPr>
                <w:rFonts w:ascii="Arial" w:hAnsi="Arial"/>
                <w:b/>
                <w:sz w:val="16"/>
                <w:lang w:val="fr-FR"/>
              </w:rPr>
              <w:t>Enquêteur</w:t>
            </w:r>
            <w:r w:rsidRPr="00A1550F">
              <w:rPr>
                <w:rFonts w:ascii="Arial" w:hAnsi="Arial" w:cs="Arial"/>
                <w:sz w:val="16"/>
                <w:szCs w:val="16"/>
                <w:lang w:val="fr-FR"/>
              </w:rPr>
              <w:br/>
            </w:r>
            <w:r w:rsidRPr="00A1550F">
              <w:rPr>
                <w:rFonts w:ascii="Arial" w:hAnsi="Arial"/>
                <w:sz w:val="16"/>
                <w:lang w:val="fr-FR"/>
              </w:rPr>
              <w:t>Marc DETERM</w:t>
            </w:r>
            <w:r w:rsidRPr="00A1550F">
              <w:rPr>
                <w:rFonts w:ascii="Arial" w:hAnsi="Arial" w:cs="Arial"/>
                <w:sz w:val="16"/>
                <w:szCs w:val="16"/>
                <w:lang w:val="fr-FR"/>
              </w:rPr>
              <w:br/>
            </w:r>
            <w:r w:rsidRPr="00A1550F">
              <w:rPr>
                <w:rFonts w:ascii="Arial" w:hAnsi="Arial"/>
                <w:sz w:val="16"/>
                <w:lang w:val="fr-FR"/>
              </w:rPr>
              <w:t>Aviation civile</w:t>
            </w:r>
          </w:p>
        </w:tc>
        <w:tc>
          <w:tcPr>
            <w:tcW w:w="4757" w:type="dxa"/>
          </w:tcPr>
          <w:p w:rsidR="00E5102E" w:rsidRPr="00A1550F" w:rsidP="00E5102E">
            <w:pPr>
              <w:rPr>
                <w:rFonts w:ascii="Arial" w:hAnsi="Arial" w:cs="Arial"/>
                <w:sz w:val="16"/>
                <w:szCs w:val="16"/>
              </w:rPr>
            </w:pPr>
            <w:r w:rsidRPr="00A1550F">
              <w:rPr>
                <w:rFonts w:ascii="Arial" w:hAnsi="Arial"/>
                <w:b/>
                <w:sz w:val="16"/>
              </w:rPr>
              <w:t>Investigator</w:t>
            </w:r>
            <w:r w:rsidRPr="00A1550F">
              <w:rPr>
                <w:rFonts w:ascii="Arial" w:hAnsi="Arial" w:cs="Arial"/>
                <w:sz w:val="16"/>
                <w:szCs w:val="16"/>
              </w:rPr>
              <w:br/>
            </w:r>
            <w:r w:rsidRPr="00A1550F">
              <w:rPr>
                <w:rFonts w:ascii="Arial" w:hAnsi="Arial"/>
                <w:sz w:val="16"/>
              </w:rPr>
              <w:t xml:space="preserve">Marc </w:t>
            </w:r>
            <w:r w:rsidRPr="00A1550F">
              <w:rPr>
                <w:rFonts w:ascii="Arial" w:hAnsi="Arial"/>
                <w:sz w:val="16"/>
              </w:rPr>
              <w:t>Determ</w:t>
            </w:r>
            <w:r w:rsidRPr="00A1550F">
              <w:rPr>
                <w:rFonts w:ascii="Arial" w:hAnsi="Arial" w:cs="Arial"/>
                <w:sz w:val="16"/>
                <w:szCs w:val="16"/>
              </w:rPr>
              <w:br/>
            </w:r>
            <w:r w:rsidRPr="00A1550F">
              <w:rPr>
                <w:rFonts w:ascii="Arial" w:hAnsi="Arial"/>
                <w:sz w:val="16"/>
              </w:rPr>
              <w:t>Civil Aviation</w:t>
            </w:r>
          </w:p>
        </w:tc>
      </w:tr>
      <w:tr w:rsidTr="00E5102E">
        <w:tblPrEx>
          <w:tblW w:w="9514" w:type="dxa"/>
          <w:tblLook w:val="04A0"/>
        </w:tblPrEx>
        <w:tc>
          <w:tcPr>
            <w:tcW w:w="4757" w:type="dxa"/>
          </w:tcPr>
          <w:p w:rsidR="00E5102E" w:rsidRPr="00A1550F" w:rsidP="00E5102E">
            <w:pPr>
              <w:rPr>
                <w:rFonts w:ascii="Arial" w:hAnsi="Arial" w:cs="Arial"/>
                <w:sz w:val="16"/>
                <w:szCs w:val="16"/>
              </w:rPr>
            </w:pPr>
            <w:r w:rsidRPr="00A1550F">
              <w:rPr>
                <w:rFonts w:ascii="Arial" w:hAnsi="Arial"/>
                <w:b/>
                <w:sz w:val="16"/>
              </w:rPr>
              <w:t>secrétariat</w:t>
            </w:r>
            <w:r w:rsidRPr="00A1550F">
              <w:rPr>
                <w:rFonts w:ascii="Arial" w:hAnsi="Arial" w:cs="Arial"/>
                <w:sz w:val="16"/>
                <w:szCs w:val="16"/>
              </w:rPr>
              <w:br/>
            </w:r>
            <w:r w:rsidRPr="00A1550F">
              <w:rPr>
                <w:rFonts w:ascii="Arial" w:hAnsi="Arial"/>
                <w:sz w:val="16"/>
              </w:rPr>
              <w:t>Pascale HAUFFELS</w:t>
            </w:r>
          </w:p>
        </w:tc>
        <w:tc>
          <w:tcPr>
            <w:tcW w:w="4757" w:type="dxa"/>
          </w:tcPr>
          <w:p w:rsidR="00E5102E" w:rsidRPr="00A1550F" w:rsidP="00E5102E">
            <w:pPr>
              <w:rPr>
                <w:rFonts w:ascii="Arial" w:hAnsi="Arial" w:cs="Arial"/>
                <w:sz w:val="16"/>
                <w:szCs w:val="16"/>
              </w:rPr>
            </w:pPr>
            <w:r w:rsidRPr="00A1550F">
              <w:rPr>
                <w:rFonts w:ascii="Arial" w:hAnsi="Arial"/>
                <w:b/>
                <w:sz w:val="16"/>
              </w:rPr>
              <w:t>Secretariat</w:t>
            </w:r>
            <w:r w:rsidRPr="00A1550F">
              <w:rPr>
                <w:rFonts w:ascii="Arial" w:hAnsi="Arial" w:cs="Arial"/>
                <w:sz w:val="16"/>
                <w:szCs w:val="16"/>
              </w:rPr>
              <w:br/>
            </w:r>
            <w:r w:rsidRPr="00A1550F">
              <w:rPr>
                <w:rFonts w:ascii="Arial" w:hAnsi="Arial"/>
                <w:sz w:val="16"/>
              </w:rPr>
              <w:t xml:space="preserve">Pascale </w:t>
            </w:r>
            <w:r w:rsidRPr="00A1550F">
              <w:rPr>
                <w:rFonts w:ascii="Arial" w:hAnsi="Arial"/>
                <w:sz w:val="16"/>
              </w:rPr>
              <w:t>Hauffels</w:t>
            </w:r>
          </w:p>
        </w:tc>
      </w:tr>
      <w:tr w:rsidTr="00E5102E">
        <w:tblPrEx>
          <w:tblW w:w="9514" w:type="dxa"/>
          <w:tblLook w:val="04A0"/>
        </w:tblPrEx>
        <w:tc>
          <w:tcPr>
            <w:tcW w:w="4757" w:type="dxa"/>
          </w:tcPr>
          <w:p w:rsidR="00E5102E" w:rsidRPr="00A1550F" w:rsidP="00E5102E">
            <w:pPr>
              <w:rPr>
                <w:rFonts w:ascii="Arial" w:hAnsi="Arial" w:cs="Arial"/>
                <w:b/>
                <w:sz w:val="16"/>
                <w:szCs w:val="16"/>
                <w:lang w:val="fr-FR"/>
              </w:rPr>
            </w:pPr>
            <w:r w:rsidRPr="00A1550F">
              <w:rPr>
                <w:rFonts w:ascii="Arial" w:hAnsi="Arial"/>
                <w:b/>
                <w:sz w:val="16"/>
                <w:lang w:val="fr-FR"/>
              </w:rPr>
              <w:t>MoU</w:t>
            </w:r>
            <w:r w:rsidRPr="00A1550F">
              <w:rPr>
                <w:rFonts w:ascii="Arial" w:hAnsi="Arial"/>
                <w:b/>
                <w:sz w:val="16"/>
                <w:lang w:val="fr-FR"/>
              </w:rPr>
              <w:t xml:space="preserve"> avec les autorités judiciaires, Direction de l’aviation civile…</w:t>
            </w:r>
          </w:p>
        </w:tc>
        <w:tc>
          <w:tcPr>
            <w:tcW w:w="4757" w:type="dxa"/>
          </w:tcPr>
          <w:p w:rsidR="00E5102E" w:rsidRPr="00A1550F" w:rsidP="00E5102E">
            <w:pPr>
              <w:rPr>
                <w:rFonts w:ascii="Arial" w:hAnsi="Arial" w:cs="Arial"/>
                <w:b/>
                <w:sz w:val="16"/>
                <w:szCs w:val="16"/>
              </w:rPr>
            </w:pPr>
            <w:r w:rsidRPr="00A1550F">
              <w:rPr>
                <w:rFonts w:ascii="Arial" w:hAnsi="Arial"/>
                <w:b/>
                <w:sz w:val="16"/>
              </w:rPr>
              <w:t>MoU with the judicial authorities, Civil Aviation Directorate, etc.</w:t>
            </w:r>
          </w:p>
        </w:tc>
      </w:tr>
      <w:tr w:rsidTr="00E5102E">
        <w:tblPrEx>
          <w:tblW w:w="9514" w:type="dxa"/>
          <w:tblLook w:val="04A0"/>
        </w:tblPrEx>
        <w:tc>
          <w:tcPr>
            <w:tcW w:w="4757" w:type="dxa"/>
          </w:tcPr>
          <w:p w:rsidR="00E5102E" w:rsidRPr="00A1550F" w:rsidP="00E5102E">
            <w:pPr>
              <w:rPr>
                <w:rFonts w:ascii="Arial" w:hAnsi="Arial" w:cs="Arial"/>
                <w:b/>
                <w:sz w:val="16"/>
                <w:szCs w:val="16"/>
              </w:rPr>
            </w:pPr>
            <w:r w:rsidRPr="00A1550F">
              <w:rPr>
                <w:rFonts w:ascii="Arial" w:hAnsi="Arial"/>
                <w:b/>
                <w:sz w:val="16"/>
              </w:rPr>
              <w:t xml:space="preserve">Experts </w:t>
            </w:r>
            <w:r w:rsidRPr="00A1550F">
              <w:rPr>
                <w:rFonts w:ascii="Arial" w:hAnsi="Arial"/>
                <w:b/>
                <w:sz w:val="16"/>
              </w:rPr>
              <w:t>accrédités</w:t>
            </w:r>
          </w:p>
        </w:tc>
        <w:tc>
          <w:tcPr>
            <w:tcW w:w="4757" w:type="dxa"/>
          </w:tcPr>
          <w:p w:rsidR="00E5102E" w:rsidRPr="00A1550F" w:rsidP="00E5102E">
            <w:pPr>
              <w:rPr>
                <w:rFonts w:ascii="Arial" w:hAnsi="Arial" w:cs="Arial"/>
                <w:b/>
                <w:sz w:val="16"/>
                <w:szCs w:val="16"/>
              </w:rPr>
            </w:pPr>
            <w:r w:rsidRPr="00A1550F">
              <w:rPr>
                <w:rFonts w:ascii="Arial" w:hAnsi="Arial"/>
                <w:b/>
                <w:sz w:val="16"/>
              </w:rPr>
              <w:t>Accredited experts</w:t>
            </w:r>
          </w:p>
        </w:tc>
      </w:tr>
      <w:tr w:rsidTr="00E5102E">
        <w:tblPrEx>
          <w:tblW w:w="9514" w:type="dxa"/>
          <w:tblLook w:val="04A0"/>
        </w:tblPrEx>
        <w:tc>
          <w:tcPr>
            <w:tcW w:w="4757" w:type="dxa"/>
          </w:tcPr>
          <w:p w:rsidR="00E5102E" w:rsidRPr="00A1550F" w:rsidP="00E5102E">
            <w:pPr>
              <w:rPr>
                <w:rFonts w:ascii="Arial" w:hAnsi="Arial" w:cs="Arial"/>
                <w:b/>
                <w:sz w:val="16"/>
                <w:szCs w:val="16"/>
                <w:lang w:val="fr-FR"/>
              </w:rPr>
            </w:pPr>
            <w:r w:rsidRPr="00A1550F">
              <w:rPr>
                <w:rFonts w:ascii="Arial" w:hAnsi="Arial"/>
                <w:b/>
                <w:sz w:val="16"/>
                <w:lang w:val="fr-FR"/>
              </w:rPr>
              <w:t>Budget non-limitatif pour enquêtes et nomination d’experts</w:t>
            </w:r>
          </w:p>
        </w:tc>
        <w:tc>
          <w:tcPr>
            <w:tcW w:w="4757" w:type="dxa"/>
          </w:tcPr>
          <w:p w:rsidR="00E5102E" w:rsidRPr="00A1550F" w:rsidP="00E5102E">
            <w:pPr>
              <w:rPr>
                <w:rFonts w:ascii="Arial" w:hAnsi="Arial" w:cs="Arial"/>
                <w:b/>
                <w:sz w:val="16"/>
                <w:szCs w:val="16"/>
              </w:rPr>
            </w:pPr>
            <w:r w:rsidRPr="00A1550F">
              <w:rPr>
                <w:rFonts w:ascii="Arial" w:hAnsi="Arial"/>
                <w:b/>
                <w:sz w:val="16"/>
              </w:rPr>
              <w:t>Open-ended budget for investigations and appointment of experts</w:t>
            </w:r>
          </w:p>
        </w:tc>
      </w:tr>
    </w:tbl>
    <w:p w:rsidR="000875B9" w:rsidRPr="00A1550F" w:rsidP="00E65DDD">
      <w:pPr>
        <w:rPr>
          <w:rFonts w:ascii="Arial" w:hAnsi="Arial" w:cs="Arial"/>
          <w:b/>
        </w:rPr>
      </w:pPr>
    </w:p>
    <w:p w:rsidR="00E65DDD" w:rsidRPr="00A1550F" w:rsidP="00E65DDD">
      <w:pPr>
        <w:rPr>
          <w:rFonts w:ascii="Arial" w:hAnsi="Arial" w:cs="Arial"/>
          <w:b/>
        </w:rPr>
      </w:pPr>
      <w:r w:rsidRPr="00A1550F">
        <w:rPr>
          <w:rFonts w:ascii="Arial" w:hAnsi="Arial"/>
          <w:b/>
        </w:rPr>
        <w:t xml:space="preserve">3. Training </w:t>
      </w:r>
    </w:p>
    <w:p w:rsidR="00E65DDD" w:rsidRPr="00A1550F" w:rsidP="00E65DDD">
      <w:pPr>
        <w:rPr>
          <w:rFonts w:ascii="Arial" w:hAnsi="Arial" w:cs="Arial"/>
          <w:b/>
        </w:rPr>
      </w:pPr>
    </w:p>
    <w:p w:rsidR="00E65DDD" w:rsidRPr="00A1550F" w:rsidP="00E65DDD">
      <w:pPr>
        <w:jc w:val="both"/>
        <w:rPr>
          <w:rFonts w:ascii="Arial" w:hAnsi="Arial" w:cs="Arial"/>
        </w:rPr>
      </w:pPr>
      <w:r w:rsidRPr="00A1550F">
        <w:rPr>
          <w:rFonts w:ascii="Arial" w:hAnsi="Arial"/>
        </w:rPr>
        <w:t xml:space="preserve">The Community and international provisions on safety investigations in the transport sectors referred to by the Law of 30 April 2008 require the AET’s staff to have a core competency in the sectors concerned so they can effectively conduct a safety investigation. It is therefore important that there is regular attendance at continuous in-service training and other advanced training courses in the sectors of civil aviation, maritime and inland waterway transport, and railways. </w:t>
      </w:r>
    </w:p>
    <w:p w:rsidR="00E65DDD" w:rsidRPr="00A1550F" w:rsidP="00E65DDD">
      <w:pPr>
        <w:jc w:val="both"/>
        <w:rPr>
          <w:rFonts w:ascii="Arial" w:hAnsi="Arial" w:cs="Arial"/>
        </w:rPr>
      </w:pPr>
      <w:r w:rsidRPr="00A1550F">
        <w:rPr>
          <w:rFonts w:ascii="Arial" w:hAnsi="Arial"/>
        </w:rPr>
        <w:t xml:space="preserve">In 2017, the Administration’s staff underwent a total of 38 days of training. This training was, for the most part, included in the continuous in-service training courses organised by the </w:t>
      </w:r>
      <w:r w:rsidRPr="00A1550F">
        <w:rPr>
          <w:rFonts w:ascii="Arial" w:hAnsi="Arial"/>
        </w:rPr>
        <w:t>Institut</w:t>
      </w:r>
      <w:r w:rsidRPr="00A1550F">
        <w:rPr>
          <w:rFonts w:ascii="Arial" w:hAnsi="Arial"/>
        </w:rPr>
        <w:t xml:space="preserve"> national de formation </w:t>
      </w:r>
      <w:r w:rsidRPr="00A1550F">
        <w:rPr>
          <w:rFonts w:ascii="Arial" w:hAnsi="Arial"/>
        </w:rPr>
        <w:t>publique</w:t>
      </w:r>
      <w:r w:rsidRPr="00A1550F">
        <w:rPr>
          <w:rFonts w:ascii="Arial" w:hAnsi="Arial"/>
        </w:rPr>
        <w:t xml:space="preserve"> (National Institute </w:t>
      </w:r>
      <w:r w:rsidRPr="00A1550F" w:rsidR="002661EE">
        <w:rPr>
          <w:rFonts w:ascii="Arial" w:hAnsi="Arial"/>
        </w:rPr>
        <w:t>of</w:t>
      </w:r>
      <w:r w:rsidRPr="00A1550F">
        <w:rPr>
          <w:rFonts w:ascii="Arial" w:hAnsi="Arial"/>
        </w:rPr>
        <w:t xml:space="preserve"> Public Administration – INAP). Some training was organised by European agencies and other entities (ENCASIA, ECAC, ERA, </w:t>
      </w:r>
      <w:r w:rsidRPr="00A1550F">
        <w:rPr>
          <w:rFonts w:ascii="Arial" w:hAnsi="Arial"/>
        </w:rPr>
        <w:t>EMSA</w:t>
      </w:r>
      <w:r w:rsidRPr="00A1550F">
        <w:rPr>
          <w:rFonts w:ascii="Arial" w:hAnsi="Arial"/>
        </w:rPr>
        <w:t>) in the relevant means of transport with the aim of encouraging cooperation between safety investigation entities.</w:t>
      </w:r>
    </w:p>
    <w:p w:rsidR="00E65DDD" w:rsidRPr="00A1550F" w:rsidP="00E65DDD">
      <w:pPr>
        <w:jc w:val="both"/>
        <w:rPr>
          <w:rFonts w:ascii="Arial" w:hAnsi="Arial" w:cs="Arial"/>
        </w:rPr>
      </w:pPr>
    </w:p>
    <w:p w:rsidR="00E65DDD" w:rsidRPr="00A1550F" w:rsidP="00E65DDD">
      <w:pPr>
        <w:pStyle w:val="ListParagraph"/>
        <w:ind w:left="0"/>
        <w:rPr>
          <w:rFonts w:ascii="Arial" w:hAnsi="Arial" w:cs="Arial"/>
          <w:b/>
        </w:rPr>
      </w:pPr>
      <w:r w:rsidRPr="00A1550F">
        <w:rPr>
          <w:rFonts w:ascii="Arial" w:hAnsi="Arial"/>
          <w:b/>
        </w:rPr>
        <w:t>4. Cooperation at national, European and international level</w:t>
      </w:r>
    </w:p>
    <w:p w:rsidR="00E65DDD" w:rsidRPr="00A1550F" w:rsidP="00E65DDD">
      <w:pPr>
        <w:pStyle w:val="ListParagraph"/>
        <w:ind w:left="0"/>
        <w:rPr>
          <w:rFonts w:ascii="Arial" w:hAnsi="Arial" w:cs="Arial"/>
          <w:b/>
        </w:rPr>
      </w:pPr>
    </w:p>
    <w:p w:rsidR="00E65DDD" w:rsidRPr="00A1550F" w:rsidP="00E65DDD">
      <w:pPr>
        <w:jc w:val="both"/>
        <w:rPr>
          <w:rFonts w:ascii="Arial" w:hAnsi="Arial" w:cs="Arial"/>
        </w:rPr>
      </w:pPr>
      <w:r w:rsidRPr="00A1550F">
        <w:rPr>
          <w:rFonts w:ascii="Arial" w:hAnsi="Arial"/>
        </w:rPr>
        <w:t>Given the multiple means of transport under its responsibility, the AET is invited to take part in numerous meetings and other safety investigation activities at both European and international level. The contacts made and the information obtained at such events are particularly important as they enable the Administration, if necessary and in the absence of the appropriate resources in-house, quickly to seek external expert assistance and knowledge from foreign authorities and organisations.</w:t>
      </w:r>
    </w:p>
    <w:p w:rsidR="00E65DDD" w:rsidRPr="00A1550F" w:rsidP="00E65DDD">
      <w:pPr>
        <w:jc w:val="both"/>
        <w:rPr>
          <w:rFonts w:ascii="Arial" w:hAnsi="Arial" w:cs="Arial"/>
        </w:rPr>
      </w:pPr>
    </w:p>
    <w:p w:rsidR="00E65DDD" w:rsidRPr="00A1550F" w:rsidP="00E65DDD">
      <w:pPr>
        <w:rPr>
          <w:rFonts w:ascii="Arial" w:hAnsi="Arial" w:cs="Arial"/>
          <w:b/>
        </w:rPr>
      </w:pPr>
      <w:r w:rsidRPr="00A1550F">
        <w:rPr>
          <w:rFonts w:ascii="Arial" w:hAnsi="Arial"/>
          <w:b/>
        </w:rPr>
        <w:t xml:space="preserve">4.1 Cooperation in the railway sector </w:t>
      </w:r>
    </w:p>
    <w:p w:rsidR="00E65DDD" w:rsidRPr="00A1550F" w:rsidP="00E65DDD">
      <w:pPr>
        <w:rPr>
          <w:rFonts w:ascii="Arial" w:hAnsi="Arial" w:cs="Arial"/>
          <w:b/>
        </w:rPr>
      </w:pPr>
    </w:p>
    <w:p w:rsidR="00E65DDD" w:rsidRPr="00A1550F" w:rsidP="00E65DDD">
      <w:pPr>
        <w:jc w:val="both"/>
        <w:rPr>
          <w:rFonts w:ascii="Arial" w:hAnsi="Arial" w:cs="Arial"/>
        </w:rPr>
      </w:pPr>
      <w:r w:rsidRPr="00A1550F">
        <w:rPr>
          <w:rFonts w:ascii="Arial" w:hAnsi="Arial"/>
        </w:rPr>
        <w:t>In 2017, the European Union Agency for Railways (ERA) organised three meetings of the network of national investigation bodies (NIB Network). These meetings offer an opportunity to make decisions at European level in conjunction with the investigation bodies, analyse railway accidents, exchange information and experiences, and keep in touch with European counterparts.</w:t>
      </w:r>
    </w:p>
    <w:p w:rsidR="00E65DDD" w:rsidRPr="00A1550F" w:rsidP="00E65DDD">
      <w:pPr>
        <w:jc w:val="both"/>
        <w:rPr>
          <w:rFonts w:ascii="Arial" w:hAnsi="Arial" w:cs="Arial"/>
        </w:rPr>
      </w:pPr>
    </w:p>
    <w:p w:rsidR="00E65DDD" w:rsidRPr="00A1550F" w:rsidP="00E65DDD">
      <w:pPr>
        <w:jc w:val="both"/>
        <w:rPr>
          <w:rFonts w:ascii="Arial" w:hAnsi="Arial" w:cs="Arial"/>
          <w:b/>
        </w:rPr>
      </w:pPr>
      <w:r w:rsidRPr="00A1550F">
        <w:rPr>
          <w:rFonts w:ascii="Arial" w:hAnsi="Arial"/>
          <w:b/>
        </w:rPr>
        <w:t>4.2 Cooperation between the AET and the judicial authority</w:t>
      </w:r>
    </w:p>
    <w:p w:rsidR="00E65DDD" w:rsidRPr="00A1550F" w:rsidP="00E65DDD">
      <w:pPr>
        <w:jc w:val="both"/>
        <w:rPr>
          <w:rFonts w:ascii="Arial" w:hAnsi="Arial" w:cs="Arial"/>
          <w:b/>
        </w:rPr>
      </w:pPr>
    </w:p>
    <w:p w:rsidR="00E65DDD" w:rsidRPr="00A1550F" w:rsidP="00E65DDD">
      <w:pPr>
        <w:jc w:val="both"/>
        <w:rPr>
          <w:rFonts w:ascii="Arial" w:hAnsi="Arial" w:cs="Arial"/>
        </w:rPr>
      </w:pPr>
      <w:r w:rsidRPr="00A1550F">
        <w:rPr>
          <w:rFonts w:ascii="Arial" w:hAnsi="Arial"/>
        </w:rPr>
        <w:t>When offences are likely to have been committed in relation to accidents or serious incidents, the technical investigation is likely to compete with a criminal investigation. Of course, the purpose of the criminal investigation is very different from that of the technical investigation, in that it leads to the identification of any criminal liability, while the sole aim of the technical investigation is to improve safety. However, the two tasks partially overlap and the two bodies may find themselves in competition to investigate the same facts.</w:t>
      </w:r>
    </w:p>
    <w:p w:rsidR="00E65DDD" w:rsidRPr="00A1550F" w:rsidP="00E65DDD">
      <w:pPr>
        <w:jc w:val="both"/>
        <w:rPr>
          <w:rFonts w:ascii="Arial" w:hAnsi="Arial" w:cs="Arial"/>
        </w:rPr>
      </w:pPr>
    </w:p>
    <w:p w:rsidR="00F44707" w:rsidRPr="00A1550F" w:rsidP="00E65DDD">
      <w:pPr>
        <w:jc w:val="both"/>
        <w:rPr>
          <w:rFonts w:ascii="Arial" w:hAnsi="Arial" w:cs="Arial"/>
        </w:rPr>
      </w:pPr>
      <w:r w:rsidRPr="00A1550F">
        <w:rPr>
          <w:rFonts w:ascii="Arial" w:hAnsi="Arial"/>
        </w:rPr>
        <w:t>In that respect, a memorandum of understanding was signed in 2016 between the AET and the judicial authority represented by the various prosecutors’ offices and the investigating judges’ chambers. Its purpose is to consolidate cooperation, while taking into account the specific tasks of each of the parties involved. It was adapted in 2017 to take into account the AET’s new tasks in relation to vehicle traffic accidents on public roads.</w:t>
      </w:r>
    </w:p>
    <w:p w:rsidR="00E65DDD" w:rsidRPr="00A1550F" w:rsidP="00E65DDD">
      <w:pPr>
        <w:jc w:val="both"/>
        <w:rPr>
          <w:rFonts w:ascii="Arial" w:hAnsi="Arial" w:cs="Arial"/>
        </w:rPr>
      </w:pPr>
      <w:r w:rsidRPr="00A1550F">
        <w:rPr>
          <w:rFonts w:ascii="Arial" w:hAnsi="Arial"/>
        </w:rPr>
        <w:t>The above-mentioned memorandum defines, among other things, the arrangements for cooperation in the following areas:</w:t>
      </w:r>
    </w:p>
    <w:p w:rsidR="00E65DDD" w:rsidRPr="00A1550F" w:rsidP="00E65DDD">
      <w:pPr>
        <w:jc w:val="both"/>
        <w:rPr>
          <w:rFonts w:ascii="Arial" w:hAnsi="Arial" w:cs="Arial"/>
        </w:rPr>
      </w:pPr>
    </w:p>
    <w:p w:rsidR="00E65DDD" w:rsidRPr="00A1550F" w:rsidP="00E65DDD">
      <w:pPr>
        <w:numPr>
          <w:ilvl w:val="0"/>
          <w:numId w:val="22"/>
        </w:numPr>
        <w:jc w:val="both"/>
        <w:rPr>
          <w:rFonts w:ascii="Arial" w:hAnsi="Arial" w:cs="Arial"/>
        </w:rPr>
      </w:pPr>
      <w:r w:rsidRPr="00A1550F">
        <w:rPr>
          <w:rFonts w:ascii="Arial" w:hAnsi="Arial"/>
        </w:rPr>
        <w:t>access to the accident site;</w:t>
      </w:r>
    </w:p>
    <w:p w:rsidR="00E65DDD" w:rsidRPr="00A1550F" w:rsidP="00E65DDD">
      <w:pPr>
        <w:numPr>
          <w:ilvl w:val="0"/>
          <w:numId w:val="22"/>
        </w:numPr>
        <w:jc w:val="both"/>
        <w:rPr>
          <w:rFonts w:ascii="Arial" w:hAnsi="Arial" w:cs="Arial"/>
        </w:rPr>
      </w:pPr>
      <w:r w:rsidRPr="00A1550F">
        <w:rPr>
          <w:rFonts w:ascii="Arial" w:hAnsi="Arial"/>
        </w:rPr>
        <w:t>the preservation of evidence and access to it;</w:t>
      </w:r>
    </w:p>
    <w:p w:rsidR="00E65DDD" w:rsidRPr="00A1550F" w:rsidP="00E65DDD">
      <w:pPr>
        <w:numPr>
          <w:ilvl w:val="0"/>
          <w:numId w:val="22"/>
        </w:numPr>
        <w:jc w:val="both"/>
        <w:rPr>
          <w:rFonts w:ascii="Arial" w:hAnsi="Arial" w:cs="Arial"/>
        </w:rPr>
      </w:pPr>
      <w:r w:rsidRPr="00A1550F">
        <w:rPr>
          <w:rFonts w:ascii="Arial" w:hAnsi="Arial"/>
        </w:rPr>
        <w:t>the initial and ongoing reports on the progress of each operation;</w:t>
      </w:r>
    </w:p>
    <w:p w:rsidR="00E65DDD" w:rsidRPr="00A1550F" w:rsidP="00E65DDD">
      <w:pPr>
        <w:numPr>
          <w:ilvl w:val="0"/>
          <w:numId w:val="22"/>
        </w:numPr>
        <w:jc w:val="both"/>
        <w:rPr>
          <w:rFonts w:ascii="Arial" w:hAnsi="Arial" w:cs="Arial"/>
        </w:rPr>
      </w:pPr>
      <w:r w:rsidRPr="00A1550F">
        <w:rPr>
          <w:rFonts w:ascii="Arial" w:hAnsi="Arial"/>
        </w:rPr>
        <w:t>the exchange of information;</w:t>
      </w:r>
    </w:p>
    <w:p w:rsidR="00E65DDD" w:rsidRPr="00A1550F" w:rsidP="00E65DDD">
      <w:pPr>
        <w:numPr>
          <w:ilvl w:val="0"/>
          <w:numId w:val="22"/>
        </w:numPr>
        <w:jc w:val="both"/>
        <w:rPr>
          <w:rFonts w:ascii="Arial" w:hAnsi="Arial" w:cs="Arial"/>
        </w:rPr>
      </w:pPr>
      <w:r w:rsidRPr="00A1550F">
        <w:rPr>
          <w:rFonts w:ascii="Arial" w:hAnsi="Arial"/>
        </w:rPr>
        <w:t>the appropriate use of safety information;</w:t>
      </w:r>
    </w:p>
    <w:p w:rsidR="00E65DDD" w:rsidRPr="00A1550F" w:rsidP="00E65DDD">
      <w:pPr>
        <w:numPr>
          <w:ilvl w:val="0"/>
          <w:numId w:val="22"/>
        </w:numPr>
        <w:jc w:val="both"/>
        <w:rPr>
          <w:rFonts w:ascii="Arial" w:hAnsi="Arial" w:cs="Arial"/>
        </w:rPr>
      </w:pPr>
      <w:r w:rsidRPr="00A1550F">
        <w:rPr>
          <w:rFonts w:ascii="Arial" w:hAnsi="Arial"/>
        </w:rPr>
        <w:t>the</w:t>
      </w:r>
      <w:r w:rsidRPr="00A1550F">
        <w:rPr>
          <w:rFonts w:ascii="Arial" w:hAnsi="Arial"/>
        </w:rPr>
        <w:t xml:space="preserve"> resolution of conflicts. </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In November 2017, the AET organised an information session with the judicial authority to present its specific tasks and responsibilities to the various prosecutors’ offices and investigating judges’ chambers.</w:t>
      </w:r>
    </w:p>
    <w:p w:rsidR="00E65DDD" w:rsidRPr="00A1550F" w:rsidP="00E65DDD">
      <w:pPr>
        <w:jc w:val="both"/>
        <w:rPr>
          <w:rFonts w:ascii="Arial" w:hAnsi="Arial" w:cs="Arial"/>
        </w:rPr>
      </w:pPr>
    </w:p>
    <w:p w:rsidR="00E65DDD" w:rsidRPr="00A1550F" w:rsidP="00E65DDD">
      <w:pPr>
        <w:jc w:val="both"/>
        <w:rPr>
          <w:rFonts w:ascii="Arial" w:hAnsi="Arial" w:cs="Arial"/>
          <w:b/>
        </w:rPr>
      </w:pPr>
      <w:r w:rsidRPr="00A1550F">
        <w:rPr>
          <w:rFonts w:ascii="Arial" w:hAnsi="Arial"/>
          <w:b/>
        </w:rPr>
        <w:t>5. Railways</w:t>
      </w:r>
    </w:p>
    <w:p w:rsidR="00E65DDD" w:rsidRPr="00A1550F" w:rsidP="00E65DDD">
      <w:pPr>
        <w:jc w:val="both"/>
        <w:rPr>
          <w:rFonts w:ascii="Arial" w:hAnsi="Arial" w:cs="Arial"/>
          <w:b/>
        </w:rPr>
      </w:pPr>
    </w:p>
    <w:p w:rsidR="00E65DDD" w:rsidRPr="00A1550F" w:rsidP="00E65DDD">
      <w:pPr>
        <w:jc w:val="both"/>
        <w:rPr>
          <w:rFonts w:ascii="Arial" w:hAnsi="Arial" w:cs="Arial"/>
        </w:rPr>
      </w:pPr>
      <w:r w:rsidRPr="00A1550F">
        <w:rPr>
          <w:rFonts w:ascii="Arial" w:hAnsi="Arial"/>
        </w:rPr>
        <w:t>In 2017, 44 safety events were notified to the AET by the infrastructure manager or by the railway undertakings involved.</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There was a large number of signals passed at danger (21 events) and derailments (11 events).</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 xml:space="preserve">On 14 February 2017, a serious accident took place in </w:t>
      </w:r>
      <w:r w:rsidRPr="00A1550F">
        <w:rPr>
          <w:rFonts w:ascii="Arial" w:hAnsi="Arial"/>
        </w:rPr>
        <w:t>Dudelange</w:t>
      </w:r>
      <w:r w:rsidRPr="00A1550F">
        <w:rPr>
          <w:rFonts w:ascii="Arial" w:hAnsi="Arial"/>
        </w:rPr>
        <w:t>, in which a regional express train (TER) and a goods train collided head-on at a set of points at kilometre point 1.481 of the ‘</w:t>
      </w:r>
      <w:r w:rsidRPr="00A1550F">
        <w:rPr>
          <w:rFonts w:ascii="Arial" w:hAnsi="Arial"/>
        </w:rPr>
        <w:t>Bettembourg</w:t>
      </w:r>
      <w:r w:rsidRPr="00A1550F">
        <w:rPr>
          <w:rFonts w:ascii="Arial" w:hAnsi="Arial"/>
        </w:rPr>
        <w:t xml:space="preserve"> – </w:t>
      </w:r>
      <w:r w:rsidRPr="00A1550F">
        <w:rPr>
          <w:rFonts w:ascii="Arial" w:hAnsi="Arial"/>
        </w:rPr>
        <w:t>Daereboesch</w:t>
      </w:r>
      <w:r w:rsidRPr="00A1550F">
        <w:rPr>
          <w:rFonts w:ascii="Arial" w:hAnsi="Arial"/>
        </w:rPr>
        <w:t>’ section. The driver of the TER was killed instantly and the train guard suffered minor injuries. The driver of the goods train suffered serious injuries. No passengers were on board the TER at the time of the accident. However, there was major damage to the railway infrastructure and to the rolling stock.</w:t>
      </w:r>
    </w:p>
    <w:p w:rsidR="004A4102"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Following this accident, a safety investigation was opened in accordance with the amended Law of 30 April 2008 on technical investigations relating to accidents and serious incidents occurring in civil aviation, maritime transport, railway and road traffic sectors, the Grand-Ducal Regulation of 7 November 2008 laying down additional specifications for accidents and incidents occurring in the railway sector, and Directive (EU) 2016/798 of the European Parliament and of the Council on railway safety.</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The AET decided to issue safety recommendations immediately after the preliminary findings of the safety investigation in order to prevent the occurrence of a similar accident.</w:t>
      </w:r>
    </w:p>
    <w:p w:rsidR="00E65DDD" w:rsidRPr="00A1550F" w:rsidP="00E65DDD">
      <w:pPr>
        <w:jc w:val="both"/>
        <w:rPr>
          <w:rFonts w:ascii="Arial" w:hAnsi="Arial" w:cs="Arial"/>
        </w:rPr>
      </w:pPr>
      <w:r w:rsidRPr="00A1550F">
        <w:rPr>
          <w:rFonts w:ascii="Arial" w:hAnsi="Arial"/>
        </w:rPr>
        <w:t xml:space="preserve">Without awaiting the investigation’s conclusions and in accordance with Article 9(2) of the Law of 30 April 2008 creating the AET, the following recommendations were submitted to the Administration des Chemins de </w:t>
      </w:r>
      <w:r w:rsidRPr="00A1550F">
        <w:rPr>
          <w:rFonts w:ascii="Arial" w:hAnsi="Arial"/>
        </w:rPr>
        <w:t>Fer</w:t>
      </w:r>
      <w:r w:rsidRPr="00A1550F">
        <w:rPr>
          <w:rFonts w:ascii="Arial" w:hAnsi="Arial"/>
        </w:rPr>
        <w:t xml:space="preserve"> (Railway Authority – ACF):</w:t>
      </w:r>
    </w:p>
    <w:p w:rsidR="004A4102" w:rsidRPr="00A1550F" w:rsidP="00E65DDD">
      <w:pPr>
        <w:jc w:val="both"/>
        <w:rPr>
          <w:rFonts w:ascii="Arial" w:hAnsi="Arial" w:cs="Arial"/>
        </w:rPr>
      </w:pPr>
    </w:p>
    <w:p w:rsidR="00E65DDD" w:rsidRPr="00A1550F" w:rsidP="00E65DDD">
      <w:pPr>
        <w:pStyle w:val="ListNumber"/>
        <w:numPr>
          <w:ilvl w:val="0"/>
          <w:numId w:val="23"/>
        </w:numPr>
        <w:tabs>
          <w:tab w:val="left" w:pos="720"/>
        </w:tabs>
        <w:ind w:left="851" w:hanging="284"/>
        <w:jc w:val="both"/>
        <w:rPr>
          <w:rFonts w:ascii="Arial" w:hAnsi="Arial" w:cs="Arial"/>
          <w:sz w:val="22"/>
          <w:szCs w:val="22"/>
        </w:rPr>
      </w:pPr>
      <w:r w:rsidRPr="00A1550F">
        <w:rPr>
          <w:rFonts w:ascii="Arial" w:hAnsi="Arial"/>
          <w:b/>
          <w:sz w:val="22"/>
        </w:rPr>
        <w:t>Recommendation LU-CF-2017-001:</w:t>
      </w:r>
      <w:r w:rsidRPr="00A1550F">
        <w:rPr>
          <w:rFonts w:ascii="Arial" w:hAnsi="Arial"/>
          <w:sz w:val="22"/>
        </w:rPr>
        <w:t xml:space="preserve"> require railway undertakings to ensure that all rolling stock on the national rail network using the </w:t>
      </w:r>
      <w:r w:rsidRPr="00A1550F">
        <w:rPr>
          <w:rFonts w:ascii="Arial" w:hAnsi="Arial"/>
          <w:sz w:val="22"/>
        </w:rPr>
        <w:t>Memor</w:t>
      </w:r>
      <w:r w:rsidRPr="00A1550F">
        <w:rPr>
          <w:rFonts w:ascii="Arial" w:hAnsi="Arial"/>
          <w:sz w:val="22"/>
        </w:rPr>
        <w:t xml:space="preserve"> II+ driver assistance system is uniformly equipped with an alert system informing the train driver of the position of the fixed repeater signal as it is passed.</w:t>
      </w:r>
    </w:p>
    <w:p w:rsidR="00E65DDD" w:rsidRPr="00A1550F" w:rsidP="00E65DDD">
      <w:pPr>
        <w:pStyle w:val="ListNumber"/>
        <w:numPr>
          <w:ilvl w:val="0"/>
          <w:numId w:val="0"/>
        </w:numPr>
        <w:tabs>
          <w:tab w:val="left" w:pos="720"/>
        </w:tabs>
        <w:ind w:left="502" w:hanging="360"/>
        <w:rPr>
          <w:rFonts w:ascii="Arial" w:hAnsi="Arial" w:cs="Arial"/>
          <w:sz w:val="22"/>
          <w:szCs w:val="22"/>
        </w:rPr>
      </w:pPr>
    </w:p>
    <w:p w:rsidR="00E65DDD" w:rsidRPr="00A1550F" w:rsidP="00E65DDD">
      <w:pPr>
        <w:pStyle w:val="ListNumber"/>
        <w:numPr>
          <w:ilvl w:val="0"/>
          <w:numId w:val="24"/>
        </w:numPr>
        <w:tabs>
          <w:tab w:val="left" w:pos="720"/>
        </w:tabs>
        <w:jc w:val="both"/>
        <w:rPr>
          <w:rFonts w:ascii="Arial" w:hAnsi="Arial" w:cs="Arial"/>
          <w:sz w:val="22"/>
          <w:szCs w:val="22"/>
        </w:rPr>
      </w:pPr>
      <w:r w:rsidRPr="00A1550F">
        <w:rPr>
          <w:rFonts w:ascii="Arial" w:hAnsi="Arial"/>
          <w:b/>
          <w:sz w:val="22"/>
        </w:rPr>
        <w:t>Recommendation LU-CF-2017-002:</w:t>
      </w:r>
      <w:r w:rsidRPr="00A1550F">
        <w:rPr>
          <w:rFonts w:ascii="Arial" w:hAnsi="Arial"/>
          <w:sz w:val="22"/>
        </w:rPr>
        <w:t xml:space="preserve"> bring about as quickly as possible a shift from the use of the </w:t>
      </w:r>
      <w:r w:rsidRPr="00A1550F">
        <w:rPr>
          <w:rFonts w:ascii="Arial" w:hAnsi="Arial"/>
          <w:sz w:val="22"/>
        </w:rPr>
        <w:t>Memor</w:t>
      </w:r>
      <w:r w:rsidRPr="00A1550F">
        <w:rPr>
          <w:rFonts w:ascii="Arial" w:hAnsi="Arial"/>
          <w:sz w:val="22"/>
        </w:rPr>
        <w:t xml:space="preserve"> II+ driver assistance system to the unified ETCS control-command system throughout the national rail network.</w:t>
      </w:r>
    </w:p>
    <w:p w:rsidR="00E65DDD" w:rsidRPr="00A1550F" w:rsidP="00E65DDD">
      <w:pPr>
        <w:pStyle w:val="ListNumber"/>
        <w:numPr>
          <w:ilvl w:val="0"/>
          <w:numId w:val="0"/>
        </w:numPr>
        <w:tabs>
          <w:tab w:val="left" w:pos="720"/>
        </w:tabs>
        <w:ind w:left="142"/>
        <w:rPr>
          <w:rFonts w:ascii="Arial" w:hAnsi="Arial" w:cs="Arial"/>
          <w:sz w:val="22"/>
          <w:szCs w:val="22"/>
        </w:rPr>
      </w:pPr>
    </w:p>
    <w:p w:rsidR="00E65DDD" w:rsidRPr="00A1550F" w:rsidP="00E65DDD">
      <w:pPr>
        <w:pStyle w:val="ListNumber"/>
        <w:numPr>
          <w:ilvl w:val="0"/>
          <w:numId w:val="24"/>
        </w:numPr>
        <w:tabs>
          <w:tab w:val="left" w:pos="720"/>
        </w:tabs>
        <w:jc w:val="both"/>
        <w:rPr>
          <w:rFonts w:ascii="Arial" w:hAnsi="Arial" w:cs="Arial"/>
          <w:sz w:val="22"/>
          <w:szCs w:val="22"/>
        </w:rPr>
      </w:pPr>
      <w:r w:rsidRPr="00A1550F">
        <w:rPr>
          <w:rFonts w:ascii="Arial" w:hAnsi="Arial"/>
          <w:b/>
          <w:sz w:val="22"/>
        </w:rPr>
        <w:t>Recommendation LU-CF-2017-003:</w:t>
      </w:r>
      <w:r w:rsidRPr="00A1550F">
        <w:rPr>
          <w:rFonts w:ascii="Arial" w:hAnsi="Arial"/>
          <w:sz w:val="22"/>
        </w:rPr>
        <w:t xml:space="preserve"> </w:t>
      </w:r>
      <w:r w:rsidRPr="00A1550F" w:rsidR="0004133D">
        <w:rPr>
          <w:rFonts w:ascii="Arial" w:hAnsi="Arial"/>
          <w:sz w:val="22"/>
        </w:rPr>
        <w:t>make drivers aware that they must</w:t>
      </w:r>
      <w:r w:rsidRPr="00A1550F">
        <w:rPr>
          <w:rFonts w:ascii="Arial" w:hAnsi="Arial"/>
          <w:sz w:val="22"/>
        </w:rPr>
        <w:t xml:space="preserve"> systematically communicate any irregularities and any damage observed in the railway infrastructure to the infrastructure manager as soon as possible and using the first available means.</w:t>
      </w:r>
    </w:p>
    <w:p w:rsidR="00E65DDD" w:rsidRPr="00A1550F" w:rsidP="00E65DDD">
      <w:pPr>
        <w:pStyle w:val="ListNumber"/>
        <w:numPr>
          <w:ilvl w:val="0"/>
          <w:numId w:val="0"/>
        </w:numPr>
        <w:tabs>
          <w:tab w:val="left" w:pos="720"/>
        </w:tabs>
        <w:ind w:left="142"/>
        <w:rPr>
          <w:rFonts w:ascii="Arial" w:hAnsi="Arial" w:cs="Arial"/>
          <w:sz w:val="22"/>
          <w:szCs w:val="22"/>
        </w:rPr>
      </w:pPr>
    </w:p>
    <w:p w:rsidR="00E65DDD" w:rsidRPr="00A1550F" w:rsidP="00E65DDD">
      <w:pPr>
        <w:pStyle w:val="ListNumber"/>
        <w:numPr>
          <w:ilvl w:val="0"/>
          <w:numId w:val="24"/>
        </w:numPr>
        <w:tabs>
          <w:tab w:val="left" w:pos="720"/>
        </w:tabs>
        <w:jc w:val="both"/>
        <w:rPr>
          <w:rFonts w:ascii="Arial" w:hAnsi="Arial" w:cs="Arial"/>
          <w:sz w:val="22"/>
          <w:szCs w:val="22"/>
        </w:rPr>
      </w:pPr>
      <w:r w:rsidRPr="00A1550F">
        <w:rPr>
          <w:rFonts w:ascii="Arial" w:hAnsi="Arial"/>
          <w:b/>
          <w:sz w:val="22"/>
        </w:rPr>
        <w:t>Recommendation LU-CF-2017-004:</w:t>
      </w:r>
      <w:r w:rsidRPr="00A1550F">
        <w:rPr>
          <w:rFonts w:ascii="Arial" w:hAnsi="Arial"/>
          <w:sz w:val="22"/>
        </w:rPr>
        <w:t xml:space="preserve"> ensure that railway infrastructure users carry out systematic analysis of the driving data recorded in order to detect any anomalies.</w:t>
      </w:r>
    </w:p>
    <w:p w:rsidR="00E65DDD" w:rsidRPr="00A1550F" w:rsidP="00E65DDD">
      <w:pPr>
        <w:pStyle w:val="ListNumber"/>
        <w:numPr>
          <w:ilvl w:val="0"/>
          <w:numId w:val="0"/>
        </w:numPr>
        <w:tabs>
          <w:tab w:val="left" w:pos="720"/>
        </w:tabs>
        <w:rPr>
          <w:rFonts w:ascii="Arial" w:hAnsi="Arial" w:cs="Arial"/>
          <w:sz w:val="22"/>
          <w:szCs w:val="22"/>
        </w:rPr>
      </w:pPr>
    </w:p>
    <w:p w:rsidR="00E65DDD" w:rsidRPr="00A1550F" w:rsidP="00E65DDD">
      <w:pPr>
        <w:pStyle w:val="ListNumber"/>
        <w:numPr>
          <w:ilvl w:val="0"/>
          <w:numId w:val="0"/>
        </w:numPr>
        <w:tabs>
          <w:tab w:val="left" w:pos="720"/>
        </w:tabs>
        <w:rPr>
          <w:rFonts w:ascii="Arial" w:hAnsi="Arial" w:cs="Arial"/>
          <w:sz w:val="22"/>
          <w:szCs w:val="22"/>
        </w:rPr>
      </w:pPr>
      <w:r w:rsidRPr="00A1550F">
        <w:rPr>
          <w:rFonts w:ascii="Arial" w:hAnsi="Arial"/>
          <w:sz w:val="22"/>
        </w:rPr>
        <w:t>The progress report was published on the AET’s website (</w:t>
      </w:r>
      <w:hyperlink r:id="rId8" w:history="1">
        <w:r w:rsidRPr="00A1550F">
          <w:rPr>
            <w:rStyle w:val="Hyperlink"/>
            <w:rFonts w:ascii="Arial" w:hAnsi="Arial"/>
            <w:sz w:val="22"/>
          </w:rPr>
          <w:t>http://aet.gouvernement.lu/</w:t>
        </w:r>
      </w:hyperlink>
      <w:r w:rsidRPr="00A1550F">
        <w:rPr>
          <w:rStyle w:val="Hyperlink"/>
          <w:rFonts w:ascii="Arial" w:hAnsi="Arial"/>
          <w:sz w:val="22"/>
        </w:rPr>
        <w:t>)</w:t>
      </w:r>
      <w:r w:rsidRPr="00A1550F">
        <w:rPr>
          <w:rFonts w:ascii="Arial" w:hAnsi="Arial"/>
          <w:sz w:val="22"/>
        </w:rPr>
        <w:t xml:space="preserve"> on 19 February 2018.</w:t>
      </w:r>
    </w:p>
    <w:p w:rsidR="00E65DDD" w:rsidRPr="00A1550F" w:rsidP="00E65DDD">
      <w:pPr>
        <w:pStyle w:val="ListNumber"/>
        <w:numPr>
          <w:ilvl w:val="0"/>
          <w:numId w:val="0"/>
        </w:numPr>
        <w:tabs>
          <w:tab w:val="left" w:pos="720"/>
        </w:tabs>
        <w:rPr>
          <w:rFonts w:ascii="Arial" w:hAnsi="Arial" w:cs="Arial"/>
          <w:sz w:val="22"/>
          <w:szCs w:val="22"/>
        </w:rPr>
      </w:pPr>
    </w:p>
    <w:p w:rsidR="00E65DDD" w:rsidRPr="00A1550F" w:rsidP="00E65DDD">
      <w:pPr>
        <w:jc w:val="both"/>
        <w:rPr>
          <w:rFonts w:ascii="Arial" w:hAnsi="Arial" w:cs="Arial"/>
          <w:sz w:val="22"/>
          <w:szCs w:val="22"/>
        </w:rPr>
      </w:pPr>
      <w:r w:rsidRPr="00A1550F">
        <w:rPr>
          <w:rFonts w:ascii="Arial" w:hAnsi="Arial"/>
        </w:rPr>
        <w:t>The following table summarises the events on the Luxembourg network that were notified to the AET in 2017:</w:t>
      </w:r>
    </w:p>
    <w:p w:rsidR="00E65DDD" w:rsidRPr="00A1550F" w:rsidP="00E65DDD">
      <w:pPr>
        <w:jc w:val="both"/>
        <w:rPr>
          <w:rFonts w:ascii="Arial" w:hAnsi="Arial" w:cs="Arial"/>
        </w:rPr>
      </w:pPr>
    </w:p>
    <w:tbl>
      <w:tblPr>
        <w:tblW w:w="4410" w:type="dxa"/>
        <w:tblInd w:w="55" w:type="dxa"/>
        <w:tblCellMar>
          <w:left w:w="70" w:type="dxa"/>
          <w:right w:w="70" w:type="dxa"/>
        </w:tblCellMar>
        <w:tblLook w:val="04A0"/>
      </w:tblPr>
      <w:tblGrid>
        <w:gridCol w:w="634"/>
        <w:gridCol w:w="2612"/>
        <w:gridCol w:w="1193"/>
      </w:tblGrid>
      <w:tr w:rsidTr="00E65DDD">
        <w:tblPrEx>
          <w:tblW w:w="4410" w:type="dxa"/>
          <w:tblInd w:w="55" w:type="dxa"/>
          <w:tblCellMar>
            <w:left w:w="70" w:type="dxa"/>
            <w:right w:w="70" w:type="dxa"/>
          </w:tblCellMar>
          <w:tblLook w:val="04A0"/>
        </w:tblPrEx>
        <w:trPr>
          <w:trHeight w:val="300"/>
        </w:trPr>
        <w:tc>
          <w:tcPr>
            <w:tcW w:w="605"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E65DDD" w:rsidRPr="00A1550F">
            <w:pPr>
              <w:jc w:val="center"/>
              <w:rPr>
                <w:rFonts w:ascii="Arial" w:hAnsi="Arial" w:cs="Arial"/>
                <w:b/>
                <w:bCs/>
                <w:color w:val="000000"/>
                <w:sz w:val="22"/>
                <w:szCs w:val="22"/>
              </w:rPr>
            </w:pPr>
            <w:r w:rsidRPr="00A1550F">
              <w:rPr>
                <w:rFonts w:ascii="Arial" w:hAnsi="Arial"/>
                <w:b/>
                <w:color w:val="000000"/>
              </w:rPr>
              <w:t>Item</w:t>
            </w:r>
          </w:p>
        </w:tc>
        <w:tc>
          <w:tcPr>
            <w:tcW w:w="2612" w:type="dxa"/>
            <w:tcBorders>
              <w:top w:val="single" w:sz="8" w:space="0" w:color="auto"/>
              <w:left w:val="nil"/>
              <w:bottom w:val="single" w:sz="4" w:space="0" w:color="auto"/>
              <w:right w:val="single" w:sz="4" w:space="0" w:color="auto"/>
            </w:tcBorders>
            <w:shd w:val="clear" w:color="auto" w:fill="BFBFBF"/>
            <w:noWrap/>
            <w:vAlign w:val="center"/>
            <w:hideMark/>
          </w:tcPr>
          <w:p w:rsidR="00E65DDD" w:rsidRPr="00A1550F">
            <w:pPr>
              <w:jc w:val="center"/>
              <w:rPr>
                <w:rFonts w:ascii="Arial" w:hAnsi="Arial" w:cs="Arial"/>
                <w:b/>
                <w:bCs/>
                <w:color w:val="000000"/>
                <w:sz w:val="22"/>
                <w:szCs w:val="22"/>
              </w:rPr>
            </w:pPr>
            <w:r w:rsidRPr="00A1550F">
              <w:rPr>
                <w:rFonts w:ascii="Arial" w:hAnsi="Arial"/>
                <w:b/>
                <w:color w:val="000000"/>
              </w:rPr>
              <w:t>Event type</w:t>
            </w:r>
          </w:p>
        </w:tc>
        <w:tc>
          <w:tcPr>
            <w:tcW w:w="1193" w:type="dxa"/>
            <w:tcBorders>
              <w:top w:val="single" w:sz="8" w:space="0" w:color="auto"/>
              <w:left w:val="nil"/>
              <w:bottom w:val="single" w:sz="4" w:space="0" w:color="auto"/>
              <w:right w:val="single" w:sz="8" w:space="0" w:color="auto"/>
            </w:tcBorders>
            <w:shd w:val="clear" w:color="auto" w:fill="BFBFBF"/>
            <w:noWrap/>
            <w:vAlign w:val="center"/>
            <w:hideMark/>
          </w:tcPr>
          <w:p w:rsidR="00E65DDD" w:rsidRPr="00A1550F">
            <w:pPr>
              <w:jc w:val="center"/>
              <w:rPr>
                <w:rFonts w:ascii="Arial" w:hAnsi="Arial" w:cs="Arial"/>
                <w:b/>
                <w:bCs/>
                <w:color w:val="000000"/>
                <w:sz w:val="22"/>
                <w:szCs w:val="22"/>
              </w:rPr>
            </w:pPr>
            <w:r w:rsidRPr="00A1550F">
              <w:rPr>
                <w:rFonts w:ascii="Arial" w:hAnsi="Arial"/>
                <w:b/>
                <w:color w:val="000000"/>
              </w:rPr>
              <w:t>Number</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1</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signal passed at danger</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21</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3</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derailment</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11</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4</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collision with obstacle</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4</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5</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suicide</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3</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6</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collision</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2</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7</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fire</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1</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8</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danger</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1</w:t>
            </w:r>
          </w:p>
        </w:tc>
      </w:tr>
      <w:tr w:rsidTr="00E65DDD">
        <w:tblPrEx>
          <w:tblW w:w="4410" w:type="dxa"/>
          <w:tblInd w:w="55" w:type="dxa"/>
          <w:tblCellMar>
            <w:left w:w="70" w:type="dxa"/>
            <w:right w:w="70" w:type="dxa"/>
          </w:tblCellMar>
          <w:tblLook w:val="04A0"/>
        </w:tblPrEx>
        <w:trPr>
          <w:trHeight w:val="300"/>
        </w:trPr>
        <w:tc>
          <w:tcPr>
            <w:tcW w:w="605" w:type="dxa"/>
            <w:tcBorders>
              <w:top w:val="nil"/>
              <w:left w:val="single" w:sz="8" w:space="0" w:color="auto"/>
              <w:bottom w:val="single" w:sz="4" w:space="0" w:color="auto"/>
              <w:right w:val="single" w:sz="4" w:space="0" w:color="auto"/>
            </w:tcBorders>
            <w:noWrap/>
            <w:vAlign w:val="center"/>
            <w:hideMark/>
          </w:tcPr>
          <w:p w:rsidR="00E65DDD" w:rsidRPr="00A1550F">
            <w:pPr>
              <w:rPr>
                <w:rFonts w:ascii="Arial" w:hAnsi="Arial" w:cs="Arial"/>
                <w:color w:val="000000"/>
                <w:sz w:val="22"/>
                <w:szCs w:val="22"/>
              </w:rPr>
            </w:pPr>
            <w:r w:rsidRPr="00A1550F">
              <w:rPr>
                <w:rFonts w:ascii="Arial" w:hAnsi="Arial"/>
                <w:color w:val="000000"/>
              </w:rPr>
              <w:t>9</w:t>
            </w:r>
          </w:p>
        </w:tc>
        <w:tc>
          <w:tcPr>
            <w:tcW w:w="2612" w:type="dxa"/>
            <w:tcBorders>
              <w:top w:val="nil"/>
              <w:left w:val="nil"/>
              <w:bottom w:val="single" w:sz="4" w:space="0" w:color="auto"/>
              <w:right w:val="single" w:sz="4" w:space="0" w:color="auto"/>
            </w:tcBorders>
            <w:vAlign w:val="center"/>
            <w:hideMark/>
          </w:tcPr>
          <w:p w:rsidR="00E65DDD" w:rsidRPr="00A1550F">
            <w:pPr>
              <w:rPr>
                <w:rFonts w:ascii="Arial" w:hAnsi="Arial" w:cs="Arial"/>
                <w:color w:val="000000"/>
                <w:sz w:val="20"/>
                <w:szCs w:val="20"/>
              </w:rPr>
            </w:pPr>
            <w:r w:rsidRPr="00A1550F">
              <w:rPr>
                <w:rFonts w:ascii="Arial" w:hAnsi="Arial"/>
                <w:color w:val="000000"/>
                <w:sz w:val="20"/>
              </w:rPr>
              <w:t>head-on collision of 2 trains</w:t>
            </w:r>
          </w:p>
        </w:tc>
        <w:tc>
          <w:tcPr>
            <w:tcW w:w="1193" w:type="dxa"/>
            <w:tcBorders>
              <w:top w:val="nil"/>
              <w:left w:val="nil"/>
              <w:bottom w:val="single" w:sz="4" w:space="0" w:color="auto"/>
              <w:right w:val="single" w:sz="8" w:space="0" w:color="auto"/>
            </w:tcBorders>
            <w:noWrap/>
            <w:vAlign w:val="center"/>
            <w:hideMark/>
          </w:tcPr>
          <w:p w:rsidR="00E65DDD" w:rsidRPr="00A1550F">
            <w:pPr>
              <w:jc w:val="center"/>
              <w:rPr>
                <w:rFonts w:ascii="Arial" w:hAnsi="Arial" w:cs="Arial"/>
                <w:color w:val="000000"/>
                <w:sz w:val="22"/>
                <w:szCs w:val="22"/>
              </w:rPr>
            </w:pPr>
            <w:r w:rsidRPr="00A1550F">
              <w:rPr>
                <w:rFonts w:ascii="Arial" w:hAnsi="Arial"/>
                <w:color w:val="000000"/>
              </w:rPr>
              <w:t>1</w:t>
            </w:r>
          </w:p>
        </w:tc>
      </w:tr>
    </w:tbl>
    <w:p w:rsidR="00E65DDD" w:rsidRPr="00A1550F" w:rsidP="00E65DDD">
      <w:pPr>
        <w:jc w:val="both"/>
        <w:rPr>
          <w:rFonts w:ascii="Arial" w:hAnsi="Arial" w:cs="Arial"/>
          <w:sz w:val="22"/>
          <w:szCs w:val="22"/>
        </w:rPr>
      </w:pPr>
    </w:p>
    <w:p w:rsidR="00E65DDD" w:rsidRPr="00A1550F" w:rsidP="00E65DDD">
      <w:pPr>
        <w:jc w:val="both"/>
        <w:rPr>
          <w:rFonts w:ascii="Arial" w:hAnsi="Arial" w:cs="Arial"/>
        </w:rPr>
      </w:pPr>
    </w:p>
    <w:p w:rsidR="00E65DDD" w:rsidRPr="00A1550F" w:rsidP="00E65DDD">
      <w:pPr>
        <w:rPr>
          <w:rFonts w:ascii="Arial" w:hAnsi="Arial" w:cs="Arial"/>
          <w:b/>
        </w:rPr>
      </w:pPr>
      <w:r w:rsidRPr="00A1550F">
        <w:rPr>
          <w:rFonts w:ascii="Arial" w:hAnsi="Arial"/>
          <w:b/>
        </w:rPr>
        <w:t>5.1 Breakdown by type of event in %</w:t>
      </w:r>
    </w:p>
    <w:p w:rsidR="00E65DDD" w:rsidRPr="00A1550F" w:rsidP="00E65DDD">
      <w:pPr>
        <w:rPr>
          <w:rFonts w:ascii="Arial" w:hAnsi="Arial" w:cs="Arial"/>
          <w:b/>
          <w:sz w:val="18"/>
        </w:rPr>
      </w:pPr>
    </w:p>
    <w:p w:rsidR="00E65DDD" w:rsidRPr="00A1550F" w:rsidP="00E65DDD">
      <w:pPr>
        <w:jc w:val="both"/>
        <w:rPr>
          <w:rFonts w:ascii="Arial" w:hAnsi="Arial" w:cs="Arial"/>
          <w:sz w:val="22"/>
        </w:rPr>
      </w:pPr>
      <w:r w:rsidRPr="00A1550F">
        <w:rPr>
          <w:noProof/>
          <w:lang w:val="en-US" w:eastAsia="en-US" w:bidi="ar-SA"/>
        </w:rPr>
        <w:drawing>
          <wp:inline distT="0" distB="0" distL="0" distR="0">
            <wp:extent cx="4867275" cy="2581275"/>
            <wp:effectExtent l="0" t="0" r="9525" b="9525"/>
            <wp:docPr id="4" name="Chart 1"/>
            <wp:cNvGraphicFramePr/>
            <a:graphic xmlns:a="http://schemas.openxmlformats.org/drawingml/2006/main">
              <a:graphicData uri="http://schemas.openxmlformats.org/drawingml/2006/picture">
                <pic:pic xmlns:pic="http://schemas.openxmlformats.org/drawingml/2006/picture">
                  <pic:nvPicPr>
                    <pic:cNvPr id="1624485092" name="Chart 1"/>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867275" cy="2581275"/>
                    </a:xfrm>
                    <a:prstGeom prst="rect">
                      <a:avLst/>
                    </a:prstGeom>
                    <a:noFill/>
                    <a:ln>
                      <a:noFill/>
                    </a:ln>
                  </pic:spPr>
                </pic:pic>
              </a:graphicData>
            </a:graphic>
          </wp:inline>
        </w:drawing>
      </w:r>
    </w:p>
    <w:p w:rsidR="00E65DDD" w:rsidRPr="00A1550F" w:rsidP="00E65DDD">
      <w:pPr>
        <w:rPr>
          <w:rFonts w:ascii="Arial" w:hAnsi="Arial" w:cs="Arial"/>
          <w:sz w:val="20"/>
          <w:szCs w:val="20"/>
        </w:rPr>
      </w:pPr>
      <w:r w:rsidRPr="00A1550F">
        <w:rPr>
          <w:rFonts w:ascii="Arial" w:hAnsi="Arial"/>
          <w:sz w:val="20"/>
        </w:rPr>
        <w:t>(Source: Notifications received by the AET)</w:t>
      </w:r>
    </w:p>
    <w:p w:rsidR="00E65DDD" w:rsidRPr="00A1550F" w:rsidP="00E65DDD">
      <w:pPr>
        <w:rPr>
          <w:rFonts w:ascii="Arial" w:hAnsi="Arial" w:cs="Arial"/>
          <w:b/>
          <w:sz w:val="22"/>
          <w:szCs w:val="22"/>
        </w:rPr>
      </w:pPr>
    </w:p>
    <w:tbl>
      <w:tblPr>
        <w:tblStyle w:val="TableGrid"/>
        <w:tblW w:w="9514" w:type="dxa"/>
        <w:tblLook w:val="04A0"/>
      </w:tblPr>
      <w:tblGrid>
        <w:gridCol w:w="4757"/>
        <w:gridCol w:w="4757"/>
      </w:tblGrid>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Dépassement</w:t>
            </w:r>
            <w:r w:rsidRPr="00A1550F">
              <w:rPr>
                <w:rFonts w:ascii="Arial" w:hAnsi="Arial"/>
                <w:sz w:val="16"/>
              </w:rPr>
              <w:t xml:space="preserve"> signal </w:t>
            </w:r>
            <w:r w:rsidRPr="00A1550F">
              <w:rPr>
                <w:rFonts w:ascii="Arial" w:hAnsi="Arial"/>
                <w:sz w:val="16"/>
              </w:rPr>
              <w:t>fermé</w:t>
            </w:r>
          </w:p>
        </w:tc>
        <w:tc>
          <w:tcPr>
            <w:tcW w:w="4757" w:type="dxa"/>
          </w:tcPr>
          <w:p w:rsidR="00A54A19" w:rsidRPr="00A1550F" w:rsidP="00A54A19">
            <w:pPr>
              <w:rPr>
                <w:rFonts w:ascii="Arial" w:hAnsi="Arial" w:cs="Arial"/>
                <w:sz w:val="16"/>
                <w:szCs w:val="16"/>
              </w:rPr>
            </w:pPr>
            <w:r w:rsidRPr="00A1550F">
              <w:rPr>
                <w:rFonts w:ascii="Arial" w:hAnsi="Arial"/>
                <w:sz w:val="16"/>
              </w:rPr>
              <w:t>Signal passed at danger</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Déraillement</w:t>
            </w:r>
          </w:p>
        </w:tc>
        <w:tc>
          <w:tcPr>
            <w:tcW w:w="4757" w:type="dxa"/>
          </w:tcPr>
          <w:p w:rsidR="00A54A19" w:rsidRPr="00A1550F" w:rsidP="00A54A19">
            <w:pPr>
              <w:rPr>
                <w:rFonts w:ascii="Arial" w:hAnsi="Arial" w:cs="Arial"/>
                <w:sz w:val="16"/>
                <w:szCs w:val="16"/>
              </w:rPr>
            </w:pPr>
            <w:r w:rsidRPr="00A1550F">
              <w:rPr>
                <w:rFonts w:ascii="Arial" w:hAnsi="Arial"/>
                <w:sz w:val="16"/>
              </w:rPr>
              <w:t>Derailment</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Collision avec obstacle</w:t>
            </w:r>
          </w:p>
        </w:tc>
        <w:tc>
          <w:tcPr>
            <w:tcW w:w="4757" w:type="dxa"/>
          </w:tcPr>
          <w:p w:rsidR="00A54A19" w:rsidRPr="00A1550F" w:rsidP="00A54A19">
            <w:pPr>
              <w:rPr>
                <w:rFonts w:ascii="Arial" w:hAnsi="Arial" w:cs="Arial"/>
                <w:sz w:val="16"/>
                <w:szCs w:val="16"/>
              </w:rPr>
            </w:pPr>
            <w:r w:rsidRPr="00A1550F">
              <w:rPr>
                <w:rFonts w:ascii="Arial" w:hAnsi="Arial"/>
                <w:sz w:val="16"/>
              </w:rPr>
              <w:t>Collision with obstacle</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Suicide</w:t>
            </w:r>
          </w:p>
        </w:tc>
        <w:tc>
          <w:tcPr>
            <w:tcW w:w="4757" w:type="dxa"/>
          </w:tcPr>
          <w:p w:rsidR="00A54A19" w:rsidRPr="00A1550F" w:rsidP="00A54A19">
            <w:pPr>
              <w:rPr>
                <w:rFonts w:ascii="Arial" w:hAnsi="Arial" w:cs="Arial"/>
                <w:sz w:val="16"/>
                <w:szCs w:val="16"/>
              </w:rPr>
            </w:pPr>
            <w:r w:rsidRPr="00A1550F">
              <w:rPr>
                <w:rFonts w:ascii="Arial" w:hAnsi="Arial"/>
                <w:sz w:val="16"/>
              </w:rPr>
              <w:t>Suicide</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Tamponnement</w:t>
            </w:r>
          </w:p>
        </w:tc>
        <w:tc>
          <w:tcPr>
            <w:tcW w:w="4757" w:type="dxa"/>
          </w:tcPr>
          <w:p w:rsidR="00A54A19" w:rsidRPr="00A1550F" w:rsidP="00A54A19">
            <w:pPr>
              <w:rPr>
                <w:rFonts w:ascii="Arial" w:hAnsi="Arial" w:cs="Arial"/>
                <w:sz w:val="16"/>
                <w:szCs w:val="16"/>
              </w:rPr>
            </w:pPr>
            <w:r w:rsidRPr="00A1550F">
              <w:rPr>
                <w:rFonts w:ascii="Arial" w:hAnsi="Arial"/>
                <w:sz w:val="16"/>
              </w:rPr>
              <w:t>Collision</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Incendie</w:t>
            </w:r>
          </w:p>
        </w:tc>
        <w:tc>
          <w:tcPr>
            <w:tcW w:w="4757" w:type="dxa"/>
          </w:tcPr>
          <w:p w:rsidR="00A54A19" w:rsidRPr="00A1550F" w:rsidP="00A54A19">
            <w:pPr>
              <w:rPr>
                <w:rFonts w:ascii="Arial" w:hAnsi="Arial" w:cs="Arial"/>
                <w:sz w:val="16"/>
                <w:szCs w:val="16"/>
              </w:rPr>
            </w:pPr>
            <w:r w:rsidRPr="00A1550F">
              <w:rPr>
                <w:rFonts w:ascii="Arial" w:hAnsi="Arial"/>
                <w:sz w:val="16"/>
              </w:rPr>
              <w:t>Fire</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Danger</w:t>
            </w:r>
          </w:p>
        </w:tc>
        <w:tc>
          <w:tcPr>
            <w:tcW w:w="4757" w:type="dxa"/>
          </w:tcPr>
          <w:p w:rsidR="00A54A19" w:rsidRPr="00A1550F" w:rsidP="00A54A19">
            <w:pPr>
              <w:rPr>
                <w:rFonts w:ascii="Arial" w:hAnsi="Arial" w:cs="Arial"/>
                <w:sz w:val="16"/>
                <w:szCs w:val="16"/>
              </w:rPr>
            </w:pPr>
            <w:r w:rsidRPr="00A1550F">
              <w:rPr>
                <w:rFonts w:ascii="Arial" w:hAnsi="Arial"/>
                <w:sz w:val="16"/>
              </w:rPr>
              <w:t>Danger</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 xml:space="preserve">Collision </w:t>
            </w:r>
            <w:r w:rsidRPr="00A1550F">
              <w:rPr>
                <w:rFonts w:ascii="Arial" w:hAnsi="Arial"/>
                <w:sz w:val="16"/>
              </w:rPr>
              <w:t>frontale</w:t>
            </w:r>
            <w:r w:rsidRPr="00A1550F">
              <w:rPr>
                <w:rFonts w:ascii="Arial" w:hAnsi="Arial"/>
                <w:sz w:val="16"/>
              </w:rPr>
              <w:t xml:space="preserve"> de 2 trains</w:t>
            </w:r>
          </w:p>
        </w:tc>
        <w:tc>
          <w:tcPr>
            <w:tcW w:w="4757" w:type="dxa"/>
          </w:tcPr>
          <w:p w:rsidR="00A54A19" w:rsidRPr="00A1550F" w:rsidP="00A54A19">
            <w:pPr>
              <w:rPr>
                <w:rFonts w:ascii="Arial" w:hAnsi="Arial" w:cs="Arial"/>
                <w:sz w:val="16"/>
                <w:szCs w:val="16"/>
              </w:rPr>
            </w:pPr>
            <w:r w:rsidRPr="00A1550F">
              <w:rPr>
                <w:rFonts w:ascii="Arial" w:hAnsi="Arial"/>
                <w:sz w:val="16"/>
              </w:rPr>
              <w:t>Head-on collision of 2 trains</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47,73</w:t>
            </w:r>
          </w:p>
        </w:tc>
        <w:tc>
          <w:tcPr>
            <w:tcW w:w="4757" w:type="dxa"/>
          </w:tcPr>
          <w:p w:rsidR="00A54A19" w:rsidRPr="00A1550F" w:rsidP="00A54A19">
            <w:pPr>
              <w:rPr>
                <w:rFonts w:ascii="Arial" w:hAnsi="Arial" w:cs="Arial"/>
                <w:sz w:val="16"/>
                <w:szCs w:val="16"/>
              </w:rPr>
            </w:pPr>
            <w:r w:rsidRPr="00A1550F">
              <w:rPr>
                <w:rFonts w:ascii="Arial" w:hAnsi="Arial"/>
                <w:sz w:val="16"/>
              </w:rPr>
              <w:t>47.73%</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25,00</w:t>
            </w:r>
          </w:p>
        </w:tc>
        <w:tc>
          <w:tcPr>
            <w:tcW w:w="4757" w:type="dxa"/>
          </w:tcPr>
          <w:p w:rsidR="00A54A19" w:rsidRPr="00A1550F" w:rsidP="00A54A19">
            <w:pPr>
              <w:rPr>
                <w:rFonts w:ascii="Arial" w:hAnsi="Arial" w:cs="Arial"/>
                <w:sz w:val="16"/>
                <w:szCs w:val="16"/>
              </w:rPr>
            </w:pPr>
            <w:r w:rsidRPr="00A1550F">
              <w:rPr>
                <w:rFonts w:ascii="Arial" w:hAnsi="Arial"/>
                <w:sz w:val="16"/>
              </w:rPr>
              <w:t>25.00%</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9,09</w:t>
            </w:r>
          </w:p>
        </w:tc>
        <w:tc>
          <w:tcPr>
            <w:tcW w:w="4757" w:type="dxa"/>
          </w:tcPr>
          <w:p w:rsidR="00A54A19" w:rsidRPr="00A1550F" w:rsidP="00A54A19">
            <w:pPr>
              <w:rPr>
                <w:rFonts w:ascii="Arial" w:hAnsi="Arial" w:cs="Arial"/>
                <w:sz w:val="16"/>
                <w:szCs w:val="16"/>
              </w:rPr>
            </w:pPr>
            <w:r w:rsidRPr="00A1550F">
              <w:rPr>
                <w:rFonts w:ascii="Arial" w:hAnsi="Arial"/>
                <w:sz w:val="16"/>
              </w:rPr>
              <w:t>9.09%</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6,82</w:t>
            </w:r>
          </w:p>
        </w:tc>
        <w:tc>
          <w:tcPr>
            <w:tcW w:w="4757" w:type="dxa"/>
          </w:tcPr>
          <w:p w:rsidR="00A54A19" w:rsidRPr="00A1550F" w:rsidP="00A54A19">
            <w:pPr>
              <w:rPr>
                <w:rFonts w:ascii="Arial" w:hAnsi="Arial" w:cs="Arial"/>
                <w:sz w:val="16"/>
                <w:szCs w:val="16"/>
              </w:rPr>
            </w:pPr>
            <w:r w:rsidRPr="00A1550F">
              <w:rPr>
                <w:rFonts w:ascii="Arial" w:hAnsi="Arial"/>
                <w:sz w:val="16"/>
              </w:rPr>
              <w:t>6.82%</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4,55</w:t>
            </w:r>
          </w:p>
        </w:tc>
        <w:tc>
          <w:tcPr>
            <w:tcW w:w="4757" w:type="dxa"/>
          </w:tcPr>
          <w:p w:rsidR="00A54A19" w:rsidRPr="00A1550F" w:rsidP="00A54A19">
            <w:pPr>
              <w:rPr>
                <w:rFonts w:ascii="Arial" w:hAnsi="Arial" w:cs="Arial"/>
                <w:sz w:val="16"/>
                <w:szCs w:val="16"/>
              </w:rPr>
            </w:pPr>
            <w:r w:rsidRPr="00A1550F">
              <w:rPr>
                <w:rFonts w:ascii="Arial" w:hAnsi="Arial"/>
                <w:sz w:val="16"/>
              </w:rPr>
              <w:t>4.55%</w:t>
            </w:r>
          </w:p>
        </w:tc>
      </w:tr>
      <w:tr w:rsidTr="00A54A19">
        <w:tblPrEx>
          <w:tblW w:w="9514" w:type="dxa"/>
          <w:tblLook w:val="04A0"/>
        </w:tblPrEx>
        <w:tc>
          <w:tcPr>
            <w:tcW w:w="4757" w:type="dxa"/>
          </w:tcPr>
          <w:p w:rsidR="00A54A19" w:rsidRPr="00A1550F" w:rsidP="00A54A19">
            <w:pPr>
              <w:rPr>
                <w:rFonts w:ascii="Arial" w:hAnsi="Arial" w:cs="Arial"/>
                <w:sz w:val="16"/>
                <w:szCs w:val="16"/>
              </w:rPr>
            </w:pPr>
            <w:r w:rsidRPr="00A1550F">
              <w:rPr>
                <w:rFonts w:ascii="Arial" w:hAnsi="Arial"/>
                <w:sz w:val="16"/>
              </w:rPr>
              <w:t>2,27</w:t>
            </w:r>
          </w:p>
        </w:tc>
        <w:tc>
          <w:tcPr>
            <w:tcW w:w="4757" w:type="dxa"/>
          </w:tcPr>
          <w:p w:rsidR="00A54A19" w:rsidRPr="00A1550F" w:rsidP="00A54A19">
            <w:pPr>
              <w:rPr>
                <w:rFonts w:ascii="Arial" w:hAnsi="Arial" w:cs="Arial"/>
                <w:sz w:val="16"/>
                <w:szCs w:val="16"/>
              </w:rPr>
            </w:pPr>
            <w:r w:rsidRPr="00A1550F">
              <w:rPr>
                <w:rFonts w:ascii="Arial" w:hAnsi="Arial"/>
                <w:sz w:val="16"/>
              </w:rPr>
              <w:t>2.27%</w:t>
            </w:r>
          </w:p>
        </w:tc>
      </w:tr>
    </w:tbl>
    <w:p w:rsidR="004A4102" w:rsidRPr="00A1550F" w:rsidP="00E65DDD">
      <w:pPr>
        <w:rPr>
          <w:rFonts w:ascii="Arial" w:hAnsi="Arial" w:cs="Arial"/>
          <w:b/>
        </w:rPr>
      </w:pPr>
    </w:p>
    <w:p w:rsidR="004A4102" w:rsidRPr="00A1550F" w:rsidP="00E65DDD">
      <w:pPr>
        <w:rPr>
          <w:rFonts w:ascii="Arial" w:hAnsi="Arial" w:cs="Arial"/>
          <w:b/>
        </w:rPr>
      </w:pPr>
    </w:p>
    <w:p w:rsidR="004A4102" w:rsidRPr="00A1550F" w:rsidP="00E65DDD">
      <w:pPr>
        <w:rPr>
          <w:rFonts w:ascii="Arial" w:hAnsi="Arial" w:cs="Arial"/>
          <w:b/>
        </w:rPr>
      </w:pPr>
    </w:p>
    <w:p w:rsidR="00E65DDD" w:rsidRPr="00A1550F" w:rsidP="00E65DDD">
      <w:pPr>
        <w:rPr>
          <w:rFonts w:ascii="Arial" w:hAnsi="Arial" w:cs="Arial"/>
          <w:b/>
        </w:rPr>
      </w:pPr>
      <w:r w:rsidRPr="00A1550F">
        <w:rPr>
          <w:rFonts w:ascii="Arial" w:hAnsi="Arial"/>
          <w:b/>
        </w:rPr>
        <w:t>6. Tramways</w:t>
      </w:r>
    </w:p>
    <w:p w:rsidR="00E65DDD" w:rsidRPr="00A1550F" w:rsidP="00E65DDD">
      <w:pPr>
        <w:rPr>
          <w:rFonts w:ascii="Arial" w:hAnsi="Arial" w:cs="Arial"/>
        </w:rPr>
      </w:pPr>
    </w:p>
    <w:p w:rsidR="00E65DDD" w:rsidRPr="00A1550F" w:rsidP="00E65DDD">
      <w:pPr>
        <w:jc w:val="both"/>
        <w:rPr>
          <w:rFonts w:ascii="Arial" w:hAnsi="Arial" w:cs="Arial"/>
        </w:rPr>
      </w:pPr>
      <w:r w:rsidRPr="00A1550F">
        <w:rPr>
          <w:rFonts w:ascii="Arial" w:hAnsi="Arial"/>
        </w:rPr>
        <w:t>Since 10 December 2017, trams have been running in Luxembourg City between the ‘</w:t>
      </w:r>
      <w:r w:rsidRPr="00A1550F">
        <w:rPr>
          <w:rFonts w:ascii="Arial" w:hAnsi="Arial"/>
        </w:rPr>
        <w:t>Luxexpo</w:t>
      </w:r>
      <w:r w:rsidRPr="00A1550F">
        <w:rPr>
          <w:rFonts w:ascii="Arial" w:hAnsi="Arial"/>
        </w:rPr>
        <w:t>’ and ‘Pont Rouge’ stops. The AET is responsible for analysing any safety events and opening a safety investigation where appropriate.</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The criteria for opening an investigation are similar to those for railways.</w:t>
      </w:r>
    </w:p>
    <w:p w:rsidR="00E65DDD" w:rsidRPr="00A1550F" w:rsidP="00E65DDD">
      <w:pPr>
        <w:jc w:val="both"/>
        <w:rPr>
          <w:rFonts w:ascii="Arial" w:hAnsi="Arial" w:cs="Arial"/>
        </w:rPr>
      </w:pPr>
    </w:p>
    <w:p w:rsidR="00E65DDD" w:rsidRPr="00A1550F" w:rsidP="00E65DDD">
      <w:pPr>
        <w:jc w:val="both"/>
        <w:rPr>
          <w:rFonts w:ascii="Arial" w:hAnsi="Arial" w:cs="Arial"/>
        </w:rPr>
      </w:pPr>
      <w:r w:rsidRPr="00A1550F">
        <w:rPr>
          <w:rFonts w:ascii="Arial" w:hAnsi="Arial"/>
        </w:rPr>
        <w:t xml:space="preserve">In 2017, two minor safety events were notified to the AET by the operating company </w:t>
      </w:r>
      <w:r w:rsidRPr="00A1550F">
        <w:rPr>
          <w:rFonts w:ascii="Arial" w:hAnsi="Arial"/>
        </w:rPr>
        <w:t>Luxtram</w:t>
      </w:r>
      <w:r w:rsidRPr="00A1550F">
        <w:rPr>
          <w:rFonts w:ascii="Arial" w:hAnsi="Arial"/>
        </w:rPr>
        <w:t>.</w:t>
      </w:r>
    </w:p>
    <w:p w:rsidR="00E65DDD" w:rsidRPr="00A1550F" w:rsidP="00E65DDD">
      <w:pPr>
        <w:rPr>
          <w:rFonts w:ascii="Arial" w:hAnsi="Arial" w:cs="Arial"/>
          <w:b/>
        </w:rPr>
      </w:pPr>
    </w:p>
    <w:p w:rsidR="00E65DDD" w:rsidRPr="00A1550F" w:rsidP="009636B9">
      <w:pPr>
        <w:jc w:val="both"/>
        <w:rPr>
          <w:rFonts w:ascii="Arial" w:hAnsi="Arial" w:cs="Arial"/>
          <w:sz w:val="22"/>
          <w:szCs w:val="22"/>
        </w:rPr>
      </w:pPr>
    </w:p>
    <w:sectPr w:rsidSect="001F5278">
      <w:headerReference w:type="default" r:id="rId10"/>
      <w:footerReference w:type="default" r:id="rId11"/>
      <w:headerReference w:type="first" r:id="rId12"/>
      <w:footerReference w:type="first" r:id="rId13"/>
      <w:pgSz w:w="11907" w:h="16840" w:code="9"/>
      <w:pgMar w:top="1438" w:right="1107" w:bottom="1440" w:left="1276" w:header="709" w:footer="75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4707" w:rsidRPr="00A1550F">
    <w:pPr>
      <w:pStyle w:val="Footer"/>
      <w:jc w:val="right"/>
      <w:rPr>
        <w:rFonts w:ascii="Arial" w:hAnsi="Arial" w:cs="Arial"/>
        <w:sz w:val="20"/>
        <w:szCs w:val="20"/>
      </w:rPr>
    </w:pPr>
    <w:r w:rsidRPr="00A1550F">
      <w:rPr>
        <w:rFonts w:ascii="Arial" w:hAnsi="Arial" w:cs="Arial"/>
        <w:bCs/>
        <w:sz w:val="20"/>
        <w:szCs w:val="20"/>
      </w:rPr>
      <w:fldChar w:fldCharType="begin"/>
    </w:r>
    <w:r w:rsidRPr="00A1550F">
      <w:rPr>
        <w:rFonts w:ascii="Arial" w:hAnsi="Arial" w:cs="Arial"/>
        <w:bCs/>
        <w:sz w:val="20"/>
        <w:szCs w:val="20"/>
      </w:rPr>
      <w:instrText xml:space="preserve"> PAGE </w:instrText>
    </w:r>
    <w:r w:rsidRPr="00A1550F">
      <w:rPr>
        <w:rFonts w:ascii="Arial" w:hAnsi="Arial" w:cs="Arial"/>
        <w:bCs/>
        <w:sz w:val="20"/>
        <w:szCs w:val="20"/>
      </w:rPr>
      <w:fldChar w:fldCharType="separate"/>
    </w:r>
    <w:r w:rsidR="00A1550F">
      <w:rPr>
        <w:rFonts w:ascii="Arial" w:hAnsi="Arial" w:cs="Arial"/>
        <w:bCs/>
        <w:noProof/>
        <w:sz w:val="20"/>
        <w:szCs w:val="20"/>
      </w:rPr>
      <w:t>8</w:t>
    </w:r>
    <w:r w:rsidRPr="00A1550F">
      <w:rPr>
        <w:rFonts w:ascii="Arial" w:hAnsi="Arial" w:cs="Arial"/>
        <w:bCs/>
        <w:sz w:val="20"/>
        <w:szCs w:val="20"/>
      </w:rPr>
      <w:fldChar w:fldCharType="end"/>
    </w:r>
    <w:r w:rsidRPr="00A1550F">
      <w:rPr>
        <w:rFonts w:ascii="Arial" w:hAnsi="Arial"/>
        <w:sz w:val="20"/>
      </w:rPr>
      <w:t>/</w:t>
    </w:r>
    <w:r w:rsidRPr="00A1550F">
      <w:rPr>
        <w:rFonts w:ascii="Arial" w:hAnsi="Arial" w:cs="Arial"/>
        <w:bCs/>
        <w:sz w:val="20"/>
        <w:szCs w:val="20"/>
      </w:rPr>
      <w:fldChar w:fldCharType="begin"/>
    </w:r>
    <w:r w:rsidRPr="00A1550F">
      <w:rPr>
        <w:rFonts w:ascii="Arial" w:hAnsi="Arial" w:cs="Arial"/>
        <w:bCs/>
        <w:sz w:val="20"/>
        <w:szCs w:val="20"/>
      </w:rPr>
      <w:instrText xml:space="preserve"> NUMPAGES  </w:instrText>
    </w:r>
    <w:r w:rsidRPr="00A1550F">
      <w:rPr>
        <w:rFonts w:ascii="Arial" w:hAnsi="Arial" w:cs="Arial"/>
        <w:bCs/>
        <w:sz w:val="20"/>
        <w:szCs w:val="20"/>
      </w:rPr>
      <w:fldChar w:fldCharType="separate"/>
    </w:r>
    <w:r w:rsidR="00A1550F">
      <w:rPr>
        <w:rFonts w:ascii="Arial" w:hAnsi="Arial" w:cs="Arial"/>
        <w:bCs/>
        <w:noProof/>
        <w:sz w:val="20"/>
        <w:szCs w:val="20"/>
      </w:rPr>
      <w:t>8</w:t>
    </w:r>
    <w:r w:rsidRPr="00A1550F">
      <w:rPr>
        <w:rFonts w:ascii="Arial" w:hAnsi="Arial" w:cs="Arial"/>
        <w:bCs/>
        <w:sz w:val="20"/>
        <w:szCs w:val="20"/>
      </w:rPr>
      <w:fldChar w:fldCharType="end"/>
    </w:r>
  </w:p>
  <w:p w:rsidR="00CE2B24" w:rsidRPr="00A1550F" w:rsidP="0068044E">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B24" w:rsidRPr="00A1550F" w:rsidP="00AF5A5A">
    <w:pPr>
      <w:pStyle w:val="Footer"/>
      <w:ind w:left="-180"/>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B24" w:rsidRPr="00A1550F" w:rsidP="00DE1FF8">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14"/>
    </w:tblGrid>
    <w:tr w:rsidTr="006D7C79">
      <w:tblPrEx>
        <w:tblW w:w="103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5395"/>
      </w:trPr>
      <w:tc>
        <w:tcPr>
          <w:tcW w:w="10314" w:type="dxa"/>
        </w:tcPr>
        <w:p w:rsidR="00CE2B24" w:rsidRPr="00A1550F" w:rsidP="00AF5A5A">
          <w:pPr>
            <w:pStyle w:val="Header"/>
            <w:ind w:left="360"/>
          </w:pPr>
          <w:r w:rsidRPr="00A1550F">
            <w:rPr>
              <w:noProof/>
              <w:lang w:val="en-US" w:eastAsia="en-US" w:bidi="ar-SA"/>
            </w:rPr>
            <w:drawing>
              <wp:inline distT="0" distB="0" distL="0" distR="0">
                <wp:extent cx="3429000" cy="962025"/>
                <wp:effectExtent l="0" t="0" r="0" b="9525"/>
                <wp:docPr id="2" name="Picture 2" descr="MDDI_Depart_transp-Admin_enq_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37196" name="Picture 2" descr="MDDI_Depart_transp-Admin_enq_tech"/>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0" cy="962025"/>
                        </a:xfrm>
                        <a:prstGeom prst="rect">
                          <a:avLst/>
                        </a:prstGeom>
                        <a:noFill/>
                        <a:ln>
                          <a:noFill/>
                        </a:ln>
                      </pic:spPr>
                    </pic:pic>
                  </a:graphicData>
                </a:graphic>
              </wp:inline>
            </w:drawing>
          </w: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CE2B24" w:rsidRPr="00A1550F" w:rsidP="00AF5A5A">
          <w:pPr>
            <w:pStyle w:val="Header"/>
            <w:ind w:left="360"/>
          </w:pPr>
        </w:p>
        <w:p w:rsidR="00A511FE" w:rsidRPr="00A1550F" w:rsidP="00AF5A5A">
          <w:pPr>
            <w:pStyle w:val="Header"/>
            <w:ind w:left="360"/>
          </w:pPr>
        </w:p>
        <w:p w:rsidR="00A511FE" w:rsidRPr="00A1550F" w:rsidP="00A511FE"/>
        <w:p w:rsidR="00A511FE" w:rsidRPr="00A1550F" w:rsidP="00A511FE"/>
        <w:p w:rsidR="00A511FE" w:rsidRPr="00A1550F" w:rsidP="00A511FE"/>
        <w:p w:rsidR="00A511FE" w:rsidRPr="00A1550F" w:rsidP="00A511FE"/>
        <w:p w:rsidR="00A511FE" w:rsidRPr="00A1550F" w:rsidP="00A511FE"/>
        <w:p w:rsidR="00A511FE" w:rsidRPr="00A1550F" w:rsidP="00A511FE"/>
        <w:p w:rsidR="00CE2B24" w:rsidRPr="00A1550F" w:rsidP="00A511FE">
          <w:pPr>
            <w:tabs>
              <w:tab w:val="left" w:pos="5842"/>
            </w:tabs>
          </w:pPr>
        </w:p>
      </w:tc>
    </w:tr>
  </w:tbl>
  <w:p w:rsidR="00CE2B24" w:rsidRPr="00A15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A842140"/>
    <w:lvl w:ilvl="0">
      <w:start w:val="1"/>
      <w:numFmt w:val="decimal"/>
      <w:pStyle w:val="ListNumber"/>
      <w:lvlText w:val="%1."/>
      <w:lvlJc w:val="left"/>
      <w:pPr>
        <w:tabs>
          <w:tab w:val="num" w:pos="360"/>
        </w:tabs>
        <w:ind w:left="360" w:hanging="360"/>
      </w:pPr>
    </w:lvl>
  </w:abstractNum>
  <w:abstractNum w:abstractNumId="1">
    <w:nsid w:val="00B24D3E"/>
    <w:multiLevelType w:val="hybridMultilevel"/>
    <w:tmpl w:val="2CEA81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761574"/>
    <w:multiLevelType w:val="multilevel"/>
    <w:tmpl w:val="11BA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573BD"/>
    <w:multiLevelType w:val="hybridMultilevel"/>
    <w:tmpl w:val="582ACF7E"/>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0BF2505"/>
    <w:multiLevelType w:val="hybridMultilevel"/>
    <w:tmpl w:val="D0F4A7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8B33171"/>
    <w:multiLevelType w:val="hybridMultilevel"/>
    <w:tmpl w:val="8E4C6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171EF7"/>
    <w:multiLevelType w:val="hybridMultilevel"/>
    <w:tmpl w:val="64FCB65E"/>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7">
    <w:nsid w:val="20620EB8"/>
    <w:multiLevelType w:val="hybridMultilevel"/>
    <w:tmpl w:val="CBC6EB58"/>
    <w:lvl w:ilvl="0">
      <w:start w:val="1"/>
      <w:numFmt w:val="bullet"/>
      <w:lvlText w:val="»"/>
      <w:lvlJc w:val="left"/>
      <w:pPr>
        <w:tabs>
          <w:tab w:val="num" w:pos="720"/>
        </w:tabs>
        <w:ind w:left="720" w:hanging="360"/>
      </w:pPr>
      <w:rPr>
        <w:rFonts w:ascii="Calibri" w:hAnsi="Calibri" w:hint="default"/>
      </w:rPr>
    </w:lvl>
    <w:lvl w:ilvl="1" w:tentative="1">
      <w:start w:val="1"/>
      <w:numFmt w:val="bullet"/>
      <w:lvlText w:val="»"/>
      <w:lvlJc w:val="left"/>
      <w:pPr>
        <w:tabs>
          <w:tab w:val="num" w:pos="1440"/>
        </w:tabs>
        <w:ind w:left="1440" w:hanging="360"/>
      </w:pPr>
      <w:rPr>
        <w:rFonts w:ascii="Calibri" w:hAnsi="Calibri" w:hint="default"/>
      </w:rPr>
    </w:lvl>
    <w:lvl w:ilvl="2" w:tentative="1">
      <w:start w:val="1"/>
      <w:numFmt w:val="bullet"/>
      <w:lvlText w:val="»"/>
      <w:lvlJc w:val="left"/>
      <w:pPr>
        <w:tabs>
          <w:tab w:val="num" w:pos="2160"/>
        </w:tabs>
        <w:ind w:left="2160" w:hanging="360"/>
      </w:pPr>
      <w:rPr>
        <w:rFonts w:ascii="Calibri" w:hAnsi="Calibri" w:hint="default"/>
      </w:rPr>
    </w:lvl>
    <w:lvl w:ilvl="3">
      <w:start w:val="1"/>
      <w:numFmt w:val="bullet"/>
      <w:lvlText w:val="»"/>
      <w:lvlJc w:val="left"/>
      <w:pPr>
        <w:tabs>
          <w:tab w:val="num" w:pos="2880"/>
        </w:tabs>
        <w:ind w:left="2880" w:hanging="360"/>
      </w:pPr>
      <w:rPr>
        <w:rFonts w:ascii="Calibri" w:hAnsi="Calibri" w:hint="default"/>
      </w:rPr>
    </w:lvl>
    <w:lvl w:ilvl="4" w:tentative="1">
      <w:start w:val="1"/>
      <w:numFmt w:val="bullet"/>
      <w:lvlText w:val="»"/>
      <w:lvlJc w:val="left"/>
      <w:pPr>
        <w:tabs>
          <w:tab w:val="num" w:pos="3600"/>
        </w:tabs>
        <w:ind w:left="3600" w:hanging="360"/>
      </w:pPr>
      <w:rPr>
        <w:rFonts w:ascii="Calibri" w:hAnsi="Calibri" w:hint="default"/>
      </w:rPr>
    </w:lvl>
    <w:lvl w:ilvl="5" w:tentative="1">
      <w:start w:val="1"/>
      <w:numFmt w:val="bullet"/>
      <w:lvlText w:val="»"/>
      <w:lvlJc w:val="left"/>
      <w:pPr>
        <w:tabs>
          <w:tab w:val="num" w:pos="4320"/>
        </w:tabs>
        <w:ind w:left="4320" w:hanging="360"/>
      </w:pPr>
      <w:rPr>
        <w:rFonts w:ascii="Calibri" w:hAnsi="Calibri" w:hint="default"/>
      </w:rPr>
    </w:lvl>
    <w:lvl w:ilvl="6" w:tentative="1">
      <w:start w:val="1"/>
      <w:numFmt w:val="bullet"/>
      <w:lvlText w:val="»"/>
      <w:lvlJc w:val="left"/>
      <w:pPr>
        <w:tabs>
          <w:tab w:val="num" w:pos="5040"/>
        </w:tabs>
        <w:ind w:left="5040" w:hanging="360"/>
      </w:pPr>
      <w:rPr>
        <w:rFonts w:ascii="Calibri" w:hAnsi="Calibri" w:hint="default"/>
      </w:rPr>
    </w:lvl>
    <w:lvl w:ilvl="7" w:tentative="1">
      <w:start w:val="1"/>
      <w:numFmt w:val="bullet"/>
      <w:lvlText w:val="»"/>
      <w:lvlJc w:val="left"/>
      <w:pPr>
        <w:tabs>
          <w:tab w:val="num" w:pos="5760"/>
        </w:tabs>
        <w:ind w:left="5760" w:hanging="360"/>
      </w:pPr>
      <w:rPr>
        <w:rFonts w:ascii="Calibri" w:hAnsi="Calibri" w:hint="default"/>
      </w:rPr>
    </w:lvl>
    <w:lvl w:ilvl="8" w:tentative="1">
      <w:start w:val="1"/>
      <w:numFmt w:val="bullet"/>
      <w:lvlText w:val="»"/>
      <w:lvlJc w:val="left"/>
      <w:pPr>
        <w:tabs>
          <w:tab w:val="num" w:pos="6480"/>
        </w:tabs>
        <w:ind w:left="6480" w:hanging="360"/>
      </w:pPr>
      <w:rPr>
        <w:rFonts w:ascii="Calibri" w:hAnsi="Calibri" w:hint="default"/>
      </w:rPr>
    </w:lvl>
  </w:abstractNum>
  <w:abstractNum w:abstractNumId="8">
    <w:nsid w:val="2A511E04"/>
    <w:multiLevelType w:val="hybridMultilevel"/>
    <w:tmpl w:val="540E1B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DE156E"/>
    <w:multiLevelType w:val="hybridMultilevel"/>
    <w:tmpl w:val="A38A55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D620FEB"/>
    <w:multiLevelType w:val="hybridMultilevel"/>
    <w:tmpl w:val="A18E2E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C22683"/>
    <w:multiLevelType w:val="hybridMultilevel"/>
    <w:tmpl w:val="3DDEF6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57728FA"/>
    <w:multiLevelType w:val="hybridMultilevel"/>
    <w:tmpl w:val="6CA8CBA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0C5D33"/>
    <w:multiLevelType w:val="hybridMultilevel"/>
    <w:tmpl w:val="C2B2D150"/>
    <w:lvl w:ilvl="0">
      <w:start w:val="1"/>
      <w:numFmt w:val="lowerLetter"/>
      <w:lvlText w:val="%1)"/>
      <w:lvlJc w:val="left"/>
      <w:pPr>
        <w:tabs>
          <w:tab w:val="num" w:pos="720"/>
        </w:tabs>
        <w:ind w:left="720" w:hanging="360"/>
      </w:pPr>
    </w:lvl>
    <w:lvl w:ilvl="1">
      <w:start w:val="0"/>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0"/>
      <w:numFmt w:val="bullet"/>
      <w:lvlText w:val="•"/>
      <w:lvlJc w:val="left"/>
      <w:pPr>
        <w:ind w:left="3240" w:hanging="720"/>
      </w:pPr>
      <w:rPr>
        <w:rFonts w:ascii="Arial" w:eastAsia="Times New Roman" w:hAnsi="Arial" w:cs="Aria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6807C3"/>
    <w:multiLevelType w:val="hybridMultilevel"/>
    <w:tmpl w:val="EE8C26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12D698B"/>
    <w:multiLevelType w:val="hybridMultilevel"/>
    <w:tmpl w:val="66AC6D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325705B"/>
    <w:multiLevelType w:val="multilevel"/>
    <w:tmpl w:val="67AE11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7"/>
      <w:numFmt w:val="bullet"/>
      <w:lvlText w:val="-"/>
      <w:lvlJc w:val="left"/>
      <w:pPr>
        <w:tabs>
          <w:tab w:val="num" w:pos="864"/>
        </w:tabs>
        <w:ind w:left="864" w:hanging="864"/>
      </w:pPr>
      <w:rPr>
        <w:rFonts w:ascii="Arial" w:eastAsia="Times New Roman" w:hAnsi="Arial" w:cs="Aria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9E611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D3C7526"/>
    <w:multiLevelType w:val="hybridMultilevel"/>
    <w:tmpl w:val="F82411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92F55B6"/>
    <w:multiLevelType w:val="hybridMultilevel"/>
    <w:tmpl w:val="BFB40556"/>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0">
    <w:nsid w:val="79870177"/>
    <w:multiLevelType w:val="hybridMultilevel"/>
    <w:tmpl w:val="2416E772"/>
    <w:lvl w:ilvl="0">
      <w:start w:va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C1461AB"/>
    <w:multiLevelType w:val="hybridMultilevel"/>
    <w:tmpl w:val="D1786544"/>
    <w:lvl w:ilvl="0">
      <w:start w:va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F6520B9"/>
    <w:multiLevelType w:val="hybridMultilevel"/>
    <w:tmpl w:val="47AC0C4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207"/>
      <w:numFmt w:val="bullet"/>
      <w:lvlText w:val="‒"/>
      <w:lvlJc w:val="left"/>
      <w:pPr>
        <w:tabs>
          <w:tab w:val="num" w:pos="2160"/>
        </w:tabs>
        <w:ind w:left="2160" w:hanging="360"/>
      </w:pPr>
      <w:rPr>
        <w:rFonts w:ascii="Calibri" w:hAnsi="Calibri"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5"/>
  </w:num>
  <w:num w:numId="3">
    <w:abstractNumId w:val="8"/>
  </w:num>
  <w:num w:numId="4">
    <w:abstractNumId w:val="11"/>
  </w:num>
  <w:num w:numId="5">
    <w:abstractNumId w:val="1"/>
  </w:num>
  <w:num w:numId="6">
    <w:abstractNumId w:val="9"/>
  </w:num>
  <w:num w:numId="7">
    <w:abstractNumId w:val="10"/>
  </w:num>
  <w:num w:numId="8">
    <w:abstractNumId w:val="14"/>
  </w:num>
  <w:num w:numId="9">
    <w:abstractNumId w:val="4"/>
  </w:num>
  <w:num w:numId="10">
    <w:abstractNumId w:val="21"/>
  </w:num>
  <w:num w:numId="11">
    <w:abstractNumId w:val="5"/>
  </w:num>
  <w:num w:numId="12">
    <w:abstractNumId w:val="18"/>
  </w:num>
  <w:num w:numId="13">
    <w:abstractNumId w:val="2"/>
  </w:num>
  <w:num w:numId="14">
    <w:abstractNumId w:val="3"/>
  </w:num>
  <w:num w:numId="15">
    <w:abstractNumId w:val="20"/>
  </w:num>
  <w:num w:numId="16">
    <w:abstractNumId w:val="16"/>
  </w:num>
  <w:num w:numId="17">
    <w:abstractNumId w:val="12"/>
  </w:num>
  <w:num w:numId="18">
    <w:abstractNumId w:val="22"/>
  </w:num>
  <w:num w:numId="19">
    <w:abstractNumId w:val="7"/>
  </w:num>
  <w:num w:numId="20">
    <w:abstractNumId w:val="13"/>
  </w:num>
  <w:num w:numId="21">
    <w:abstractNumId w:val="0"/>
  </w:num>
  <w:num w:numId="22">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6B"/>
    <w:rsid w:val="0000030F"/>
    <w:rsid w:val="00000855"/>
    <w:rsid w:val="00000C84"/>
    <w:rsid w:val="00000D70"/>
    <w:rsid w:val="00001277"/>
    <w:rsid w:val="00001F6B"/>
    <w:rsid w:val="000021EA"/>
    <w:rsid w:val="00002CC3"/>
    <w:rsid w:val="00002D97"/>
    <w:rsid w:val="00002EB3"/>
    <w:rsid w:val="00003746"/>
    <w:rsid w:val="0000376C"/>
    <w:rsid w:val="0000499A"/>
    <w:rsid w:val="00006030"/>
    <w:rsid w:val="000063CC"/>
    <w:rsid w:val="000067B9"/>
    <w:rsid w:val="00006F17"/>
    <w:rsid w:val="00007B6C"/>
    <w:rsid w:val="00007D5B"/>
    <w:rsid w:val="000102A9"/>
    <w:rsid w:val="00010A80"/>
    <w:rsid w:val="00010BC4"/>
    <w:rsid w:val="00011AAE"/>
    <w:rsid w:val="000130D8"/>
    <w:rsid w:val="0001319A"/>
    <w:rsid w:val="000139B9"/>
    <w:rsid w:val="00013A28"/>
    <w:rsid w:val="00013D20"/>
    <w:rsid w:val="00014261"/>
    <w:rsid w:val="00014B3E"/>
    <w:rsid w:val="00014CA8"/>
    <w:rsid w:val="00014CF0"/>
    <w:rsid w:val="00015109"/>
    <w:rsid w:val="000157FA"/>
    <w:rsid w:val="00016B8E"/>
    <w:rsid w:val="0001766C"/>
    <w:rsid w:val="00017D66"/>
    <w:rsid w:val="000204A4"/>
    <w:rsid w:val="00022338"/>
    <w:rsid w:val="000242BC"/>
    <w:rsid w:val="000269CF"/>
    <w:rsid w:val="000274C4"/>
    <w:rsid w:val="0002769C"/>
    <w:rsid w:val="000302F9"/>
    <w:rsid w:val="00030909"/>
    <w:rsid w:val="00031559"/>
    <w:rsid w:val="00031673"/>
    <w:rsid w:val="00032707"/>
    <w:rsid w:val="000328C9"/>
    <w:rsid w:val="000331B7"/>
    <w:rsid w:val="0003497B"/>
    <w:rsid w:val="0003571C"/>
    <w:rsid w:val="00035C3B"/>
    <w:rsid w:val="00035D23"/>
    <w:rsid w:val="000365C0"/>
    <w:rsid w:val="000371A7"/>
    <w:rsid w:val="00037B0B"/>
    <w:rsid w:val="00037FC7"/>
    <w:rsid w:val="0004133D"/>
    <w:rsid w:val="00041B75"/>
    <w:rsid w:val="000426F1"/>
    <w:rsid w:val="00043690"/>
    <w:rsid w:val="00044A76"/>
    <w:rsid w:val="00044C26"/>
    <w:rsid w:val="000451CE"/>
    <w:rsid w:val="00045660"/>
    <w:rsid w:val="00045EEC"/>
    <w:rsid w:val="000464F3"/>
    <w:rsid w:val="00046564"/>
    <w:rsid w:val="000467EA"/>
    <w:rsid w:val="00047CFA"/>
    <w:rsid w:val="00047E5D"/>
    <w:rsid w:val="000507AA"/>
    <w:rsid w:val="000519ED"/>
    <w:rsid w:val="00051AA2"/>
    <w:rsid w:val="00051CC9"/>
    <w:rsid w:val="00051F80"/>
    <w:rsid w:val="0005263D"/>
    <w:rsid w:val="000527FD"/>
    <w:rsid w:val="00053129"/>
    <w:rsid w:val="000540C9"/>
    <w:rsid w:val="00054500"/>
    <w:rsid w:val="00056602"/>
    <w:rsid w:val="00056999"/>
    <w:rsid w:val="00056BB5"/>
    <w:rsid w:val="0005744D"/>
    <w:rsid w:val="000577FE"/>
    <w:rsid w:val="000603E9"/>
    <w:rsid w:val="000608EF"/>
    <w:rsid w:val="000616C6"/>
    <w:rsid w:val="00061729"/>
    <w:rsid w:val="00061ECB"/>
    <w:rsid w:val="00062505"/>
    <w:rsid w:val="00062C4F"/>
    <w:rsid w:val="00063B45"/>
    <w:rsid w:val="00064634"/>
    <w:rsid w:val="00064F1A"/>
    <w:rsid w:val="000650A6"/>
    <w:rsid w:val="00065615"/>
    <w:rsid w:val="00065748"/>
    <w:rsid w:val="00065B99"/>
    <w:rsid w:val="00065D95"/>
    <w:rsid w:val="00065F32"/>
    <w:rsid w:val="000660B4"/>
    <w:rsid w:val="00066D56"/>
    <w:rsid w:val="00067267"/>
    <w:rsid w:val="0006764C"/>
    <w:rsid w:val="000678E3"/>
    <w:rsid w:val="00067B79"/>
    <w:rsid w:val="00067C1F"/>
    <w:rsid w:val="000714C0"/>
    <w:rsid w:val="0007198B"/>
    <w:rsid w:val="0007225C"/>
    <w:rsid w:val="00072425"/>
    <w:rsid w:val="00072D4A"/>
    <w:rsid w:val="000733F0"/>
    <w:rsid w:val="00073558"/>
    <w:rsid w:val="00073C73"/>
    <w:rsid w:val="000750D6"/>
    <w:rsid w:val="0007664E"/>
    <w:rsid w:val="0007683C"/>
    <w:rsid w:val="00076AA3"/>
    <w:rsid w:val="00076F21"/>
    <w:rsid w:val="000809D1"/>
    <w:rsid w:val="00080BC5"/>
    <w:rsid w:val="00080CC9"/>
    <w:rsid w:val="00080E29"/>
    <w:rsid w:val="0008161A"/>
    <w:rsid w:val="000816B5"/>
    <w:rsid w:val="00081700"/>
    <w:rsid w:val="000818D5"/>
    <w:rsid w:val="000829F5"/>
    <w:rsid w:val="00082CA8"/>
    <w:rsid w:val="0008306E"/>
    <w:rsid w:val="0008485D"/>
    <w:rsid w:val="00085966"/>
    <w:rsid w:val="00086714"/>
    <w:rsid w:val="00086FC1"/>
    <w:rsid w:val="00087318"/>
    <w:rsid w:val="00087447"/>
    <w:rsid w:val="000875B9"/>
    <w:rsid w:val="00087A4D"/>
    <w:rsid w:val="00087B68"/>
    <w:rsid w:val="0009121A"/>
    <w:rsid w:val="00097293"/>
    <w:rsid w:val="00097475"/>
    <w:rsid w:val="000A1313"/>
    <w:rsid w:val="000A153B"/>
    <w:rsid w:val="000A1F3C"/>
    <w:rsid w:val="000A26E7"/>
    <w:rsid w:val="000A2CD4"/>
    <w:rsid w:val="000A3583"/>
    <w:rsid w:val="000A4771"/>
    <w:rsid w:val="000A4ABE"/>
    <w:rsid w:val="000A5C4E"/>
    <w:rsid w:val="000A7566"/>
    <w:rsid w:val="000B10FD"/>
    <w:rsid w:val="000B1AFA"/>
    <w:rsid w:val="000B211F"/>
    <w:rsid w:val="000B44D8"/>
    <w:rsid w:val="000B44DB"/>
    <w:rsid w:val="000B475A"/>
    <w:rsid w:val="000B4E65"/>
    <w:rsid w:val="000B547D"/>
    <w:rsid w:val="000B686B"/>
    <w:rsid w:val="000B6B85"/>
    <w:rsid w:val="000C121F"/>
    <w:rsid w:val="000C16E4"/>
    <w:rsid w:val="000C2066"/>
    <w:rsid w:val="000C2631"/>
    <w:rsid w:val="000C2C90"/>
    <w:rsid w:val="000C38F9"/>
    <w:rsid w:val="000C400C"/>
    <w:rsid w:val="000C4C21"/>
    <w:rsid w:val="000C7C1A"/>
    <w:rsid w:val="000D0CB8"/>
    <w:rsid w:val="000D0F5E"/>
    <w:rsid w:val="000D29C8"/>
    <w:rsid w:val="000D3676"/>
    <w:rsid w:val="000D3B1F"/>
    <w:rsid w:val="000D3FFA"/>
    <w:rsid w:val="000D479C"/>
    <w:rsid w:val="000D4BC6"/>
    <w:rsid w:val="000D4FE9"/>
    <w:rsid w:val="000D500D"/>
    <w:rsid w:val="000D540D"/>
    <w:rsid w:val="000D62BF"/>
    <w:rsid w:val="000D642E"/>
    <w:rsid w:val="000D6536"/>
    <w:rsid w:val="000D65C3"/>
    <w:rsid w:val="000D6779"/>
    <w:rsid w:val="000D6C33"/>
    <w:rsid w:val="000D6FD7"/>
    <w:rsid w:val="000D729D"/>
    <w:rsid w:val="000D7642"/>
    <w:rsid w:val="000E11DA"/>
    <w:rsid w:val="000E1D04"/>
    <w:rsid w:val="000E2283"/>
    <w:rsid w:val="000E2809"/>
    <w:rsid w:val="000E2DEE"/>
    <w:rsid w:val="000E3C93"/>
    <w:rsid w:val="000E3D69"/>
    <w:rsid w:val="000E3E67"/>
    <w:rsid w:val="000E3E8F"/>
    <w:rsid w:val="000E4642"/>
    <w:rsid w:val="000E4A77"/>
    <w:rsid w:val="000E5897"/>
    <w:rsid w:val="000E6513"/>
    <w:rsid w:val="000E6CA8"/>
    <w:rsid w:val="000E74E4"/>
    <w:rsid w:val="000E7708"/>
    <w:rsid w:val="000E7ADD"/>
    <w:rsid w:val="000E7CF7"/>
    <w:rsid w:val="000E7FA0"/>
    <w:rsid w:val="000F1471"/>
    <w:rsid w:val="000F14CA"/>
    <w:rsid w:val="000F1932"/>
    <w:rsid w:val="000F1C94"/>
    <w:rsid w:val="000F1D6F"/>
    <w:rsid w:val="000F1E49"/>
    <w:rsid w:val="000F2529"/>
    <w:rsid w:val="000F2B44"/>
    <w:rsid w:val="000F2D76"/>
    <w:rsid w:val="000F2FED"/>
    <w:rsid w:val="000F32E8"/>
    <w:rsid w:val="000F52C0"/>
    <w:rsid w:val="000F5FF9"/>
    <w:rsid w:val="000F7A2A"/>
    <w:rsid w:val="001018F1"/>
    <w:rsid w:val="00101D37"/>
    <w:rsid w:val="0010354C"/>
    <w:rsid w:val="00103ECA"/>
    <w:rsid w:val="00105083"/>
    <w:rsid w:val="00106D8F"/>
    <w:rsid w:val="00106F83"/>
    <w:rsid w:val="00107479"/>
    <w:rsid w:val="001074C0"/>
    <w:rsid w:val="00110BDB"/>
    <w:rsid w:val="00110FA1"/>
    <w:rsid w:val="001113E3"/>
    <w:rsid w:val="001116A7"/>
    <w:rsid w:val="00111E6B"/>
    <w:rsid w:val="0011212F"/>
    <w:rsid w:val="001123C8"/>
    <w:rsid w:val="00112D7C"/>
    <w:rsid w:val="00113926"/>
    <w:rsid w:val="00113ED4"/>
    <w:rsid w:val="00114496"/>
    <w:rsid w:val="0011459B"/>
    <w:rsid w:val="00114E8A"/>
    <w:rsid w:val="00120DA8"/>
    <w:rsid w:val="0012181D"/>
    <w:rsid w:val="00122307"/>
    <w:rsid w:val="0012386A"/>
    <w:rsid w:val="00123B71"/>
    <w:rsid w:val="001240E6"/>
    <w:rsid w:val="0012757F"/>
    <w:rsid w:val="00127605"/>
    <w:rsid w:val="00130007"/>
    <w:rsid w:val="00130296"/>
    <w:rsid w:val="001308B1"/>
    <w:rsid w:val="00130D95"/>
    <w:rsid w:val="0013322B"/>
    <w:rsid w:val="001332B0"/>
    <w:rsid w:val="001333FD"/>
    <w:rsid w:val="001337DE"/>
    <w:rsid w:val="00133985"/>
    <w:rsid w:val="00133D41"/>
    <w:rsid w:val="001346DF"/>
    <w:rsid w:val="00134F97"/>
    <w:rsid w:val="0013559F"/>
    <w:rsid w:val="00135727"/>
    <w:rsid w:val="001357B8"/>
    <w:rsid w:val="00135A90"/>
    <w:rsid w:val="0013640A"/>
    <w:rsid w:val="0013649B"/>
    <w:rsid w:val="0013698B"/>
    <w:rsid w:val="00137946"/>
    <w:rsid w:val="00137CB4"/>
    <w:rsid w:val="00141020"/>
    <w:rsid w:val="00141102"/>
    <w:rsid w:val="00141990"/>
    <w:rsid w:val="00142223"/>
    <w:rsid w:val="001427F4"/>
    <w:rsid w:val="00142B91"/>
    <w:rsid w:val="00142F43"/>
    <w:rsid w:val="00142FAE"/>
    <w:rsid w:val="00144085"/>
    <w:rsid w:val="00144B24"/>
    <w:rsid w:val="00144B25"/>
    <w:rsid w:val="00144FFD"/>
    <w:rsid w:val="001453D4"/>
    <w:rsid w:val="001455EF"/>
    <w:rsid w:val="0014563F"/>
    <w:rsid w:val="00146230"/>
    <w:rsid w:val="001477E4"/>
    <w:rsid w:val="00150758"/>
    <w:rsid w:val="0015084A"/>
    <w:rsid w:val="001524F6"/>
    <w:rsid w:val="001533B2"/>
    <w:rsid w:val="0015409E"/>
    <w:rsid w:val="001546A5"/>
    <w:rsid w:val="001553CC"/>
    <w:rsid w:val="001560D3"/>
    <w:rsid w:val="001567DA"/>
    <w:rsid w:val="00157B4D"/>
    <w:rsid w:val="00160222"/>
    <w:rsid w:val="001605DE"/>
    <w:rsid w:val="0016146D"/>
    <w:rsid w:val="0016226B"/>
    <w:rsid w:val="00163080"/>
    <w:rsid w:val="001636EE"/>
    <w:rsid w:val="0016467C"/>
    <w:rsid w:val="001649E3"/>
    <w:rsid w:val="001651EB"/>
    <w:rsid w:val="00166363"/>
    <w:rsid w:val="00166C90"/>
    <w:rsid w:val="0017029D"/>
    <w:rsid w:val="00170BEE"/>
    <w:rsid w:val="00171238"/>
    <w:rsid w:val="00171DA5"/>
    <w:rsid w:val="00172F13"/>
    <w:rsid w:val="001736F4"/>
    <w:rsid w:val="001743BC"/>
    <w:rsid w:val="00174464"/>
    <w:rsid w:val="00175008"/>
    <w:rsid w:val="00175155"/>
    <w:rsid w:val="0017567B"/>
    <w:rsid w:val="00176603"/>
    <w:rsid w:val="00176780"/>
    <w:rsid w:val="0017745A"/>
    <w:rsid w:val="001777F9"/>
    <w:rsid w:val="00177915"/>
    <w:rsid w:val="0018025B"/>
    <w:rsid w:val="001806E9"/>
    <w:rsid w:val="00180B5E"/>
    <w:rsid w:val="00180D76"/>
    <w:rsid w:val="00182DAB"/>
    <w:rsid w:val="001836D1"/>
    <w:rsid w:val="001837AB"/>
    <w:rsid w:val="001838E1"/>
    <w:rsid w:val="00183A29"/>
    <w:rsid w:val="00184B84"/>
    <w:rsid w:val="00185104"/>
    <w:rsid w:val="001854BC"/>
    <w:rsid w:val="0018786E"/>
    <w:rsid w:val="00187B10"/>
    <w:rsid w:val="00187B6B"/>
    <w:rsid w:val="00187FB8"/>
    <w:rsid w:val="00190017"/>
    <w:rsid w:val="00190308"/>
    <w:rsid w:val="00190390"/>
    <w:rsid w:val="0019083A"/>
    <w:rsid w:val="001911DD"/>
    <w:rsid w:val="00191334"/>
    <w:rsid w:val="001916F3"/>
    <w:rsid w:val="00191E5C"/>
    <w:rsid w:val="00191E62"/>
    <w:rsid w:val="001936D1"/>
    <w:rsid w:val="00194177"/>
    <w:rsid w:val="00194933"/>
    <w:rsid w:val="001975B0"/>
    <w:rsid w:val="001A0089"/>
    <w:rsid w:val="001A0255"/>
    <w:rsid w:val="001A0B34"/>
    <w:rsid w:val="001A1BCF"/>
    <w:rsid w:val="001A212B"/>
    <w:rsid w:val="001A21DA"/>
    <w:rsid w:val="001A40CF"/>
    <w:rsid w:val="001A51A2"/>
    <w:rsid w:val="001A5CA0"/>
    <w:rsid w:val="001B0189"/>
    <w:rsid w:val="001B2609"/>
    <w:rsid w:val="001B2A50"/>
    <w:rsid w:val="001B2A7C"/>
    <w:rsid w:val="001B2C4A"/>
    <w:rsid w:val="001B322A"/>
    <w:rsid w:val="001B3907"/>
    <w:rsid w:val="001B3A21"/>
    <w:rsid w:val="001B3FE5"/>
    <w:rsid w:val="001B4018"/>
    <w:rsid w:val="001B4030"/>
    <w:rsid w:val="001B44AE"/>
    <w:rsid w:val="001B5451"/>
    <w:rsid w:val="001B7616"/>
    <w:rsid w:val="001C0B05"/>
    <w:rsid w:val="001C1B10"/>
    <w:rsid w:val="001C2A12"/>
    <w:rsid w:val="001C30CF"/>
    <w:rsid w:val="001C4D14"/>
    <w:rsid w:val="001C4DD7"/>
    <w:rsid w:val="001C546A"/>
    <w:rsid w:val="001C58A7"/>
    <w:rsid w:val="001C5B60"/>
    <w:rsid w:val="001C5E91"/>
    <w:rsid w:val="001C67A0"/>
    <w:rsid w:val="001C75C5"/>
    <w:rsid w:val="001D0EE7"/>
    <w:rsid w:val="001D1831"/>
    <w:rsid w:val="001D20DF"/>
    <w:rsid w:val="001D2F75"/>
    <w:rsid w:val="001D377B"/>
    <w:rsid w:val="001D45D6"/>
    <w:rsid w:val="001D54E5"/>
    <w:rsid w:val="001D61F4"/>
    <w:rsid w:val="001D64E3"/>
    <w:rsid w:val="001D6BCE"/>
    <w:rsid w:val="001D70C8"/>
    <w:rsid w:val="001E0D76"/>
    <w:rsid w:val="001E1728"/>
    <w:rsid w:val="001E1C7B"/>
    <w:rsid w:val="001E20AA"/>
    <w:rsid w:val="001E2F1E"/>
    <w:rsid w:val="001E34DC"/>
    <w:rsid w:val="001E3728"/>
    <w:rsid w:val="001E3CF8"/>
    <w:rsid w:val="001E4146"/>
    <w:rsid w:val="001E457B"/>
    <w:rsid w:val="001E6292"/>
    <w:rsid w:val="001E7610"/>
    <w:rsid w:val="001E767A"/>
    <w:rsid w:val="001E7DF9"/>
    <w:rsid w:val="001F0CF1"/>
    <w:rsid w:val="001F284E"/>
    <w:rsid w:val="001F2AE0"/>
    <w:rsid w:val="001F375C"/>
    <w:rsid w:val="001F3F7C"/>
    <w:rsid w:val="001F45C4"/>
    <w:rsid w:val="001F47FE"/>
    <w:rsid w:val="001F4C04"/>
    <w:rsid w:val="001F4C63"/>
    <w:rsid w:val="001F5278"/>
    <w:rsid w:val="001F55C0"/>
    <w:rsid w:val="001F5808"/>
    <w:rsid w:val="001F7EC2"/>
    <w:rsid w:val="00200EEB"/>
    <w:rsid w:val="00201D3C"/>
    <w:rsid w:val="00202282"/>
    <w:rsid w:val="0020314D"/>
    <w:rsid w:val="00203DE3"/>
    <w:rsid w:val="0020414B"/>
    <w:rsid w:val="00204BCA"/>
    <w:rsid w:val="00206227"/>
    <w:rsid w:val="00206C76"/>
    <w:rsid w:val="00207094"/>
    <w:rsid w:val="002070B0"/>
    <w:rsid w:val="00207813"/>
    <w:rsid w:val="00207F24"/>
    <w:rsid w:val="0021034A"/>
    <w:rsid w:val="00210C23"/>
    <w:rsid w:val="00210F77"/>
    <w:rsid w:val="002116C3"/>
    <w:rsid w:val="002122C4"/>
    <w:rsid w:val="00212752"/>
    <w:rsid w:val="00212807"/>
    <w:rsid w:val="00212CE3"/>
    <w:rsid w:val="002135D4"/>
    <w:rsid w:val="00214867"/>
    <w:rsid w:val="002153B4"/>
    <w:rsid w:val="002157C7"/>
    <w:rsid w:val="002159C9"/>
    <w:rsid w:val="00215FB9"/>
    <w:rsid w:val="00216E96"/>
    <w:rsid w:val="002177C7"/>
    <w:rsid w:val="0021784D"/>
    <w:rsid w:val="00217E56"/>
    <w:rsid w:val="0022032B"/>
    <w:rsid w:val="002204C0"/>
    <w:rsid w:val="002204DA"/>
    <w:rsid w:val="002208E3"/>
    <w:rsid w:val="00220D8F"/>
    <w:rsid w:val="00220EA1"/>
    <w:rsid w:val="00222391"/>
    <w:rsid w:val="00222664"/>
    <w:rsid w:val="00222763"/>
    <w:rsid w:val="002227AC"/>
    <w:rsid w:val="00223768"/>
    <w:rsid w:val="002244F4"/>
    <w:rsid w:val="0022468F"/>
    <w:rsid w:val="00225FDE"/>
    <w:rsid w:val="00226198"/>
    <w:rsid w:val="002266E5"/>
    <w:rsid w:val="00230290"/>
    <w:rsid w:val="00231290"/>
    <w:rsid w:val="002318AB"/>
    <w:rsid w:val="00231A35"/>
    <w:rsid w:val="00231E42"/>
    <w:rsid w:val="00232334"/>
    <w:rsid w:val="00232577"/>
    <w:rsid w:val="002325F4"/>
    <w:rsid w:val="00232605"/>
    <w:rsid w:val="00232D8C"/>
    <w:rsid w:val="00233DD5"/>
    <w:rsid w:val="0023611C"/>
    <w:rsid w:val="00236D39"/>
    <w:rsid w:val="00237568"/>
    <w:rsid w:val="00237D5E"/>
    <w:rsid w:val="00237E4C"/>
    <w:rsid w:val="00240446"/>
    <w:rsid w:val="00240BE9"/>
    <w:rsid w:val="00240D05"/>
    <w:rsid w:val="00241592"/>
    <w:rsid w:val="0024170A"/>
    <w:rsid w:val="00241AC2"/>
    <w:rsid w:val="002420DC"/>
    <w:rsid w:val="002431AA"/>
    <w:rsid w:val="00246737"/>
    <w:rsid w:val="00246BAF"/>
    <w:rsid w:val="00246C0C"/>
    <w:rsid w:val="0024758C"/>
    <w:rsid w:val="00250140"/>
    <w:rsid w:val="002504CD"/>
    <w:rsid w:val="002506A9"/>
    <w:rsid w:val="00250BC6"/>
    <w:rsid w:val="00250C81"/>
    <w:rsid w:val="002513A2"/>
    <w:rsid w:val="002514CC"/>
    <w:rsid w:val="00251B1D"/>
    <w:rsid w:val="00252EA6"/>
    <w:rsid w:val="0025344D"/>
    <w:rsid w:val="00253868"/>
    <w:rsid w:val="002538BE"/>
    <w:rsid w:val="00255CB0"/>
    <w:rsid w:val="00255E85"/>
    <w:rsid w:val="00256626"/>
    <w:rsid w:val="00256AC9"/>
    <w:rsid w:val="00257546"/>
    <w:rsid w:val="00257A32"/>
    <w:rsid w:val="00257F09"/>
    <w:rsid w:val="00257F10"/>
    <w:rsid w:val="00260630"/>
    <w:rsid w:val="002607F2"/>
    <w:rsid w:val="00260DB8"/>
    <w:rsid w:val="00261D37"/>
    <w:rsid w:val="002620B0"/>
    <w:rsid w:val="002627F2"/>
    <w:rsid w:val="00262FD4"/>
    <w:rsid w:val="00263502"/>
    <w:rsid w:val="00263A36"/>
    <w:rsid w:val="0026442C"/>
    <w:rsid w:val="00264C9A"/>
    <w:rsid w:val="00264EAB"/>
    <w:rsid w:val="002661EE"/>
    <w:rsid w:val="002666F7"/>
    <w:rsid w:val="00266E06"/>
    <w:rsid w:val="00270C11"/>
    <w:rsid w:val="0027139D"/>
    <w:rsid w:val="00271605"/>
    <w:rsid w:val="00272041"/>
    <w:rsid w:val="00272557"/>
    <w:rsid w:val="00272CDF"/>
    <w:rsid w:val="0027331B"/>
    <w:rsid w:val="00273C1E"/>
    <w:rsid w:val="00273F1E"/>
    <w:rsid w:val="00275788"/>
    <w:rsid w:val="0027662E"/>
    <w:rsid w:val="00276861"/>
    <w:rsid w:val="002769A2"/>
    <w:rsid w:val="002771BF"/>
    <w:rsid w:val="002772C2"/>
    <w:rsid w:val="002773A6"/>
    <w:rsid w:val="0028007E"/>
    <w:rsid w:val="00280384"/>
    <w:rsid w:val="00281049"/>
    <w:rsid w:val="00281B0A"/>
    <w:rsid w:val="00282528"/>
    <w:rsid w:val="00282DB8"/>
    <w:rsid w:val="00283616"/>
    <w:rsid w:val="00283D96"/>
    <w:rsid w:val="00284428"/>
    <w:rsid w:val="00284F11"/>
    <w:rsid w:val="00285C51"/>
    <w:rsid w:val="002860DE"/>
    <w:rsid w:val="00286B30"/>
    <w:rsid w:val="002872A0"/>
    <w:rsid w:val="0028766A"/>
    <w:rsid w:val="0029116E"/>
    <w:rsid w:val="00291B26"/>
    <w:rsid w:val="0029252A"/>
    <w:rsid w:val="00293C51"/>
    <w:rsid w:val="00293DFD"/>
    <w:rsid w:val="002955D6"/>
    <w:rsid w:val="0029667E"/>
    <w:rsid w:val="00297443"/>
    <w:rsid w:val="002A0741"/>
    <w:rsid w:val="002A3696"/>
    <w:rsid w:val="002A3FFD"/>
    <w:rsid w:val="002A4D97"/>
    <w:rsid w:val="002A7287"/>
    <w:rsid w:val="002B00CA"/>
    <w:rsid w:val="002B02D3"/>
    <w:rsid w:val="002B04C5"/>
    <w:rsid w:val="002B0921"/>
    <w:rsid w:val="002B0BD4"/>
    <w:rsid w:val="002B1118"/>
    <w:rsid w:val="002B1314"/>
    <w:rsid w:val="002B1925"/>
    <w:rsid w:val="002B1DFF"/>
    <w:rsid w:val="002B3108"/>
    <w:rsid w:val="002B33C8"/>
    <w:rsid w:val="002B3E20"/>
    <w:rsid w:val="002B3EE0"/>
    <w:rsid w:val="002B4A51"/>
    <w:rsid w:val="002B55D7"/>
    <w:rsid w:val="002B74E4"/>
    <w:rsid w:val="002B7A6B"/>
    <w:rsid w:val="002C023E"/>
    <w:rsid w:val="002C06A0"/>
    <w:rsid w:val="002C0BFB"/>
    <w:rsid w:val="002C1536"/>
    <w:rsid w:val="002C20F1"/>
    <w:rsid w:val="002C2E70"/>
    <w:rsid w:val="002C2FC8"/>
    <w:rsid w:val="002C34A1"/>
    <w:rsid w:val="002C3D37"/>
    <w:rsid w:val="002C4325"/>
    <w:rsid w:val="002C52E3"/>
    <w:rsid w:val="002C5779"/>
    <w:rsid w:val="002C59C1"/>
    <w:rsid w:val="002C6D10"/>
    <w:rsid w:val="002C75E4"/>
    <w:rsid w:val="002C7E6B"/>
    <w:rsid w:val="002D081E"/>
    <w:rsid w:val="002D0930"/>
    <w:rsid w:val="002D1385"/>
    <w:rsid w:val="002D195A"/>
    <w:rsid w:val="002D280C"/>
    <w:rsid w:val="002D2C82"/>
    <w:rsid w:val="002D2E28"/>
    <w:rsid w:val="002D2ECE"/>
    <w:rsid w:val="002D36EF"/>
    <w:rsid w:val="002D41FE"/>
    <w:rsid w:val="002D56B7"/>
    <w:rsid w:val="002D5C1D"/>
    <w:rsid w:val="002D6F81"/>
    <w:rsid w:val="002D7724"/>
    <w:rsid w:val="002D7C6E"/>
    <w:rsid w:val="002D7F3E"/>
    <w:rsid w:val="002E07B4"/>
    <w:rsid w:val="002E09B1"/>
    <w:rsid w:val="002E14C1"/>
    <w:rsid w:val="002E1B90"/>
    <w:rsid w:val="002E1E60"/>
    <w:rsid w:val="002E2412"/>
    <w:rsid w:val="002E2D7E"/>
    <w:rsid w:val="002E317C"/>
    <w:rsid w:val="002E328A"/>
    <w:rsid w:val="002E3C14"/>
    <w:rsid w:val="002E4DF4"/>
    <w:rsid w:val="002E5EA6"/>
    <w:rsid w:val="002E652F"/>
    <w:rsid w:val="002E657C"/>
    <w:rsid w:val="002E6B10"/>
    <w:rsid w:val="002E6DD8"/>
    <w:rsid w:val="002E6E14"/>
    <w:rsid w:val="002E7E4B"/>
    <w:rsid w:val="002F0175"/>
    <w:rsid w:val="002F080D"/>
    <w:rsid w:val="002F0B7C"/>
    <w:rsid w:val="002F18A4"/>
    <w:rsid w:val="002F18B4"/>
    <w:rsid w:val="002F22CF"/>
    <w:rsid w:val="002F2B69"/>
    <w:rsid w:val="002F32C4"/>
    <w:rsid w:val="002F3505"/>
    <w:rsid w:val="002F3816"/>
    <w:rsid w:val="002F3C45"/>
    <w:rsid w:val="002F4DA2"/>
    <w:rsid w:val="002F4F82"/>
    <w:rsid w:val="002F586F"/>
    <w:rsid w:val="002F6B0E"/>
    <w:rsid w:val="002F711C"/>
    <w:rsid w:val="002F7616"/>
    <w:rsid w:val="002F7738"/>
    <w:rsid w:val="002F7758"/>
    <w:rsid w:val="00300BA0"/>
    <w:rsid w:val="00301151"/>
    <w:rsid w:val="00301F4C"/>
    <w:rsid w:val="00302314"/>
    <w:rsid w:val="00302609"/>
    <w:rsid w:val="00302638"/>
    <w:rsid w:val="00302705"/>
    <w:rsid w:val="0030278C"/>
    <w:rsid w:val="00303233"/>
    <w:rsid w:val="00303A12"/>
    <w:rsid w:val="0030502E"/>
    <w:rsid w:val="00305A10"/>
    <w:rsid w:val="00305E97"/>
    <w:rsid w:val="00306F61"/>
    <w:rsid w:val="00307886"/>
    <w:rsid w:val="003102DF"/>
    <w:rsid w:val="003102F6"/>
    <w:rsid w:val="0031078F"/>
    <w:rsid w:val="003114AF"/>
    <w:rsid w:val="0031163A"/>
    <w:rsid w:val="00311A95"/>
    <w:rsid w:val="0031233A"/>
    <w:rsid w:val="00313A8E"/>
    <w:rsid w:val="00313CB0"/>
    <w:rsid w:val="00314D5F"/>
    <w:rsid w:val="003151BF"/>
    <w:rsid w:val="003154CE"/>
    <w:rsid w:val="00315DFE"/>
    <w:rsid w:val="00315F90"/>
    <w:rsid w:val="00316D7F"/>
    <w:rsid w:val="003173B1"/>
    <w:rsid w:val="0031787A"/>
    <w:rsid w:val="00317A85"/>
    <w:rsid w:val="0032074C"/>
    <w:rsid w:val="003209A0"/>
    <w:rsid w:val="00320F2D"/>
    <w:rsid w:val="00320F44"/>
    <w:rsid w:val="00321120"/>
    <w:rsid w:val="003213D9"/>
    <w:rsid w:val="0032201F"/>
    <w:rsid w:val="00322D6A"/>
    <w:rsid w:val="0032343B"/>
    <w:rsid w:val="0032348E"/>
    <w:rsid w:val="0032360A"/>
    <w:rsid w:val="00323D55"/>
    <w:rsid w:val="003249D8"/>
    <w:rsid w:val="0032628B"/>
    <w:rsid w:val="00326687"/>
    <w:rsid w:val="00326ADF"/>
    <w:rsid w:val="00327358"/>
    <w:rsid w:val="00330E04"/>
    <w:rsid w:val="00330E90"/>
    <w:rsid w:val="003314F0"/>
    <w:rsid w:val="00331905"/>
    <w:rsid w:val="003331D2"/>
    <w:rsid w:val="003334E4"/>
    <w:rsid w:val="00334E84"/>
    <w:rsid w:val="003353CB"/>
    <w:rsid w:val="003354AB"/>
    <w:rsid w:val="003355B9"/>
    <w:rsid w:val="00336419"/>
    <w:rsid w:val="00337F2C"/>
    <w:rsid w:val="00340168"/>
    <w:rsid w:val="003404AB"/>
    <w:rsid w:val="00340818"/>
    <w:rsid w:val="00340D75"/>
    <w:rsid w:val="003417EE"/>
    <w:rsid w:val="0034339D"/>
    <w:rsid w:val="003435CE"/>
    <w:rsid w:val="00343644"/>
    <w:rsid w:val="0034384F"/>
    <w:rsid w:val="00343FF2"/>
    <w:rsid w:val="003441A5"/>
    <w:rsid w:val="0034525C"/>
    <w:rsid w:val="00345A39"/>
    <w:rsid w:val="00346368"/>
    <w:rsid w:val="00346444"/>
    <w:rsid w:val="00346D07"/>
    <w:rsid w:val="003471C7"/>
    <w:rsid w:val="003478E0"/>
    <w:rsid w:val="00347B5A"/>
    <w:rsid w:val="00347E21"/>
    <w:rsid w:val="00350598"/>
    <w:rsid w:val="00350F20"/>
    <w:rsid w:val="00351740"/>
    <w:rsid w:val="00352F7D"/>
    <w:rsid w:val="00353070"/>
    <w:rsid w:val="00353113"/>
    <w:rsid w:val="00353BB1"/>
    <w:rsid w:val="00354749"/>
    <w:rsid w:val="0035506D"/>
    <w:rsid w:val="0035572F"/>
    <w:rsid w:val="00356239"/>
    <w:rsid w:val="00356E67"/>
    <w:rsid w:val="003579F4"/>
    <w:rsid w:val="0036048E"/>
    <w:rsid w:val="003604B0"/>
    <w:rsid w:val="00360807"/>
    <w:rsid w:val="00360B06"/>
    <w:rsid w:val="00361094"/>
    <w:rsid w:val="00361208"/>
    <w:rsid w:val="00362202"/>
    <w:rsid w:val="003629D2"/>
    <w:rsid w:val="00362FC5"/>
    <w:rsid w:val="00363505"/>
    <w:rsid w:val="003637B5"/>
    <w:rsid w:val="003638F3"/>
    <w:rsid w:val="003664D6"/>
    <w:rsid w:val="00366C70"/>
    <w:rsid w:val="00366E39"/>
    <w:rsid w:val="00366E48"/>
    <w:rsid w:val="00370AB8"/>
    <w:rsid w:val="00370D62"/>
    <w:rsid w:val="00371480"/>
    <w:rsid w:val="00371FF6"/>
    <w:rsid w:val="00372138"/>
    <w:rsid w:val="003722D2"/>
    <w:rsid w:val="003723F9"/>
    <w:rsid w:val="00372FB9"/>
    <w:rsid w:val="00373043"/>
    <w:rsid w:val="003748D7"/>
    <w:rsid w:val="003759FB"/>
    <w:rsid w:val="003762AF"/>
    <w:rsid w:val="00376E57"/>
    <w:rsid w:val="003774BD"/>
    <w:rsid w:val="003779DE"/>
    <w:rsid w:val="00380375"/>
    <w:rsid w:val="00380603"/>
    <w:rsid w:val="003807E2"/>
    <w:rsid w:val="003809E9"/>
    <w:rsid w:val="0038186C"/>
    <w:rsid w:val="00381F41"/>
    <w:rsid w:val="0038229A"/>
    <w:rsid w:val="00382E94"/>
    <w:rsid w:val="003833BC"/>
    <w:rsid w:val="003848DF"/>
    <w:rsid w:val="003853D5"/>
    <w:rsid w:val="00385EBC"/>
    <w:rsid w:val="0038655C"/>
    <w:rsid w:val="003867C8"/>
    <w:rsid w:val="00390902"/>
    <w:rsid w:val="003917BD"/>
    <w:rsid w:val="00391A51"/>
    <w:rsid w:val="00392A6E"/>
    <w:rsid w:val="00394429"/>
    <w:rsid w:val="00394E9B"/>
    <w:rsid w:val="00395507"/>
    <w:rsid w:val="00395EB7"/>
    <w:rsid w:val="00396105"/>
    <w:rsid w:val="0039640E"/>
    <w:rsid w:val="003964BF"/>
    <w:rsid w:val="00396C9F"/>
    <w:rsid w:val="00396E7B"/>
    <w:rsid w:val="0039732B"/>
    <w:rsid w:val="003973E0"/>
    <w:rsid w:val="003A02AF"/>
    <w:rsid w:val="003A1600"/>
    <w:rsid w:val="003A191D"/>
    <w:rsid w:val="003A2110"/>
    <w:rsid w:val="003A22F5"/>
    <w:rsid w:val="003A2A3E"/>
    <w:rsid w:val="003A2CF8"/>
    <w:rsid w:val="003A46E1"/>
    <w:rsid w:val="003A4B72"/>
    <w:rsid w:val="003A5116"/>
    <w:rsid w:val="003A6F51"/>
    <w:rsid w:val="003A7A39"/>
    <w:rsid w:val="003B0ADD"/>
    <w:rsid w:val="003B16D7"/>
    <w:rsid w:val="003B249F"/>
    <w:rsid w:val="003B304C"/>
    <w:rsid w:val="003B4297"/>
    <w:rsid w:val="003B4798"/>
    <w:rsid w:val="003B510C"/>
    <w:rsid w:val="003B58E0"/>
    <w:rsid w:val="003B599D"/>
    <w:rsid w:val="003B5BB7"/>
    <w:rsid w:val="003B636A"/>
    <w:rsid w:val="003B63A8"/>
    <w:rsid w:val="003B7789"/>
    <w:rsid w:val="003B7B84"/>
    <w:rsid w:val="003C111A"/>
    <w:rsid w:val="003C1269"/>
    <w:rsid w:val="003C12FB"/>
    <w:rsid w:val="003C2794"/>
    <w:rsid w:val="003C38C5"/>
    <w:rsid w:val="003C48A6"/>
    <w:rsid w:val="003C59E8"/>
    <w:rsid w:val="003C5AAB"/>
    <w:rsid w:val="003C5FCB"/>
    <w:rsid w:val="003C6030"/>
    <w:rsid w:val="003C615C"/>
    <w:rsid w:val="003C668B"/>
    <w:rsid w:val="003C6D06"/>
    <w:rsid w:val="003C7628"/>
    <w:rsid w:val="003C7962"/>
    <w:rsid w:val="003D0B2E"/>
    <w:rsid w:val="003D1F07"/>
    <w:rsid w:val="003D2A34"/>
    <w:rsid w:val="003D2B12"/>
    <w:rsid w:val="003D3AE9"/>
    <w:rsid w:val="003D3B97"/>
    <w:rsid w:val="003D3E04"/>
    <w:rsid w:val="003D4037"/>
    <w:rsid w:val="003D42FA"/>
    <w:rsid w:val="003D4A01"/>
    <w:rsid w:val="003D5003"/>
    <w:rsid w:val="003D5191"/>
    <w:rsid w:val="003D619C"/>
    <w:rsid w:val="003D6C40"/>
    <w:rsid w:val="003D706B"/>
    <w:rsid w:val="003D7859"/>
    <w:rsid w:val="003E1545"/>
    <w:rsid w:val="003E1F01"/>
    <w:rsid w:val="003E2679"/>
    <w:rsid w:val="003E29B1"/>
    <w:rsid w:val="003E2ABE"/>
    <w:rsid w:val="003E3673"/>
    <w:rsid w:val="003E37B2"/>
    <w:rsid w:val="003E4088"/>
    <w:rsid w:val="003E44EB"/>
    <w:rsid w:val="003E4D43"/>
    <w:rsid w:val="003E6870"/>
    <w:rsid w:val="003E6A35"/>
    <w:rsid w:val="003E7A3B"/>
    <w:rsid w:val="003E7BDE"/>
    <w:rsid w:val="003F044C"/>
    <w:rsid w:val="003F057C"/>
    <w:rsid w:val="003F0A89"/>
    <w:rsid w:val="003F13FA"/>
    <w:rsid w:val="003F1564"/>
    <w:rsid w:val="003F1CE2"/>
    <w:rsid w:val="003F2161"/>
    <w:rsid w:val="003F2864"/>
    <w:rsid w:val="003F3DC6"/>
    <w:rsid w:val="003F481D"/>
    <w:rsid w:val="003F49C9"/>
    <w:rsid w:val="003F4A95"/>
    <w:rsid w:val="003F5DDE"/>
    <w:rsid w:val="003F646C"/>
    <w:rsid w:val="004008AE"/>
    <w:rsid w:val="0040257B"/>
    <w:rsid w:val="00402E24"/>
    <w:rsid w:val="004032E2"/>
    <w:rsid w:val="00404A23"/>
    <w:rsid w:val="00404C78"/>
    <w:rsid w:val="00405577"/>
    <w:rsid w:val="00405FEA"/>
    <w:rsid w:val="00406782"/>
    <w:rsid w:val="004068E2"/>
    <w:rsid w:val="00407447"/>
    <w:rsid w:val="00407539"/>
    <w:rsid w:val="00407637"/>
    <w:rsid w:val="0041045E"/>
    <w:rsid w:val="00410DBC"/>
    <w:rsid w:val="00410DF5"/>
    <w:rsid w:val="0041246D"/>
    <w:rsid w:val="004126E7"/>
    <w:rsid w:val="004126FD"/>
    <w:rsid w:val="00412D33"/>
    <w:rsid w:val="00412DC3"/>
    <w:rsid w:val="00414DA8"/>
    <w:rsid w:val="00415FC0"/>
    <w:rsid w:val="004206CF"/>
    <w:rsid w:val="004209F4"/>
    <w:rsid w:val="00420A4E"/>
    <w:rsid w:val="00420EEF"/>
    <w:rsid w:val="004211F3"/>
    <w:rsid w:val="00423431"/>
    <w:rsid w:val="0042426F"/>
    <w:rsid w:val="00425D5F"/>
    <w:rsid w:val="00427446"/>
    <w:rsid w:val="00430E1E"/>
    <w:rsid w:val="004315BD"/>
    <w:rsid w:val="004316EA"/>
    <w:rsid w:val="004319DF"/>
    <w:rsid w:val="00432AFF"/>
    <w:rsid w:val="00433BC1"/>
    <w:rsid w:val="00435FF5"/>
    <w:rsid w:val="00436A2B"/>
    <w:rsid w:val="00436F28"/>
    <w:rsid w:val="00437EDA"/>
    <w:rsid w:val="00440340"/>
    <w:rsid w:val="00441531"/>
    <w:rsid w:val="00441860"/>
    <w:rsid w:val="0044240A"/>
    <w:rsid w:val="0044328A"/>
    <w:rsid w:val="00443F0E"/>
    <w:rsid w:val="00444909"/>
    <w:rsid w:val="00444C97"/>
    <w:rsid w:val="00445077"/>
    <w:rsid w:val="004478FA"/>
    <w:rsid w:val="0045081E"/>
    <w:rsid w:val="00450CA5"/>
    <w:rsid w:val="00450F9B"/>
    <w:rsid w:val="0045155F"/>
    <w:rsid w:val="00452393"/>
    <w:rsid w:val="004566C4"/>
    <w:rsid w:val="00457E32"/>
    <w:rsid w:val="004601C4"/>
    <w:rsid w:val="0046043B"/>
    <w:rsid w:val="00460D70"/>
    <w:rsid w:val="00460E5B"/>
    <w:rsid w:val="00461047"/>
    <w:rsid w:val="00461C3A"/>
    <w:rsid w:val="00461CA5"/>
    <w:rsid w:val="004632CA"/>
    <w:rsid w:val="0046336A"/>
    <w:rsid w:val="00464750"/>
    <w:rsid w:val="00465B50"/>
    <w:rsid w:val="00466C81"/>
    <w:rsid w:val="00470389"/>
    <w:rsid w:val="00470694"/>
    <w:rsid w:val="00471AC3"/>
    <w:rsid w:val="00471F51"/>
    <w:rsid w:val="00472058"/>
    <w:rsid w:val="00472F5C"/>
    <w:rsid w:val="004740E8"/>
    <w:rsid w:val="00474DAB"/>
    <w:rsid w:val="004754CD"/>
    <w:rsid w:val="00475A7A"/>
    <w:rsid w:val="004763E7"/>
    <w:rsid w:val="00477011"/>
    <w:rsid w:val="004810A8"/>
    <w:rsid w:val="00481758"/>
    <w:rsid w:val="0048188F"/>
    <w:rsid w:val="00481AF5"/>
    <w:rsid w:val="0048352E"/>
    <w:rsid w:val="00483645"/>
    <w:rsid w:val="00484459"/>
    <w:rsid w:val="00484614"/>
    <w:rsid w:val="0048557E"/>
    <w:rsid w:val="00485AF7"/>
    <w:rsid w:val="00485CC7"/>
    <w:rsid w:val="004860C4"/>
    <w:rsid w:val="00486422"/>
    <w:rsid w:val="00490059"/>
    <w:rsid w:val="00490B88"/>
    <w:rsid w:val="00491235"/>
    <w:rsid w:val="00491BF6"/>
    <w:rsid w:val="00492ED2"/>
    <w:rsid w:val="0049314A"/>
    <w:rsid w:val="0049314C"/>
    <w:rsid w:val="00493EDD"/>
    <w:rsid w:val="004951E1"/>
    <w:rsid w:val="00496363"/>
    <w:rsid w:val="00497017"/>
    <w:rsid w:val="00497161"/>
    <w:rsid w:val="004973AE"/>
    <w:rsid w:val="00497F6C"/>
    <w:rsid w:val="004A0456"/>
    <w:rsid w:val="004A08A4"/>
    <w:rsid w:val="004A0AFA"/>
    <w:rsid w:val="004A1653"/>
    <w:rsid w:val="004A28E7"/>
    <w:rsid w:val="004A2FF9"/>
    <w:rsid w:val="004A4102"/>
    <w:rsid w:val="004A4369"/>
    <w:rsid w:val="004A4888"/>
    <w:rsid w:val="004A6B0F"/>
    <w:rsid w:val="004A74C3"/>
    <w:rsid w:val="004A7D0B"/>
    <w:rsid w:val="004B15DE"/>
    <w:rsid w:val="004B20F0"/>
    <w:rsid w:val="004B2F46"/>
    <w:rsid w:val="004B41C3"/>
    <w:rsid w:val="004B4470"/>
    <w:rsid w:val="004B48EE"/>
    <w:rsid w:val="004B4ACD"/>
    <w:rsid w:val="004B4FCD"/>
    <w:rsid w:val="004B59ED"/>
    <w:rsid w:val="004B5FD8"/>
    <w:rsid w:val="004B73D8"/>
    <w:rsid w:val="004C112B"/>
    <w:rsid w:val="004C2947"/>
    <w:rsid w:val="004C35BC"/>
    <w:rsid w:val="004C40D3"/>
    <w:rsid w:val="004C4787"/>
    <w:rsid w:val="004C5312"/>
    <w:rsid w:val="004C6426"/>
    <w:rsid w:val="004C7437"/>
    <w:rsid w:val="004D0ABD"/>
    <w:rsid w:val="004D0E05"/>
    <w:rsid w:val="004D0ECA"/>
    <w:rsid w:val="004D1846"/>
    <w:rsid w:val="004D1B7C"/>
    <w:rsid w:val="004D1C10"/>
    <w:rsid w:val="004D1E2B"/>
    <w:rsid w:val="004D29A0"/>
    <w:rsid w:val="004D2B5C"/>
    <w:rsid w:val="004D3941"/>
    <w:rsid w:val="004D75C5"/>
    <w:rsid w:val="004D7CBA"/>
    <w:rsid w:val="004E0382"/>
    <w:rsid w:val="004E097D"/>
    <w:rsid w:val="004E0A8D"/>
    <w:rsid w:val="004E0B72"/>
    <w:rsid w:val="004E2728"/>
    <w:rsid w:val="004E2791"/>
    <w:rsid w:val="004E2BA5"/>
    <w:rsid w:val="004E3C11"/>
    <w:rsid w:val="004E3DBE"/>
    <w:rsid w:val="004E4AF9"/>
    <w:rsid w:val="004E553E"/>
    <w:rsid w:val="004E5EF1"/>
    <w:rsid w:val="004E6704"/>
    <w:rsid w:val="004E76B3"/>
    <w:rsid w:val="004F0235"/>
    <w:rsid w:val="004F0805"/>
    <w:rsid w:val="004F0AFC"/>
    <w:rsid w:val="004F0B8D"/>
    <w:rsid w:val="004F13E6"/>
    <w:rsid w:val="004F1809"/>
    <w:rsid w:val="004F1A6B"/>
    <w:rsid w:val="004F1CE9"/>
    <w:rsid w:val="004F1DE6"/>
    <w:rsid w:val="004F207D"/>
    <w:rsid w:val="004F3159"/>
    <w:rsid w:val="004F3577"/>
    <w:rsid w:val="004F4577"/>
    <w:rsid w:val="004F4AC6"/>
    <w:rsid w:val="004F5401"/>
    <w:rsid w:val="004F5E61"/>
    <w:rsid w:val="004F667E"/>
    <w:rsid w:val="00501C9F"/>
    <w:rsid w:val="0050270E"/>
    <w:rsid w:val="00502C18"/>
    <w:rsid w:val="0050305D"/>
    <w:rsid w:val="005033BA"/>
    <w:rsid w:val="005044F1"/>
    <w:rsid w:val="00504670"/>
    <w:rsid w:val="00504C24"/>
    <w:rsid w:val="00504EC3"/>
    <w:rsid w:val="00506316"/>
    <w:rsid w:val="00506DC2"/>
    <w:rsid w:val="0050722E"/>
    <w:rsid w:val="00507A6F"/>
    <w:rsid w:val="00507CF6"/>
    <w:rsid w:val="00507EC2"/>
    <w:rsid w:val="0051114D"/>
    <w:rsid w:val="00511530"/>
    <w:rsid w:val="0051189B"/>
    <w:rsid w:val="00511BD8"/>
    <w:rsid w:val="00511C84"/>
    <w:rsid w:val="00511D17"/>
    <w:rsid w:val="00511E5C"/>
    <w:rsid w:val="00511FA2"/>
    <w:rsid w:val="005121B3"/>
    <w:rsid w:val="00513827"/>
    <w:rsid w:val="005142B0"/>
    <w:rsid w:val="005146BF"/>
    <w:rsid w:val="0051555A"/>
    <w:rsid w:val="00515810"/>
    <w:rsid w:val="00515ED4"/>
    <w:rsid w:val="005169BE"/>
    <w:rsid w:val="0051744D"/>
    <w:rsid w:val="0051759B"/>
    <w:rsid w:val="00517BA3"/>
    <w:rsid w:val="00517E28"/>
    <w:rsid w:val="005201A1"/>
    <w:rsid w:val="0052056D"/>
    <w:rsid w:val="00520B4A"/>
    <w:rsid w:val="00520EC3"/>
    <w:rsid w:val="00521A3C"/>
    <w:rsid w:val="00522530"/>
    <w:rsid w:val="0052356F"/>
    <w:rsid w:val="00523805"/>
    <w:rsid w:val="00523B02"/>
    <w:rsid w:val="0052492C"/>
    <w:rsid w:val="00524B5C"/>
    <w:rsid w:val="00524D0E"/>
    <w:rsid w:val="00526EF0"/>
    <w:rsid w:val="005274D4"/>
    <w:rsid w:val="0052786D"/>
    <w:rsid w:val="00530884"/>
    <w:rsid w:val="00530E5C"/>
    <w:rsid w:val="00530F95"/>
    <w:rsid w:val="00530FD7"/>
    <w:rsid w:val="005318FB"/>
    <w:rsid w:val="00531E11"/>
    <w:rsid w:val="00532312"/>
    <w:rsid w:val="00532ADE"/>
    <w:rsid w:val="00532FBD"/>
    <w:rsid w:val="00533431"/>
    <w:rsid w:val="0053344B"/>
    <w:rsid w:val="005338E1"/>
    <w:rsid w:val="00533C52"/>
    <w:rsid w:val="0053421B"/>
    <w:rsid w:val="00534396"/>
    <w:rsid w:val="0053450F"/>
    <w:rsid w:val="00534BB7"/>
    <w:rsid w:val="00534D7E"/>
    <w:rsid w:val="00535623"/>
    <w:rsid w:val="005356FB"/>
    <w:rsid w:val="00535BE9"/>
    <w:rsid w:val="00536F5A"/>
    <w:rsid w:val="005371AA"/>
    <w:rsid w:val="005372E4"/>
    <w:rsid w:val="005373B8"/>
    <w:rsid w:val="00540860"/>
    <w:rsid w:val="00540CFB"/>
    <w:rsid w:val="00540E53"/>
    <w:rsid w:val="005412A9"/>
    <w:rsid w:val="00542986"/>
    <w:rsid w:val="005429D6"/>
    <w:rsid w:val="00542E73"/>
    <w:rsid w:val="0054314F"/>
    <w:rsid w:val="0054323F"/>
    <w:rsid w:val="00543256"/>
    <w:rsid w:val="005439C9"/>
    <w:rsid w:val="005440BF"/>
    <w:rsid w:val="00544B86"/>
    <w:rsid w:val="0054561C"/>
    <w:rsid w:val="005458EA"/>
    <w:rsid w:val="00545BD0"/>
    <w:rsid w:val="0054739F"/>
    <w:rsid w:val="005476D7"/>
    <w:rsid w:val="00547936"/>
    <w:rsid w:val="00547947"/>
    <w:rsid w:val="00547FAE"/>
    <w:rsid w:val="00550A69"/>
    <w:rsid w:val="00550CC1"/>
    <w:rsid w:val="00551871"/>
    <w:rsid w:val="005519AB"/>
    <w:rsid w:val="00551F5F"/>
    <w:rsid w:val="0055200D"/>
    <w:rsid w:val="005540EC"/>
    <w:rsid w:val="00555C92"/>
    <w:rsid w:val="00556498"/>
    <w:rsid w:val="00557FF5"/>
    <w:rsid w:val="005609BB"/>
    <w:rsid w:val="00561D50"/>
    <w:rsid w:val="00562BF7"/>
    <w:rsid w:val="005641D2"/>
    <w:rsid w:val="005647C7"/>
    <w:rsid w:val="00565288"/>
    <w:rsid w:val="0056569C"/>
    <w:rsid w:val="00565A9C"/>
    <w:rsid w:val="00565AF8"/>
    <w:rsid w:val="00565FBD"/>
    <w:rsid w:val="00570C35"/>
    <w:rsid w:val="005710CB"/>
    <w:rsid w:val="005720E3"/>
    <w:rsid w:val="005726E7"/>
    <w:rsid w:val="005739B6"/>
    <w:rsid w:val="00574050"/>
    <w:rsid w:val="0057497E"/>
    <w:rsid w:val="005759B8"/>
    <w:rsid w:val="00575D26"/>
    <w:rsid w:val="00577B75"/>
    <w:rsid w:val="00577F3C"/>
    <w:rsid w:val="005803E2"/>
    <w:rsid w:val="00581B9D"/>
    <w:rsid w:val="00582992"/>
    <w:rsid w:val="00583521"/>
    <w:rsid w:val="00583709"/>
    <w:rsid w:val="00584178"/>
    <w:rsid w:val="005854A3"/>
    <w:rsid w:val="00585F6E"/>
    <w:rsid w:val="00586238"/>
    <w:rsid w:val="0058673D"/>
    <w:rsid w:val="00586CFE"/>
    <w:rsid w:val="00587099"/>
    <w:rsid w:val="0058732C"/>
    <w:rsid w:val="005877CF"/>
    <w:rsid w:val="005911CF"/>
    <w:rsid w:val="00591261"/>
    <w:rsid w:val="0059149A"/>
    <w:rsid w:val="00591DDB"/>
    <w:rsid w:val="00592298"/>
    <w:rsid w:val="00592A6A"/>
    <w:rsid w:val="00592C2C"/>
    <w:rsid w:val="00592D14"/>
    <w:rsid w:val="00593275"/>
    <w:rsid w:val="00593B3C"/>
    <w:rsid w:val="00593B9F"/>
    <w:rsid w:val="00593C13"/>
    <w:rsid w:val="00594308"/>
    <w:rsid w:val="00594760"/>
    <w:rsid w:val="00594A14"/>
    <w:rsid w:val="00594E8D"/>
    <w:rsid w:val="00595416"/>
    <w:rsid w:val="005958F3"/>
    <w:rsid w:val="005966D0"/>
    <w:rsid w:val="005972C3"/>
    <w:rsid w:val="00597979"/>
    <w:rsid w:val="005A1690"/>
    <w:rsid w:val="005A18FB"/>
    <w:rsid w:val="005A2B3D"/>
    <w:rsid w:val="005A2E2A"/>
    <w:rsid w:val="005A3704"/>
    <w:rsid w:val="005A4B4D"/>
    <w:rsid w:val="005A530D"/>
    <w:rsid w:val="005A5424"/>
    <w:rsid w:val="005A56F6"/>
    <w:rsid w:val="005A6EE4"/>
    <w:rsid w:val="005A7654"/>
    <w:rsid w:val="005A7916"/>
    <w:rsid w:val="005B1809"/>
    <w:rsid w:val="005B1AEF"/>
    <w:rsid w:val="005B26A4"/>
    <w:rsid w:val="005B3453"/>
    <w:rsid w:val="005B3E37"/>
    <w:rsid w:val="005B4259"/>
    <w:rsid w:val="005B5F09"/>
    <w:rsid w:val="005B63E8"/>
    <w:rsid w:val="005B642F"/>
    <w:rsid w:val="005B64BE"/>
    <w:rsid w:val="005B6610"/>
    <w:rsid w:val="005B678B"/>
    <w:rsid w:val="005B7DC3"/>
    <w:rsid w:val="005C0A38"/>
    <w:rsid w:val="005C1184"/>
    <w:rsid w:val="005C3190"/>
    <w:rsid w:val="005C3297"/>
    <w:rsid w:val="005C39D6"/>
    <w:rsid w:val="005C4BD4"/>
    <w:rsid w:val="005C553D"/>
    <w:rsid w:val="005C5B81"/>
    <w:rsid w:val="005C6A52"/>
    <w:rsid w:val="005C6AB1"/>
    <w:rsid w:val="005C6ABE"/>
    <w:rsid w:val="005C72B4"/>
    <w:rsid w:val="005C72BD"/>
    <w:rsid w:val="005C74E5"/>
    <w:rsid w:val="005C75D8"/>
    <w:rsid w:val="005D0B9E"/>
    <w:rsid w:val="005D0D78"/>
    <w:rsid w:val="005D1639"/>
    <w:rsid w:val="005D1813"/>
    <w:rsid w:val="005D1D8E"/>
    <w:rsid w:val="005D2A75"/>
    <w:rsid w:val="005D3297"/>
    <w:rsid w:val="005D3345"/>
    <w:rsid w:val="005D35BE"/>
    <w:rsid w:val="005D3FFF"/>
    <w:rsid w:val="005D5714"/>
    <w:rsid w:val="005D5B03"/>
    <w:rsid w:val="005D5E46"/>
    <w:rsid w:val="005E0438"/>
    <w:rsid w:val="005E09C5"/>
    <w:rsid w:val="005E0E45"/>
    <w:rsid w:val="005E10D6"/>
    <w:rsid w:val="005E11E3"/>
    <w:rsid w:val="005E1E70"/>
    <w:rsid w:val="005E1FE6"/>
    <w:rsid w:val="005E2141"/>
    <w:rsid w:val="005E2DDE"/>
    <w:rsid w:val="005E384E"/>
    <w:rsid w:val="005E407C"/>
    <w:rsid w:val="005E44F1"/>
    <w:rsid w:val="005E4524"/>
    <w:rsid w:val="005E5648"/>
    <w:rsid w:val="005E5A8E"/>
    <w:rsid w:val="005E641B"/>
    <w:rsid w:val="005E7D41"/>
    <w:rsid w:val="005F2100"/>
    <w:rsid w:val="005F4F3D"/>
    <w:rsid w:val="005F4FF1"/>
    <w:rsid w:val="005F6219"/>
    <w:rsid w:val="005F67CA"/>
    <w:rsid w:val="005F6E1E"/>
    <w:rsid w:val="005F7C97"/>
    <w:rsid w:val="005F7CD8"/>
    <w:rsid w:val="00600332"/>
    <w:rsid w:val="006015BB"/>
    <w:rsid w:val="006026D9"/>
    <w:rsid w:val="00602799"/>
    <w:rsid w:val="006030E5"/>
    <w:rsid w:val="00604054"/>
    <w:rsid w:val="00604513"/>
    <w:rsid w:val="006053AA"/>
    <w:rsid w:val="00605A15"/>
    <w:rsid w:val="00605FB2"/>
    <w:rsid w:val="006116CD"/>
    <w:rsid w:val="00611A18"/>
    <w:rsid w:val="006128F6"/>
    <w:rsid w:val="00613398"/>
    <w:rsid w:val="006134D4"/>
    <w:rsid w:val="00613507"/>
    <w:rsid w:val="00614D9F"/>
    <w:rsid w:val="00614DF4"/>
    <w:rsid w:val="0061518C"/>
    <w:rsid w:val="006158A6"/>
    <w:rsid w:val="00615A85"/>
    <w:rsid w:val="00615AED"/>
    <w:rsid w:val="00615C1A"/>
    <w:rsid w:val="00615F21"/>
    <w:rsid w:val="00616AA8"/>
    <w:rsid w:val="00617039"/>
    <w:rsid w:val="0061718F"/>
    <w:rsid w:val="00617AF1"/>
    <w:rsid w:val="006202C5"/>
    <w:rsid w:val="00620F06"/>
    <w:rsid w:val="00621092"/>
    <w:rsid w:val="00621673"/>
    <w:rsid w:val="00621721"/>
    <w:rsid w:val="00621FFB"/>
    <w:rsid w:val="006223E7"/>
    <w:rsid w:val="006226E1"/>
    <w:rsid w:val="00622927"/>
    <w:rsid w:val="00622E54"/>
    <w:rsid w:val="00622EB7"/>
    <w:rsid w:val="00623C75"/>
    <w:rsid w:val="00623E3A"/>
    <w:rsid w:val="006242F7"/>
    <w:rsid w:val="00624581"/>
    <w:rsid w:val="00626170"/>
    <w:rsid w:val="006262B8"/>
    <w:rsid w:val="006300D6"/>
    <w:rsid w:val="006308B5"/>
    <w:rsid w:val="00631912"/>
    <w:rsid w:val="006322BB"/>
    <w:rsid w:val="0063260E"/>
    <w:rsid w:val="0063328B"/>
    <w:rsid w:val="0063483D"/>
    <w:rsid w:val="006361DC"/>
    <w:rsid w:val="006367A0"/>
    <w:rsid w:val="00636CD5"/>
    <w:rsid w:val="006371B3"/>
    <w:rsid w:val="006372F0"/>
    <w:rsid w:val="00643466"/>
    <w:rsid w:val="00643E4F"/>
    <w:rsid w:val="00644288"/>
    <w:rsid w:val="00645162"/>
    <w:rsid w:val="0064531B"/>
    <w:rsid w:val="00645BDD"/>
    <w:rsid w:val="006468B2"/>
    <w:rsid w:val="0064793E"/>
    <w:rsid w:val="00650429"/>
    <w:rsid w:val="006507D2"/>
    <w:rsid w:val="00650C59"/>
    <w:rsid w:val="006511C4"/>
    <w:rsid w:val="00651896"/>
    <w:rsid w:val="00651C9E"/>
    <w:rsid w:val="00651CD2"/>
    <w:rsid w:val="0065217F"/>
    <w:rsid w:val="00652761"/>
    <w:rsid w:val="00652BEF"/>
    <w:rsid w:val="00652ED5"/>
    <w:rsid w:val="00652FFF"/>
    <w:rsid w:val="006532C3"/>
    <w:rsid w:val="00654890"/>
    <w:rsid w:val="00656666"/>
    <w:rsid w:val="00656BC2"/>
    <w:rsid w:val="00656DDA"/>
    <w:rsid w:val="0065738A"/>
    <w:rsid w:val="00657A96"/>
    <w:rsid w:val="00657CB6"/>
    <w:rsid w:val="006611F5"/>
    <w:rsid w:val="00661ECA"/>
    <w:rsid w:val="006620D3"/>
    <w:rsid w:val="006628F4"/>
    <w:rsid w:val="00663C82"/>
    <w:rsid w:val="00664843"/>
    <w:rsid w:val="00664AAF"/>
    <w:rsid w:val="00664BEE"/>
    <w:rsid w:val="0066522F"/>
    <w:rsid w:val="0066625E"/>
    <w:rsid w:val="00666C63"/>
    <w:rsid w:val="0067049F"/>
    <w:rsid w:val="00670649"/>
    <w:rsid w:val="0067083F"/>
    <w:rsid w:val="00671115"/>
    <w:rsid w:val="00671B00"/>
    <w:rsid w:val="00671FDB"/>
    <w:rsid w:val="006723F2"/>
    <w:rsid w:val="006738F2"/>
    <w:rsid w:val="0067460B"/>
    <w:rsid w:val="00674E17"/>
    <w:rsid w:val="00675530"/>
    <w:rsid w:val="00675FAE"/>
    <w:rsid w:val="006764ED"/>
    <w:rsid w:val="00677138"/>
    <w:rsid w:val="006773FF"/>
    <w:rsid w:val="00680385"/>
    <w:rsid w:val="0068044E"/>
    <w:rsid w:val="00680D3E"/>
    <w:rsid w:val="006824A0"/>
    <w:rsid w:val="006828AD"/>
    <w:rsid w:val="00682CFE"/>
    <w:rsid w:val="0068317D"/>
    <w:rsid w:val="0068321B"/>
    <w:rsid w:val="00684775"/>
    <w:rsid w:val="00684B4F"/>
    <w:rsid w:val="006856AC"/>
    <w:rsid w:val="00685A50"/>
    <w:rsid w:val="00686932"/>
    <w:rsid w:val="00686946"/>
    <w:rsid w:val="00686995"/>
    <w:rsid w:val="00690525"/>
    <w:rsid w:val="006912BC"/>
    <w:rsid w:val="006918DC"/>
    <w:rsid w:val="00692216"/>
    <w:rsid w:val="00692EAA"/>
    <w:rsid w:val="00693386"/>
    <w:rsid w:val="00693CF5"/>
    <w:rsid w:val="006944E7"/>
    <w:rsid w:val="00694786"/>
    <w:rsid w:val="00695B68"/>
    <w:rsid w:val="00696C36"/>
    <w:rsid w:val="00697316"/>
    <w:rsid w:val="00697EBB"/>
    <w:rsid w:val="006A0293"/>
    <w:rsid w:val="006A04FB"/>
    <w:rsid w:val="006A0560"/>
    <w:rsid w:val="006A180A"/>
    <w:rsid w:val="006A1A45"/>
    <w:rsid w:val="006A1E6E"/>
    <w:rsid w:val="006A2542"/>
    <w:rsid w:val="006A2C61"/>
    <w:rsid w:val="006A3B40"/>
    <w:rsid w:val="006A4D73"/>
    <w:rsid w:val="006A51D7"/>
    <w:rsid w:val="006A5A68"/>
    <w:rsid w:val="006A5EDF"/>
    <w:rsid w:val="006A67D0"/>
    <w:rsid w:val="006A6ABD"/>
    <w:rsid w:val="006B04C4"/>
    <w:rsid w:val="006B10EA"/>
    <w:rsid w:val="006B1E14"/>
    <w:rsid w:val="006B23D3"/>
    <w:rsid w:val="006B263B"/>
    <w:rsid w:val="006B27B7"/>
    <w:rsid w:val="006B2C68"/>
    <w:rsid w:val="006B2FBF"/>
    <w:rsid w:val="006B36EA"/>
    <w:rsid w:val="006B3C31"/>
    <w:rsid w:val="006B3FEB"/>
    <w:rsid w:val="006B51DE"/>
    <w:rsid w:val="006B5627"/>
    <w:rsid w:val="006B5EC8"/>
    <w:rsid w:val="006B5EF2"/>
    <w:rsid w:val="006B5F7D"/>
    <w:rsid w:val="006B6521"/>
    <w:rsid w:val="006B6ECC"/>
    <w:rsid w:val="006B726D"/>
    <w:rsid w:val="006B752F"/>
    <w:rsid w:val="006B7760"/>
    <w:rsid w:val="006C0073"/>
    <w:rsid w:val="006C033E"/>
    <w:rsid w:val="006C034C"/>
    <w:rsid w:val="006C08A4"/>
    <w:rsid w:val="006C0C19"/>
    <w:rsid w:val="006C1AA6"/>
    <w:rsid w:val="006C28CA"/>
    <w:rsid w:val="006C2FB7"/>
    <w:rsid w:val="006C36B6"/>
    <w:rsid w:val="006C3CBC"/>
    <w:rsid w:val="006C3F27"/>
    <w:rsid w:val="006C4983"/>
    <w:rsid w:val="006C52EE"/>
    <w:rsid w:val="006C6288"/>
    <w:rsid w:val="006C6C41"/>
    <w:rsid w:val="006C799E"/>
    <w:rsid w:val="006C7B3D"/>
    <w:rsid w:val="006C7DE1"/>
    <w:rsid w:val="006D0292"/>
    <w:rsid w:val="006D1C3B"/>
    <w:rsid w:val="006D2FB7"/>
    <w:rsid w:val="006D3E38"/>
    <w:rsid w:val="006D4A2E"/>
    <w:rsid w:val="006D4C9E"/>
    <w:rsid w:val="006D4F19"/>
    <w:rsid w:val="006D526A"/>
    <w:rsid w:val="006D52D5"/>
    <w:rsid w:val="006D5B2C"/>
    <w:rsid w:val="006D698C"/>
    <w:rsid w:val="006D6DA9"/>
    <w:rsid w:val="006D7C79"/>
    <w:rsid w:val="006E0906"/>
    <w:rsid w:val="006E0FC9"/>
    <w:rsid w:val="006E22ED"/>
    <w:rsid w:val="006E23CD"/>
    <w:rsid w:val="006E29FD"/>
    <w:rsid w:val="006E44A5"/>
    <w:rsid w:val="006E462D"/>
    <w:rsid w:val="006E4C88"/>
    <w:rsid w:val="006E744E"/>
    <w:rsid w:val="006F02D1"/>
    <w:rsid w:val="006F08FA"/>
    <w:rsid w:val="006F16B5"/>
    <w:rsid w:val="006F2A85"/>
    <w:rsid w:val="006F2D93"/>
    <w:rsid w:val="006F3546"/>
    <w:rsid w:val="006F3E59"/>
    <w:rsid w:val="006F4452"/>
    <w:rsid w:val="006F47CA"/>
    <w:rsid w:val="006F5253"/>
    <w:rsid w:val="006F5358"/>
    <w:rsid w:val="006F6528"/>
    <w:rsid w:val="006F661A"/>
    <w:rsid w:val="006F713F"/>
    <w:rsid w:val="006F76B8"/>
    <w:rsid w:val="006F77A3"/>
    <w:rsid w:val="00700337"/>
    <w:rsid w:val="007015F6"/>
    <w:rsid w:val="0070170E"/>
    <w:rsid w:val="0070185F"/>
    <w:rsid w:val="00701885"/>
    <w:rsid w:val="00701977"/>
    <w:rsid w:val="00702325"/>
    <w:rsid w:val="00704149"/>
    <w:rsid w:val="0070437A"/>
    <w:rsid w:val="00704E51"/>
    <w:rsid w:val="007065D5"/>
    <w:rsid w:val="00707276"/>
    <w:rsid w:val="00707B5C"/>
    <w:rsid w:val="00710434"/>
    <w:rsid w:val="007104DA"/>
    <w:rsid w:val="0071063B"/>
    <w:rsid w:val="007116AD"/>
    <w:rsid w:val="007125E2"/>
    <w:rsid w:val="00712D47"/>
    <w:rsid w:val="00712EA6"/>
    <w:rsid w:val="00713697"/>
    <w:rsid w:val="00713956"/>
    <w:rsid w:val="007143FA"/>
    <w:rsid w:val="0071461C"/>
    <w:rsid w:val="0071518B"/>
    <w:rsid w:val="00715E10"/>
    <w:rsid w:val="00716695"/>
    <w:rsid w:val="00716A6B"/>
    <w:rsid w:val="00717283"/>
    <w:rsid w:val="00720543"/>
    <w:rsid w:val="00720660"/>
    <w:rsid w:val="007223A7"/>
    <w:rsid w:val="00723110"/>
    <w:rsid w:val="007232C5"/>
    <w:rsid w:val="007238EE"/>
    <w:rsid w:val="00724653"/>
    <w:rsid w:val="007253F8"/>
    <w:rsid w:val="00725679"/>
    <w:rsid w:val="0072580F"/>
    <w:rsid w:val="00725862"/>
    <w:rsid w:val="00726364"/>
    <w:rsid w:val="007268E4"/>
    <w:rsid w:val="00726A32"/>
    <w:rsid w:val="00727813"/>
    <w:rsid w:val="00727839"/>
    <w:rsid w:val="007307F0"/>
    <w:rsid w:val="0073087A"/>
    <w:rsid w:val="00730DA3"/>
    <w:rsid w:val="0073119F"/>
    <w:rsid w:val="00731845"/>
    <w:rsid w:val="00732DDD"/>
    <w:rsid w:val="007335AE"/>
    <w:rsid w:val="00734270"/>
    <w:rsid w:val="007342DE"/>
    <w:rsid w:val="00735057"/>
    <w:rsid w:val="00735E00"/>
    <w:rsid w:val="00736627"/>
    <w:rsid w:val="00737FBB"/>
    <w:rsid w:val="00740035"/>
    <w:rsid w:val="0074023C"/>
    <w:rsid w:val="00742B0B"/>
    <w:rsid w:val="00743005"/>
    <w:rsid w:val="00743C64"/>
    <w:rsid w:val="00744C7F"/>
    <w:rsid w:val="00745254"/>
    <w:rsid w:val="0074589F"/>
    <w:rsid w:val="00747AD5"/>
    <w:rsid w:val="00750576"/>
    <w:rsid w:val="007505A3"/>
    <w:rsid w:val="0075067D"/>
    <w:rsid w:val="00750AE4"/>
    <w:rsid w:val="00751C46"/>
    <w:rsid w:val="00751E2F"/>
    <w:rsid w:val="00752085"/>
    <w:rsid w:val="00752F71"/>
    <w:rsid w:val="0075317D"/>
    <w:rsid w:val="007560D8"/>
    <w:rsid w:val="00756E1F"/>
    <w:rsid w:val="00757512"/>
    <w:rsid w:val="0076077B"/>
    <w:rsid w:val="00762224"/>
    <w:rsid w:val="007627EE"/>
    <w:rsid w:val="00763C7D"/>
    <w:rsid w:val="00763D8A"/>
    <w:rsid w:val="00764885"/>
    <w:rsid w:val="00764952"/>
    <w:rsid w:val="00764BAF"/>
    <w:rsid w:val="0076708D"/>
    <w:rsid w:val="0076760F"/>
    <w:rsid w:val="00770A92"/>
    <w:rsid w:val="00770D44"/>
    <w:rsid w:val="00771519"/>
    <w:rsid w:val="00771549"/>
    <w:rsid w:val="00771B1D"/>
    <w:rsid w:val="00772262"/>
    <w:rsid w:val="0077329D"/>
    <w:rsid w:val="00773ED4"/>
    <w:rsid w:val="007745D2"/>
    <w:rsid w:val="007750CD"/>
    <w:rsid w:val="00775331"/>
    <w:rsid w:val="00775776"/>
    <w:rsid w:val="00776A1B"/>
    <w:rsid w:val="00777C28"/>
    <w:rsid w:val="00777F10"/>
    <w:rsid w:val="00780F39"/>
    <w:rsid w:val="0078294E"/>
    <w:rsid w:val="0078354D"/>
    <w:rsid w:val="00783E91"/>
    <w:rsid w:val="007855CB"/>
    <w:rsid w:val="007862CE"/>
    <w:rsid w:val="00786E68"/>
    <w:rsid w:val="00787066"/>
    <w:rsid w:val="0078710C"/>
    <w:rsid w:val="00790074"/>
    <w:rsid w:val="00790555"/>
    <w:rsid w:val="007906B4"/>
    <w:rsid w:val="00790FDC"/>
    <w:rsid w:val="00791304"/>
    <w:rsid w:val="0079143F"/>
    <w:rsid w:val="00792815"/>
    <w:rsid w:val="007929A4"/>
    <w:rsid w:val="00792C54"/>
    <w:rsid w:val="007932A1"/>
    <w:rsid w:val="007934C0"/>
    <w:rsid w:val="00793DEA"/>
    <w:rsid w:val="0079475D"/>
    <w:rsid w:val="00794A5A"/>
    <w:rsid w:val="00795C69"/>
    <w:rsid w:val="00795FA3"/>
    <w:rsid w:val="00796A73"/>
    <w:rsid w:val="00797558"/>
    <w:rsid w:val="00797D2E"/>
    <w:rsid w:val="00797EAE"/>
    <w:rsid w:val="007A0BE5"/>
    <w:rsid w:val="007A1041"/>
    <w:rsid w:val="007A1E46"/>
    <w:rsid w:val="007A22EB"/>
    <w:rsid w:val="007A4046"/>
    <w:rsid w:val="007A4102"/>
    <w:rsid w:val="007A436E"/>
    <w:rsid w:val="007A574B"/>
    <w:rsid w:val="007A5B69"/>
    <w:rsid w:val="007A5C7F"/>
    <w:rsid w:val="007A6637"/>
    <w:rsid w:val="007A66A6"/>
    <w:rsid w:val="007A77C7"/>
    <w:rsid w:val="007A7FEA"/>
    <w:rsid w:val="007B0AC5"/>
    <w:rsid w:val="007B0F17"/>
    <w:rsid w:val="007B118F"/>
    <w:rsid w:val="007B1BE0"/>
    <w:rsid w:val="007B1CC3"/>
    <w:rsid w:val="007B1E1F"/>
    <w:rsid w:val="007B24D1"/>
    <w:rsid w:val="007B4E23"/>
    <w:rsid w:val="007B5D8E"/>
    <w:rsid w:val="007B6138"/>
    <w:rsid w:val="007B749A"/>
    <w:rsid w:val="007C023E"/>
    <w:rsid w:val="007C0332"/>
    <w:rsid w:val="007C051A"/>
    <w:rsid w:val="007C0C4D"/>
    <w:rsid w:val="007C0F0E"/>
    <w:rsid w:val="007C137B"/>
    <w:rsid w:val="007C1551"/>
    <w:rsid w:val="007C18E3"/>
    <w:rsid w:val="007C2C63"/>
    <w:rsid w:val="007C2FB9"/>
    <w:rsid w:val="007C343E"/>
    <w:rsid w:val="007C36BE"/>
    <w:rsid w:val="007C3961"/>
    <w:rsid w:val="007C4451"/>
    <w:rsid w:val="007C4898"/>
    <w:rsid w:val="007C4EA9"/>
    <w:rsid w:val="007C56F1"/>
    <w:rsid w:val="007C5F17"/>
    <w:rsid w:val="007C68B2"/>
    <w:rsid w:val="007C694F"/>
    <w:rsid w:val="007D08F3"/>
    <w:rsid w:val="007D0CBE"/>
    <w:rsid w:val="007D1013"/>
    <w:rsid w:val="007D1506"/>
    <w:rsid w:val="007D1CF8"/>
    <w:rsid w:val="007D28C7"/>
    <w:rsid w:val="007D2969"/>
    <w:rsid w:val="007D2C15"/>
    <w:rsid w:val="007D365D"/>
    <w:rsid w:val="007D4003"/>
    <w:rsid w:val="007D5FD5"/>
    <w:rsid w:val="007D698D"/>
    <w:rsid w:val="007D6C59"/>
    <w:rsid w:val="007D71A5"/>
    <w:rsid w:val="007D726C"/>
    <w:rsid w:val="007E03BD"/>
    <w:rsid w:val="007E0D0F"/>
    <w:rsid w:val="007E1CAC"/>
    <w:rsid w:val="007E203F"/>
    <w:rsid w:val="007E22DD"/>
    <w:rsid w:val="007E311A"/>
    <w:rsid w:val="007E3ABD"/>
    <w:rsid w:val="007E3E69"/>
    <w:rsid w:val="007E45B7"/>
    <w:rsid w:val="007E4A94"/>
    <w:rsid w:val="007E4BAB"/>
    <w:rsid w:val="007E4D33"/>
    <w:rsid w:val="007E5255"/>
    <w:rsid w:val="007E56B3"/>
    <w:rsid w:val="007E5782"/>
    <w:rsid w:val="007E69A3"/>
    <w:rsid w:val="007E6ECC"/>
    <w:rsid w:val="007E707B"/>
    <w:rsid w:val="007E7850"/>
    <w:rsid w:val="007F014E"/>
    <w:rsid w:val="007F0BA7"/>
    <w:rsid w:val="007F0C45"/>
    <w:rsid w:val="007F13B7"/>
    <w:rsid w:val="007F14AD"/>
    <w:rsid w:val="007F1C01"/>
    <w:rsid w:val="007F25A6"/>
    <w:rsid w:val="007F3ABE"/>
    <w:rsid w:val="007F44CA"/>
    <w:rsid w:val="007F5B1E"/>
    <w:rsid w:val="007F7B50"/>
    <w:rsid w:val="007F7DB1"/>
    <w:rsid w:val="0080010B"/>
    <w:rsid w:val="008001DB"/>
    <w:rsid w:val="00801542"/>
    <w:rsid w:val="00801C99"/>
    <w:rsid w:val="00802CB0"/>
    <w:rsid w:val="00803085"/>
    <w:rsid w:val="008033BA"/>
    <w:rsid w:val="008043B4"/>
    <w:rsid w:val="00805638"/>
    <w:rsid w:val="0080589F"/>
    <w:rsid w:val="0080602E"/>
    <w:rsid w:val="00806E98"/>
    <w:rsid w:val="0080749A"/>
    <w:rsid w:val="00811E94"/>
    <w:rsid w:val="008126B3"/>
    <w:rsid w:val="00812862"/>
    <w:rsid w:val="0081327F"/>
    <w:rsid w:val="0081436E"/>
    <w:rsid w:val="00814541"/>
    <w:rsid w:val="00814948"/>
    <w:rsid w:val="00814CA8"/>
    <w:rsid w:val="00814FAD"/>
    <w:rsid w:val="00815506"/>
    <w:rsid w:val="00815CD9"/>
    <w:rsid w:val="00815F9D"/>
    <w:rsid w:val="0081642C"/>
    <w:rsid w:val="00816893"/>
    <w:rsid w:val="008171D1"/>
    <w:rsid w:val="00817C66"/>
    <w:rsid w:val="008201E0"/>
    <w:rsid w:val="00820AB5"/>
    <w:rsid w:val="008211AD"/>
    <w:rsid w:val="00821670"/>
    <w:rsid w:val="00823D23"/>
    <w:rsid w:val="00823EDB"/>
    <w:rsid w:val="00824703"/>
    <w:rsid w:val="0082479C"/>
    <w:rsid w:val="00824E4E"/>
    <w:rsid w:val="00826050"/>
    <w:rsid w:val="008266F7"/>
    <w:rsid w:val="0082678D"/>
    <w:rsid w:val="00826E71"/>
    <w:rsid w:val="0082723D"/>
    <w:rsid w:val="00827707"/>
    <w:rsid w:val="00830B1F"/>
    <w:rsid w:val="00831325"/>
    <w:rsid w:val="008323A8"/>
    <w:rsid w:val="00834460"/>
    <w:rsid w:val="00834E32"/>
    <w:rsid w:val="0083646A"/>
    <w:rsid w:val="00836481"/>
    <w:rsid w:val="00836CA6"/>
    <w:rsid w:val="0083756E"/>
    <w:rsid w:val="00840205"/>
    <w:rsid w:val="008404F7"/>
    <w:rsid w:val="008408B7"/>
    <w:rsid w:val="00840AF6"/>
    <w:rsid w:val="00842E2A"/>
    <w:rsid w:val="008433E2"/>
    <w:rsid w:val="00843564"/>
    <w:rsid w:val="00843BE9"/>
    <w:rsid w:val="008448EF"/>
    <w:rsid w:val="00844966"/>
    <w:rsid w:val="00844C07"/>
    <w:rsid w:val="00844CDD"/>
    <w:rsid w:val="00844D60"/>
    <w:rsid w:val="0084611B"/>
    <w:rsid w:val="008464C2"/>
    <w:rsid w:val="008466EB"/>
    <w:rsid w:val="00846B46"/>
    <w:rsid w:val="008475EB"/>
    <w:rsid w:val="008478AC"/>
    <w:rsid w:val="0085051D"/>
    <w:rsid w:val="00850C08"/>
    <w:rsid w:val="00850F2F"/>
    <w:rsid w:val="00852E7F"/>
    <w:rsid w:val="008537C9"/>
    <w:rsid w:val="00853939"/>
    <w:rsid w:val="0085409A"/>
    <w:rsid w:val="00854ED8"/>
    <w:rsid w:val="008555C5"/>
    <w:rsid w:val="0085640C"/>
    <w:rsid w:val="0085687F"/>
    <w:rsid w:val="00856D03"/>
    <w:rsid w:val="00856F45"/>
    <w:rsid w:val="00857CF9"/>
    <w:rsid w:val="00860E39"/>
    <w:rsid w:val="00861A5A"/>
    <w:rsid w:val="00861B4E"/>
    <w:rsid w:val="00861ED6"/>
    <w:rsid w:val="00862FE4"/>
    <w:rsid w:val="008631DD"/>
    <w:rsid w:val="00865422"/>
    <w:rsid w:val="00865D69"/>
    <w:rsid w:val="00866C17"/>
    <w:rsid w:val="008709EE"/>
    <w:rsid w:val="00871100"/>
    <w:rsid w:val="008715F2"/>
    <w:rsid w:val="00872851"/>
    <w:rsid w:val="00872C5B"/>
    <w:rsid w:val="00876066"/>
    <w:rsid w:val="0087659C"/>
    <w:rsid w:val="00876713"/>
    <w:rsid w:val="00876F42"/>
    <w:rsid w:val="00877966"/>
    <w:rsid w:val="008807F2"/>
    <w:rsid w:val="0088084D"/>
    <w:rsid w:val="00881E9C"/>
    <w:rsid w:val="008822C4"/>
    <w:rsid w:val="00882538"/>
    <w:rsid w:val="008826A2"/>
    <w:rsid w:val="008826CC"/>
    <w:rsid w:val="008829B9"/>
    <w:rsid w:val="00883393"/>
    <w:rsid w:val="00885767"/>
    <w:rsid w:val="00886AF2"/>
    <w:rsid w:val="008871F5"/>
    <w:rsid w:val="008879CE"/>
    <w:rsid w:val="008906E1"/>
    <w:rsid w:val="0089088E"/>
    <w:rsid w:val="00890E6C"/>
    <w:rsid w:val="008914CC"/>
    <w:rsid w:val="00891908"/>
    <w:rsid w:val="0089372A"/>
    <w:rsid w:val="00893C5F"/>
    <w:rsid w:val="00893D0C"/>
    <w:rsid w:val="0089448F"/>
    <w:rsid w:val="00894516"/>
    <w:rsid w:val="00894A88"/>
    <w:rsid w:val="008957E9"/>
    <w:rsid w:val="008972AD"/>
    <w:rsid w:val="00897441"/>
    <w:rsid w:val="00897BA4"/>
    <w:rsid w:val="008A1C18"/>
    <w:rsid w:val="008A2423"/>
    <w:rsid w:val="008A2FAE"/>
    <w:rsid w:val="008A31D5"/>
    <w:rsid w:val="008A33DA"/>
    <w:rsid w:val="008A44CA"/>
    <w:rsid w:val="008A4758"/>
    <w:rsid w:val="008A5164"/>
    <w:rsid w:val="008A54F2"/>
    <w:rsid w:val="008A5AC3"/>
    <w:rsid w:val="008A602A"/>
    <w:rsid w:val="008A63D5"/>
    <w:rsid w:val="008A6501"/>
    <w:rsid w:val="008A6ADF"/>
    <w:rsid w:val="008A6CF4"/>
    <w:rsid w:val="008A727C"/>
    <w:rsid w:val="008A739B"/>
    <w:rsid w:val="008A7C8D"/>
    <w:rsid w:val="008B01F1"/>
    <w:rsid w:val="008B02AF"/>
    <w:rsid w:val="008B33E6"/>
    <w:rsid w:val="008B41F8"/>
    <w:rsid w:val="008B4801"/>
    <w:rsid w:val="008B5196"/>
    <w:rsid w:val="008B5414"/>
    <w:rsid w:val="008B5430"/>
    <w:rsid w:val="008B5B8E"/>
    <w:rsid w:val="008B5E0B"/>
    <w:rsid w:val="008B78A8"/>
    <w:rsid w:val="008C0B7A"/>
    <w:rsid w:val="008C1C85"/>
    <w:rsid w:val="008C2027"/>
    <w:rsid w:val="008C35B1"/>
    <w:rsid w:val="008C3FF0"/>
    <w:rsid w:val="008C4B53"/>
    <w:rsid w:val="008C5493"/>
    <w:rsid w:val="008C561B"/>
    <w:rsid w:val="008C643A"/>
    <w:rsid w:val="008C6FDD"/>
    <w:rsid w:val="008C76FE"/>
    <w:rsid w:val="008C7B24"/>
    <w:rsid w:val="008C7C7A"/>
    <w:rsid w:val="008D06AB"/>
    <w:rsid w:val="008D0A1A"/>
    <w:rsid w:val="008D1D23"/>
    <w:rsid w:val="008D2717"/>
    <w:rsid w:val="008D2978"/>
    <w:rsid w:val="008D2B17"/>
    <w:rsid w:val="008D2D5E"/>
    <w:rsid w:val="008D2D9D"/>
    <w:rsid w:val="008D34EC"/>
    <w:rsid w:val="008D36F3"/>
    <w:rsid w:val="008D4A13"/>
    <w:rsid w:val="008D4A68"/>
    <w:rsid w:val="008D4DFC"/>
    <w:rsid w:val="008D5118"/>
    <w:rsid w:val="008D5E34"/>
    <w:rsid w:val="008D6809"/>
    <w:rsid w:val="008D7E52"/>
    <w:rsid w:val="008E0091"/>
    <w:rsid w:val="008E0573"/>
    <w:rsid w:val="008E0F58"/>
    <w:rsid w:val="008E149F"/>
    <w:rsid w:val="008E1BE3"/>
    <w:rsid w:val="008E1E7A"/>
    <w:rsid w:val="008E22EE"/>
    <w:rsid w:val="008E34A9"/>
    <w:rsid w:val="008E3763"/>
    <w:rsid w:val="008E41C4"/>
    <w:rsid w:val="008E4F69"/>
    <w:rsid w:val="008E5A02"/>
    <w:rsid w:val="008E6DFB"/>
    <w:rsid w:val="008E6F06"/>
    <w:rsid w:val="008E7503"/>
    <w:rsid w:val="008E7C1E"/>
    <w:rsid w:val="008F1AD0"/>
    <w:rsid w:val="008F1F02"/>
    <w:rsid w:val="008F2121"/>
    <w:rsid w:val="008F26FD"/>
    <w:rsid w:val="008F354F"/>
    <w:rsid w:val="008F39A4"/>
    <w:rsid w:val="008F3E81"/>
    <w:rsid w:val="008F4B92"/>
    <w:rsid w:val="008F5C4E"/>
    <w:rsid w:val="008F5EEE"/>
    <w:rsid w:val="008F7C8C"/>
    <w:rsid w:val="009008EF"/>
    <w:rsid w:val="00901550"/>
    <w:rsid w:val="009015CB"/>
    <w:rsid w:val="00902457"/>
    <w:rsid w:val="00902D7C"/>
    <w:rsid w:val="00903326"/>
    <w:rsid w:val="0090380B"/>
    <w:rsid w:val="00903CD2"/>
    <w:rsid w:val="00904BA7"/>
    <w:rsid w:val="009059EF"/>
    <w:rsid w:val="009061FD"/>
    <w:rsid w:val="00906ECF"/>
    <w:rsid w:val="00906F80"/>
    <w:rsid w:val="00907948"/>
    <w:rsid w:val="00907C7E"/>
    <w:rsid w:val="00911E7F"/>
    <w:rsid w:val="009120A1"/>
    <w:rsid w:val="009131BE"/>
    <w:rsid w:val="00913D1E"/>
    <w:rsid w:val="0091414E"/>
    <w:rsid w:val="00914625"/>
    <w:rsid w:val="00914F7F"/>
    <w:rsid w:val="0091513A"/>
    <w:rsid w:val="0091539E"/>
    <w:rsid w:val="00916238"/>
    <w:rsid w:val="00916604"/>
    <w:rsid w:val="00916836"/>
    <w:rsid w:val="00917BF2"/>
    <w:rsid w:val="00920628"/>
    <w:rsid w:val="0092111D"/>
    <w:rsid w:val="009219DB"/>
    <w:rsid w:val="00921A44"/>
    <w:rsid w:val="00921C0A"/>
    <w:rsid w:val="009223E0"/>
    <w:rsid w:val="00922D5E"/>
    <w:rsid w:val="00923459"/>
    <w:rsid w:val="009248A4"/>
    <w:rsid w:val="00924DCB"/>
    <w:rsid w:val="00925014"/>
    <w:rsid w:val="00925367"/>
    <w:rsid w:val="00925761"/>
    <w:rsid w:val="0092580D"/>
    <w:rsid w:val="009260BE"/>
    <w:rsid w:val="0092623E"/>
    <w:rsid w:val="00926B2B"/>
    <w:rsid w:val="00926FDB"/>
    <w:rsid w:val="009273C4"/>
    <w:rsid w:val="0093017A"/>
    <w:rsid w:val="0093030C"/>
    <w:rsid w:val="0093042B"/>
    <w:rsid w:val="009307A3"/>
    <w:rsid w:val="009313C7"/>
    <w:rsid w:val="0093185E"/>
    <w:rsid w:val="0093303E"/>
    <w:rsid w:val="00933FB2"/>
    <w:rsid w:val="009343AF"/>
    <w:rsid w:val="00934D6E"/>
    <w:rsid w:val="0093509C"/>
    <w:rsid w:val="00935AA7"/>
    <w:rsid w:val="00936808"/>
    <w:rsid w:val="00936A78"/>
    <w:rsid w:val="00936C58"/>
    <w:rsid w:val="00937560"/>
    <w:rsid w:val="00937636"/>
    <w:rsid w:val="0093787B"/>
    <w:rsid w:val="00937BD9"/>
    <w:rsid w:val="0094120F"/>
    <w:rsid w:val="00941491"/>
    <w:rsid w:val="00941AE3"/>
    <w:rsid w:val="00941CC6"/>
    <w:rsid w:val="00942197"/>
    <w:rsid w:val="009426C3"/>
    <w:rsid w:val="009427AF"/>
    <w:rsid w:val="0094348C"/>
    <w:rsid w:val="0094375A"/>
    <w:rsid w:val="00943AC0"/>
    <w:rsid w:val="00945D20"/>
    <w:rsid w:val="00946EB1"/>
    <w:rsid w:val="00947882"/>
    <w:rsid w:val="00947F6B"/>
    <w:rsid w:val="00950FF7"/>
    <w:rsid w:val="009517E2"/>
    <w:rsid w:val="009524AB"/>
    <w:rsid w:val="009524AE"/>
    <w:rsid w:val="0095273F"/>
    <w:rsid w:val="00952FCB"/>
    <w:rsid w:val="00953B3E"/>
    <w:rsid w:val="0095482C"/>
    <w:rsid w:val="00954D58"/>
    <w:rsid w:val="00954EF6"/>
    <w:rsid w:val="00955011"/>
    <w:rsid w:val="00955CD5"/>
    <w:rsid w:val="00956231"/>
    <w:rsid w:val="00956341"/>
    <w:rsid w:val="009563AD"/>
    <w:rsid w:val="009565F7"/>
    <w:rsid w:val="00956EC5"/>
    <w:rsid w:val="0095735A"/>
    <w:rsid w:val="00957CF2"/>
    <w:rsid w:val="00960ECC"/>
    <w:rsid w:val="00961156"/>
    <w:rsid w:val="009625DE"/>
    <w:rsid w:val="00962CFF"/>
    <w:rsid w:val="009636B9"/>
    <w:rsid w:val="00965ED0"/>
    <w:rsid w:val="009664C1"/>
    <w:rsid w:val="009664D7"/>
    <w:rsid w:val="00970123"/>
    <w:rsid w:val="009706B9"/>
    <w:rsid w:val="009709A0"/>
    <w:rsid w:val="009714DE"/>
    <w:rsid w:val="00972484"/>
    <w:rsid w:val="00972D98"/>
    <w:rsid w:val="009738C2"/>
    <w:rsid w:val="009745AB"/>
    <w:rsid w:val="0097514A"/>
    <w:rsid w:val="009756F2"/>
    <w:rsid w:val="00975EF1"/>
    <w:rsid w:val="009768CC"/>
    <w:rsid w:val="00976F50"/>
    <w:rsid w:val="0097759D"/>
    <w:rsid w:val="0098194C"/>
    <w:rsid w:val="00982822"/>
    <w:rsid w:val="00982A3E"/>
    <w:rsid w:val="009831E8"/>
    <w:rsid w:val="009833BC"/>
    <w:rsid w:val="00984091"/>
    <w:rsid w:val="00985216"/>
    <w:rsid w:val="0098548A"/>
    <w:rsid w:val="00985DE0"/>
    <w:rsid w:val="009869DC"/>
    <w:rsid w:val="00986C4A"/>
    <w:rsid w:val="00986CFE"/>
    <w:rsid w:val="00986F9B"/>
    <w:rsid w:val="0098793D"/>
    <w:rsid w:val="00987C9F"/>
    <w:rsid w:val="00990102"/>
    <w:rsid w:val="00990119"/>
    <w:rsid w:val="009901FE"/>
    <w:rsid w:val="009907B7"/>
    <w:rsid w:val="00990C51"/>
    <w:rsid w:val="00991227"/>
    <w:rsid w:val="00992AFE"/>
    <w:rsid w:val="00992E92"/>
    <w:rsid w:val="009932F3"/>
    <w:rsid w:val="00993543"/>
    <w:rsid w:val="00993FC5"/>
    <w:rsid w:val="009947EF"/>
    <w:rsid w:val="0099511B"/>
    <w:rsid w:val="00995647"/>
    <w:rsid w:val="00995DC6"/>
    <w:rsid w:val="009973A1"/>
    <w:rsid w:val="009979C9"/>
    <w:rsid w:val="00997A49"/>
    <w:rsid w:val="009A06B6"/>
    <w:rsid w:val="009A0766"/>
    <w:rsid w:val="009A108F"/>
    <w:rsid w:val="009A1B2B"/>
    <w:rsid w:val="009A2853"/>
    <w:rsid w:val="009A2870"/>
    <w:rsid w:val="009A28A1"/>
    <w:rsid w:val="009A28B1"/>
    <w:rsid w:val="009A30C3"/>
    <w:rsid w:val="009A3AB4"/>
    <w:rsid w:val="009A4AFC"/>
    <w:rsid w:val="009A4E84"/>
    <w:rsid w:val="009A507D"/>
    <w:rsid w:val="009A547B"/>
    <w:rsid w:val="009A5F4E"/>
    <w:rsid w:val="009A6EF6"/>
    <w:rsid w:val="009A7DCE"/>
    <w:rsid w:val="009B13D0"/>
    <w:rsid w:val="009B213F"/>
    <w:rsid w:val="009B3718"/>
    <w:rsid w:val="009B37FA"/>
    <w:rsid w:val="009B436E"/>
    <w:rsid w:val="009B45D0"/>
    <w:rsid w:val="009B64A7"/>
    <w:rsid w:val="009B68C5"/>
    <w:rsid w:val="009B719B"/>
    <w:rsid w:val="009B722F"/>
    <w:rsid w:val="009B7A66"/>
    <w:rsid w:val="009B7ED7"/>
    <w:rsid w:val="009C04A0"/>
    <w:rsid w:val="009C066C"/>
    <w:rsid w:val="009C06A6"/>
    <w:rsid w:val="009C1034"/>
    <w:rsid w:val="009C1823"/>
    <w:rsid w:val="009C1B55"/>
    <w:rsid w:val="009C20D2"/>
    <w:rsid w:val="009C2306"/>
    <w:rsid w:val="009C29D1"/>
    <w:rsid w:val="009C29F0"/>
    <w:rsid w:val="009C2AF5"/>
    <w:rsid w:val="009C2E0B"/>
    <w:rsid w:val="009C33C3"/>
    <w:rsid w:val="009C3979"/>
    <w:rsid w:val="009C44E7"/>
    <w:rsid w:val="009C468A"/>
    <w:rsid w:val="009C4A02"/>
    <w:rsid w:val="009C4A08"/>
    <w:rsid w:val="009C4AB1"/>
    <w:rsid w:val="009C59FC"/>
    <w:rsid w:val="009C6CA3"/>
    <w:rsid w:val="009C6DAB"/>
    <w:rsid w:val="009C76F9"/>
    <w:rsid w:val="009D049F"/>
    <w:rsid w:val="009D1BC5"/>
    <w:rsid w:val="009D1FC0"/>
    <w:rsid w:val="009D22D0"/>
    <w:rsid w:val="009D4455"/>
    <w:rsid w:val="009D4663"/>
    <w:rsid w:val="009D519D"/>
    <w:rsid w:val="009D5F0C"/>
    <w:rsid w:val="009D6B6B"/>
    <w:rsid w:val="009D71C8"/>
    <w:rsid w:val="009D78A9"/>
    <w:rsid w:val="009D78C3"/>
    <w:rsid w:val="009E118E"/>
    <w:rsid w:val="009E1A5B"/>
    <w:rsid w:val="009E2564"/>
    <w:rsid w:val="009E5119"/>
    <w:rsid w:val="009E6375"/>
    <w:rsid w:val="009F0AA7"/>
    <w:rsid w:val="009F1363"/>
    <w:rsid w:val="009F1AEE"/>
    <w:rsid w:val="009F1E32"/>
    <w:rsid w:val="009F2C9A"/>
    <w:rsid w:val="009F37BB"/>
    <w:rsid w:val="009F5924"/>
    <w:rsid w:val="009F5D4D"/>
    <w:rsid w:val="009F6013"/>
    <w:rsid w:val="009F636F"/>
    <w:rsid w:val="009F66BD"/>
    <w:rsid w:val="009F7DDA"/>
    <w:rsid w:val="00A0001F"/>
    <w:rsid w:val="00A0034F"/>
    <w:rsid w:val="00A019BE"/>
    <w:rsid w:val="00A019CA"/>
    <w:rsid w:val="00A03239"/>
    <w:rsid w:val="00A03B7F"/>
    <w:rsid w:val="00A03D30"/>
    <w:rsid w:val="00A04160"/>
    <w:rsid w:val="00A048F5"/>
    <w:rsid w:val="00A04DF4"/>
    <w:rsid w:val="00A04F24"/>
    <w:rsid w:val="00A0555D"/>
    <w:rsid w:val="00A07316"/>
    <w:rsid w:val="00A0783F"/>
    <w:rsid w:val="00A07D6E"/>
    <w:rsid w:val="00A10459"/>
    <w:rsid w:val="00A1067D"/>
    <w:rsid w:val="00A111CF"/>
    <w:rsid w:val="00A117D0"/>
    <w:rsid w:val="00A11CEC"/>
    <w:rsid w:val="00A133C3"/>
    <w:rsid w:val="00A1363F"/>
    <w:rsid w:val="00A13E75"/>
    <w:rsid w:val="00A14242"/>
    <w:rsid w:val="00A14530"/>
    <w:rsid w:val="00A14A65"/>
    <w:rsid w:val="00A1527C"/>
    <w:rsid w:val="00A15299"/>
    <w:rsid w:val="00A1550F"/>
    <w:rsid w:val="00A205F3"/>
    <w:rsid w:val="00A21537"/>
    <w:rsid w:val="00A219BD"/>
    <w:rsid w:val="00A21AD7"/>
    <w:rsid w:val="00A22157"/>
    <w:rsid w:val="00A2315B"/>
    <w:rsid w:val="00A238B2"/>
    <w:rsid w:val="00A2449F"/>
    <w:rsid w:val="00A24659"/>
    <w:rsid w:val="00A24712"/>
    <w:rsid w:val="00A24B3C"/>
    <w:rsid w:val="00A2577E"/>
    <w:rsid w:val="00A26BE0"/>
    <w:rsid w:val="00A302E0"/>
    <w:rsid w:val="00A303C5"/>
    <w:rsid w:val="00A30824"/>
    <w:rsid w:val="00A3097A"/>
    <w:rsid w:val="00A30BC6"/>
    <w:rsid w:val="00A31EDA"/>
    <w:rsid w:val="00A32276"/>
    <w:rsid w:val="00A3331B"/>
    <w:rsid w:val="00A34BFC"/>
    <w:rsid w:val="00A355D1"/>
    <w:rsid w:val="00A35CBE"/>
    <w:rsid w:val="00A36B44"/>
    <w:rsid w:val="00A3730E"/>
    <w:rsid w:val="00A378AE"/>
    <w:rsid w:val="00A37D73"/>
    <w:rsid w:val="00A40CC1"/>
    <w:rsid w:val="00A40D10"/>
    <w:rsid w:val="00A411BF"/>
    <w:rsid w:val="00A41AB8"/>
    <w:rsid w:val="00A43282"/>
    <w:rsid w:val="00A449E8"/>
    <w:rsid w:val="00A45884"/>
    <w:rsid w:val="00A46555"/>
    <w:rsid w:val="00A501F3"/>
    <w:rsid w:val="00A511FE"/>
    <w:rsid w:val="00A5189F"/>
    <w:rsid w:val="00A51A3C"/>
    <w:rsid w:val="00A528C7"/>
    <w:rsid w:val="00A52F24"/>
    <w:rsid w:val="00A5301D"/>
    <w:rsid w:val="00A53C69"/>
    <w:rsid w:val="00A5454B"/>
    <w:rsid w:val="00A54A19"/>
    <w:rsid w:val="00A54A47"/>
    <w:rsid w:val="00A54CF6"/>
    <w:rsid w:val="00A56615"/>
    <w:rsid w:val="00A57EF4"/>
    <w:rsid w:val="00A60083"/>
    <w:rsid w:val="00A60087"/>
    <w:rsid w:val="00A60365"/>
    <w:rsid w:val="00A603CB"/>
    <w:rsid w:val="00A604E6"/>
    <w:rsid w:val="00A60766"/>
    <w:rsid w:val="00A61528"/>
    <w:rsid w:val="00A6165D"/>
    <w:rsid w:val="00A61AA9"/>
    <w:rsid w:val="00A61C3A"/>
    <w:rsid w:val="00A61C5A"/>
    <w:rsid w:val="00A61DDA"/>
    <w:rsid w:val="00A626AC"/>
    <w:rsid w:val="00A62AC5"/>
    <w:rsid w:val="00A63277"/>
    <w:rsid w:val="00A639B4"/>
    <w:rsid w:val="00A63E6E"/>
    <w:rsid w:val="00A65A8F"/>
    <w:rsid w:val="00A65C9C"/>
    <w:rsid w:val="00A65CC4"/>
    <w:rsid w:val="00A6665A"/>
    <w:rsid w:val="00A67A7F"/>
    <w:rsid w:val="00A706D6"/>
    <w:rsid w:val="00A709AF"/>
    <w:rsid w:val="00A70BCA"/>
    <w:rsid w:val="00A710A2"/>
    <w:rsid w:val="00A71668"/>
    <w:rsid w:val="00A71CDD"/>
    <w:rsid w:val="00A7262B"/>
    <w:rsid w:val="00A72D04"/>
    <w:rsid w:val="00A72DCB"/>
    <w:rsid w:val="00A72F98"/>
    <w:rsid w:val="00A764C9"/>
    <w:rsid w:val="00A7708C"/>
    <w:rsid w:val="00A778A9"/>
    <w:rsid w:val="00A77A57"/>
    <w:rsid w:val="00A77A6A"/>
    <w:rsid w:val="00A77F9D"/>
    <w:rsid w:val="00A802D7"/>
    <w:rsid w:val="00A80730"/>
    <w:rsid w:val="00A8220A"/>
    <w:rsid w:val="00A82DB7"/>
    <w:rsid w:val="00A849C7"/>
    <w:rsid w:val="00A85855"/>
    <w:rsid w:val="00A85885"/>
    <w:rsid w:val="00A85F10"/>
    <w:rsid w:val="00A8685A"/>
    <w:rsid w:val="00A901B3"/>
    <w:rsid w:val="00A90714"/>
    <w:rsid w:val="00A90888"/>
    <w:rsid w:val="00A9178B"/>
    <w:rsid w:val="00A91E19"/>
    <w:rsid w:val="00A922D0"/>
    <w:rsid w:val="00A925C1"/>
    <w:rsid w:val="00A93AEB"/>
    <w:rsid w:val="00A94146"/>
    <w:rsid w:val="00A94281"/>
    <w:rsid w:val="00A94BA2"/>
    <w:rsid w:val="00A94CC8"/>
    <w:rsid w:val="00A94D8F"/>
    <w:rsid w:val="00A95D9F"/>
    <w:rsid w:val="00A96614"/>
    <w:rsid w:val="00A968DF"/>
    <w:rsid w:val="00AA0090"/>
    <w:rsid w:val="00AA0505"/>
    <w:rsid w:val="00AA0855"/>
    <w:rsid w:val="00AA3464"/>
    <w:rsid w:val="00AA34ED"/>
    <w:rsid w:val="00AA4DAE"/>
    <w:rsid w:val="00AA6649"/>
    <w:rsid w:val="00AA7D6E"/>
    <w:rsid w:val="00AA7F72"/>
    <w:rsid w:val="00AB17CF"/>
    <w:rsid w:val="00AB1A86"/>
    <w:rsid w:val="00AB1AE2"/>
    <w:rsid w:val="00AB28BF"/>
    <w:rsid w:val="00AB29CB"/>
    <w:rsid w:val="00AB3137"/>
    <w:rsid w:val="00AB3D45"/>
    <w:rsid w:val="00AB4390"/>
    <w:rsid w:val="00AB4DD8"/>
    <w:rsid w:val="00AB54EC"/>
    <w:rsid w:val="00AB6488"/>
    <w:rsid w:val="00AB6AE4"/>
    <w:rsid w:val="00AB6D97"/>
    <w:rsid w:val="00AB7366"/>
    <w:rsid w:val="00AB74EC"/>
    <w:rsid w:val="00AB7684"/>
    <w:rsid w:val="00AB7AA6"/>
    <w:rsid w:val="00AB7C13"/>
    <w:rsid w:val="00AC02DD"/>
    <w:rsid w:val="00AC072B"/>
    <w:rsid w:val="00AC0B76"/>
    <w:rsid w:val="00AC0C9A"/>
    <w:rsid w:val="00AC0D13"/>
    <w:rsid w:val="00AC0EF5"/>
    <w:rsid w:val="00AC1017"/>
    <w:rsid w:val="00AC1081"/>
    <w:rsid w:val="00AC148D"/>
    <w:rsid w:val="00AC3CC2"/>
    <w:rsid w:val="00AC3E65"/>
    <w:rsid w:val="00AC466B"/>
    <w:rsid w:val="00AC6BDC"/>
    <w:rsid w:val="00AC792C"/>
    <w:rsid w:val="00AC7B74"/>
    <w:rsid w:val="00AD0539"/>
    <w:rsid w:val="00AD0CF7"/>
    <w:rsid w:val="00AD1D73"/>
    <w:rsid w:val="00AD2875"/>
    <w:rsid w:val="00AD309D"/>
    <w:rsid w:val="00AD32FE"/>
    <w:rsid w:val="00AD3B93"/>
    <w:rsid w:val="00AD4EC5"/>
    <w:rsid w:val="00AD4FC8"/>
    <w:rsid w:val="00AD5946"/>
    <w:rsid w:val="00AD65A2"/>
    <w:rsid w:val="00AD6C7A"/>
    <w:rsid w:val="00AD6F22"/>
    <w:rsid w:val="00AD7555"/>
    <w:rsid w:val="00AD7614"/>
    <w:rsid w:val="00AE0FD2"/>
    <w:rsid w:val="00AE1E75"/>
    <w:rsid w:val="00AE2E67"/>
    <w:rsid w:val="00AE3C21"/>
    <w:rsid w:val="00AE3ECE"/>
    <w:rsid w:val="00AE484E"/>
    <w:rsid w:val="00AE4A0E"/>
    <w:rsid w:val="00AE5875"/>
    <w:rsid w:val="00AE5C1C"/>
    <w:rsid w:val="00AE5E47"/>
    <w:rsid w:val="00AE683B"/>
    <w:rsid w:val="00AE6B31"/>
    <w:rsid w:val="00AE7228"/>
    <w:rsid w:val="00AF1D10"/>
    <w:rsid w:val="00AF1D85"/>
    <w:rsid w:val="00AF3514"/>
    <w:rsid w:val="00AF392A"/>
    <w:rsid w:val="00AF5A5A"/>
    <w:rsid w:val="00AF5DA3"/>
    <w:rsid w:val="00AF6892"/>
    <w:rsid w:val="00AF7409"/>
    <w:rsid w:val="00B00B3C"/>
    <w:rsid w:val="00B00EA8"/>
    <w:rsid w:val="00B00ECB"/>
    <w:rsid w:val="00B02CC6"/>
    <w:rsid w:val="00B02F9A"/>
    <w:rsid w:val="00B0371B"/>
    <w:rsid w:val="00B0467F"/>
    <w:rsid w:val="00B05011"/>
    <w:rsid w:val="00B05D8F"/>
    <w:rsid w:val="00B0600C"/>
    <w:rsid w:val="00B068D9"/>
    <w:rsid w:val="00B06EB1"/>
    <w:rsid w:val="00B07524"/>
    <w:rsid w:val="00B10120"/>
    <w:rsid w:val="00B1044F"/>
    <w:rsid w:val="00B10924"/>
    <w:rsid w:val="00B10F3E"/>
    <w:rsid w:val="00B11A21"/>
    <w:rsid w:val="00B11D8F"/>
    <w:rsid w:val="00B12E37"/>
    <w:rsid w:val="00B1375D"/>
    <w:rsid w:val="00B13D5B"/>
    <w:rsid w:val="00B14EBF"/>
    <w:rsid w:val="00B16E7E"/>
    <w:rsid w:val="00B171DC"/>
    <w:rsid w:val="00B1721B"/>
    <w:rsid w:val="00B174D4"/>
    <w:rsid w:val="00B175F2"/>
    <w:rsid w:val="00B2046C"/>
    <w:rsid w:val="00B20B49"/>
    <w:rsid w:val="00B20E16"/>
    <w:rsid w:val="00B21647"/>
    <w:rsid w:val="00B21754"/>
    <w:rsid w:val="00B22382"/>
    <w:rsid w:val="00B2318A"/>
    <w:rsid w:val="00B23321"/>
    <w:rsid w:val="00B23741"/>
    <w:rsid w:val="00B23EBA"/>
    <w:rsid w:val="00B240DF"/>
    <w:rsid w:val="00B24CD7"/>
    <w:rsid w:val="00B25580"/>
    <w:rsid w:val="00B26333"/>
    <w:rsid w:val="00B2692B"/>
    <w:rsid w:val="00B27273"/>
    <w:rsid w:val="00B30128"/>
    <w:rsid w:val="00B30486"/>
    <w:rsid w:val="00B3167F"/>
    <w:rsid w:val="00B31AAE"/>
    <w:rsid w:val="00B323B6"/>
    <w:rsid w:val="00B324CE"/>
    <w:rsid w:val="00B328F9"/>
    <w:rsid w:val="00B335DD"/>
    <w:rsid w:val="00B337F1"/>
    <w:rsid w:val="00B33FF8"/>
    <w:rsid w:val="00B34B40"/>
    <w:rsid w:val="00B3501C"/>
    <w:rsid w:val="00B3508B"/>
    <w:rsid w:val="00B36A30"/>
    <w:rsid w:val="00B36A7C"/>
    <w:rsid w:val="00B36D79"/>
    <w:rsid w:val="00B40189"/>
    <w:rsid w:val="00B40B69"/>
    <w:rsid w:val="00B41406"/>
    <w:rsid w:val="00B414CB"/>
    <w:rsid w:val="00B4151F"/>
    <w:rsid w:val="00B41AE8"/>
    <w:rsid w:val="00B42D8B"/>
    <w:rsid w:val="00B43A53"/>
    <w:rsid w:val="00B44778"/>
    <w:rsid w:val="00B447C7"/>
    <w:rsid w:val="00B448FD"/>
    <w:rsid w:val="00B4657A"/>
    <w:rsid w:val="00B47E41"/>
    <w:rsid w:val="00B5018E"/>
    <w:rsid w:val="00B50265"/>
    <w:rsid w:val="00B50585"/>
    <w:rsid w:val="00B52868"/>
    <w:rsid w:val="00B52E31"/>
    <w:rsid w:val="00B530B5"/>
    <w:rsid w:val="00B5360A"/>
    <w:rsid w:val="00B544C4"/>
    <w:rsid w:val="00B54D1B"/>
    <w:rsid w:val="00B55A86"/>
    <w:rsid w:val="00B55CAB"/>
    <w:rsid w:val="00B56348"/>
    <w:rsid w:val="00B5683F"/>
    <w:rsid w:val="00B57E2D"/>
    <w:rsid w:val="00B60138"/>
    <w:rsid w:val="00B60E4D"/>
    <w:rsid w:val="00B62C32"/>
    <w:rsid w:val="00B633CE"/>
    <w:rsid w:val="00B63B2F"/>
    <w:rsid w:val="00B63F34"/>
    <w:rsid w:val="00B642B7"/>
    <w:rsid w:val="00B6430A"/>
    <w:rsid w:val="00B64FCA"/>
    <w:rsid w:val="00B65620"/>
    <w:rsid w:val="00B65A56"/>
    <w:rsid w:val="00B663D4"/>
    <w:rsid w:val="00B669B9"/>
    <w:rsid w:val="00B67426"/>
    <w:rsid w:val="00B67545"/>
    <w:rsid w:val="00B70FDD"/>
    <w:rsid w:val="00B714BE"/>
    <w:rsid w:val="00B72B21"/>
    <w:rsid w:val="00B73764"/>
    <w:rsid w:val="00B73C9E"/>
    <w:rsid w:val="00B74BB1"/>
    <w:rsid w:val="00B75228"/>
    <w:rsid w:val="00B754BB"/>
    <w:rsid w:val="00B75543"/>
    <w:rsid w:val="00B761C2"/>
    <w:rsid w:val="00B76BCA"/>
    <w:rsid w:val="00B777A0"/>
    <w:rsid w:val="00B77B30"/>
    <w:rsid w:val="00B80182"/>
    <w:rsid w:val="00B8094D"/>
    <w:rsid w:val="00B822DB"/>
    <w:rsid w:val="00B8241C"/>
    <w:rsid w:val="00B82539"/>
    <w:rsid w:val="00B825FE"/>
    <w:rsid w:val="00B8263B"/>
    <w:rsid w:val="00B84309"/>
    <w:rsid w:val="00B8438E"/>
    <w:rsid w:val="00B84CFC"/>
    <w:rsid w:val="00B85125"/>
    <w:rsid w:val="00B8517A"/>
    <w:rsid w:val="00B85F9C"/>
    <w:rsid w:val="00B86FC0"/>
    <w:rsid w:val="00B87035"/>
    <w:rsid w:val="00B87329"/>
    <w:rsid w:val="00B90C49"/>
    <w:rsid w:val="00B90CFD"/>
    <w:rsid w:val="00B910BF"/>
    <w:rsid w:val="00B922F7"/>
    <w:rsid w:val="00B92642"/>
    <w:rsid w:val="00B92B14"/>
    <w:rsid w:val="00B934FE"/>
    <w:rsid w:val="00B935BE"/>
    <w:rsid w:val="00B936D6"/>
    <w:rsid w:val="00B94A24"/>
    <w:rsid w:val="00B94BA4"/>
    <w:rsid w:val="00B967FF"/>
    <w:rsid w:val="00B97A39"/>
    <w:rsid w:val="00BA1D12"/>
    <w:rsid w:val="00BA1DEE"/>
    <w:rsid w:val="00BA281B"/>
    <w:rsid w:val="00BA29FA"/>
    <w:rsid w:val="00BA2FA6"/>
    <w:rsid w:val="00BA419C"/>
    <w:rsid w:val="00BA4D53"/>
    <w:rsid w:val="00BA4D88"/>
    <w:rsid w:val="00BA5547"/>
    <w:rsid w:val="00BA56FB"/>
    <w:rsid w:val="00BA5727"/>
    <w:rsid w:val="00BB034D"/>
    <w:rsid w:val="00BB12F4"/>
    <w:rsid w:val="00BB1EB2"/>
    <w:rsid w:val="00BB2D4B"/>
    <w:rsid w:val="00BB4564"/>
    <w:rsid w:val="00BB4BD5"/>
    <w:rsid w:val="00BB4CC9"/>
    <w:rsid w:val="00BB561E"/>
    <w:rsid w:val="00BB5724"/>
    <w:rsid w:val="00BB5913"/>
    <w:rsid w:val="00BB59EE"/>
    <w:rsid w:val="00BB5F25"/>
    <w:rsid w:val="00BB627D"/>
    <w:rsid w:val="00BB62A1"/>
    <w:rsid w:val="00BB6B45"/>
    <w:rsid w:val="00BB6E86"/>
    <w:rsid w:val="00BB72EF"/>
    <w:rsid w:val="00BC06AC"/>
    <w:rsid w:val="00BC06BA"/>
    <w:rsid w:val="00BC16A9"/>
    <w:rsid w:val="00BC19B0"/>
    <w:rsid w:val="00BC1CF9"/>
    <w:rsid w:val="00BC3146"/>
    <w:rsid w:val="00BC3C72"/>
    <w:rsid w:val="00BC3F26"/>
    <w:rsid w:val="00BC4103"/>
    <w:rsid w:val="00BC4148"/>
    <w:rsid w:val="00BC44D6"/>
    <w:rsid w:val="00BC5F13"/>
    <w:rsid w:val="00BC5F71"/>
    <w:rsid w:val="00BC6443"/>
    <w:rsid w:val="00BC665C"/>
    <w:rsid w:val="00BC68D1"/>
    <w:rsid w:val="00BC77EC"/>
    <w:rsid w:val="00BC7B01"/>
    <w:rsid w:val="00BC7D57"/>
    <w:rsid w:val="00BD034E"/>
    <w:rsid w:val="00BD1673"/>
    <w:rsid w:val="00BD25C7"/>
    <w:rsid w:val="00BD2A56"/>
    <w:rsid w:val="00BD310B"/>
    <w:rsid w:val="00BD371D"/>
    <w:rsid w:val="00BD45C0"/>
    <w:rsid w:val="00BD4AD0"/>
    <w:rsid w:val="00BD5465"/>
    <w:rsid w:val="00BD5689"/>
    <w:rsid w:val="00BD5B40"/>
    <w:rsid w:val="00BD5C0E"/>
    <w:rsid w:val="00BD5F78"/>
    <w:rsid w:val="00BD6012"/>
    <w:rsid w:val="00BD75B4"/>
    <w:rsid w:val="00BD7616"/>
    <w:rsid w:val="00BD7C91"/>
    <w:rsid w:val="00BE0A6F"/>
    <w:rsid w:val="00BE0E3F"/>
    <w:rsid w:val="00BE0E41"/>
    <w:rsid w:val="00BE1887"/>
    <w:rsid w:val="00BE2CE5"/>
    <w:rsid w:val="00BE2E8F"/>
    <w:rsid w:val="00BE2FDA"/>
    <w:rsid w:val="00BE3075"/>
    <w:rsid w:val="00BE337B"/>
    <w:rsid w:val="00BE5381"/>
    <w:rsid w:val="00BE5954"/>
    <w:rsid w:val="00BE6F9E"/>
    <w:rsid w:val="00BF0695"/>
    <w:rsid w:val="00BF0CD1"/>
    <w:rsid w:val="00BF152B"/>
    <w:rsid w:val="00BF1D91"/>
    <w:rsid w:val="00BF249F"/>
    <w:rsid w:val="00BF36E6"/>
    <w:rsid w:val="00BF3AC6"/>
    <w:rsid w:val="00BF4666"/>
    <w:rsid w:val="00BF48A3"/>
    <w:rsid w:val="00BF511A"/>
    <w:rsid w:val="00BF6E08"/>
    <w:rsid w:val="00BF7211"/>
    <w:rsid w:val="00BF78D7"/>
    <w:rsid w:val="00BF7C91"/>
    <w:rsid w:val="00C00020"/>
    <w:rsid w:val="00C014BB"/>
    <w:rsid w:val="00C02593"/>
    <w:rsid w:val="00C0370E"/>
    <w:rsid w:val="00C03764"/>
    <w:rsid w:val="00C03E48"/>
    <w:rsid w:val="00C042EA"/>
    <w:rsid w:val="00C04570"/>
    <w:rsid w:val="00C04A55"/>
    <w:rsid w:val="00C04BD9"/>
    <w:rsid w:val="00C050D8"/>
    <w:rsid w:val="00C0585A"/>
    <w:rsid w:val="00C0598C"/>
    <w:rsid w:val="00C06464"/>
    <w:rsid w:val="00C06C08"/>
    <w:rsid w:val="00C07C06"/>
    <w:rsid w:val="00C10D35"/>
    <w:rsid w:val="00C10F0E"/>
    <w:rsid w:val="00C11551"/>
    <w:rsid w:val="00C11978"/>
    <w:rsid w:val="00C12EF1"/>
    <w:rsid w:val="00C13A30"/>
    <w:rsid w:val="00C13DB3"/>
    <w:rsid w:val="00C13FA7"/>
    <w:rsid w:val="00C14B20"/>
    <w:rsid w:val="00C15015"/>
    <w:rsid w:val="00C15797"/>
    <w:rsid w:val="00C158E0"/>
    <w:rsid w:val="00C1601E"/>
    <w:rsid w:val="00C16EE1"/>
    <w:rsid w:val="00C17E9B"/>
    <w:rsid w:val="00C206CE"/>
    <w:rsid w:val="00C2194C"/>
    <w:rsid w:val="00C21BE8"/>
    <w:rsid w:val="00C220CC"/>
    <w:rsid w:val="00C2294E"/>
    <w:rsid w:val="00C22D30"/>
    <w:rsid w:val="00C23409"/>
    <w:rsid w:val="00C25845"/>
    <w:rsid w:val="00C25888"/>
    <w:rsid w:val="00C25F5C"/>
    <w:rsid w:val="00C2685F"/>
    <w:rsid w:val="00C27A5E"/>
    <w:rsid w:val="00C3006B"/>
    <w:rsid w:val="00C307B1"/>
    <w:rsid w:val="00C30BB5"/>
    <w:rsid w:val="00C31130"/>
    <w:rsid w:val="00C32073"/>
    <w:rsid w:val="00C32CFC"/>
    <w:rsid w:val="00C34416"/>
    <w:rsid w:val="00C34545"/>
    <w:rsid w:val="00C346B6"/>
    <w:rsid w:val="00C349C4"/>
    <w:rsid w:val="00C34A91"/>
    <w:rsid w:val="00C356AA"/>
    <w:rsid w:val="00C35842"/>
    <w:rsid w:val="00C35A45"/>
    <w:rsid w:val="00C35A7A"/>
    <w:rsid w:val="00C35BBA"/>
    <w:rsid w:val="00C36128"/>
    <w:rsid w:val="00C3623C"/>
    <w:rsid w:val="00C3763D"/>
    <w:rsid w:val="00C4044E"/>
    <w:rsid w:val="00C4086A"/>
    <w:rsid w:val="00C4121E"/>
    <w:rsid w:val="00C41479"/>
    <w:rsid w:val="00C41790"/>
    <w:rsid w:val="00C41816"/>
    <w:rsid w:val="00C41B87"/>
    <w:rsid w:val="00C41D4D"/>
    <w:rsid w:val="00C42172"/>
    <w:rsid w:val="00C427E3"/>
    <w:rsid w:val="00C42AC2"/>
    <w:rsid w:val="00C42C53"/>
    <w:rsid w:val="00C439E8"/>
    <w:rsid w:val="00C43D2F"/>
    <w:rsid w:val="00C43FBA"/>
    <w:rsid w:val="00C44688"/>
    <w:rsid w:val="00C45F50"/>
    <w:rsid w:val="00C46C1C"/>
    <w:rsid w:val="00C470E5"/>
    <w:rsid w:val="00C50416"/>
    <w:rsid w:val="00C507CB"/>
    <w:rsid w:val="00C521B3"/>
    <w:rsid w:val="00C522F4"/>
    <w:rsid w:val="00C532E3"/>
    <w:rsid w:val="00C5346F"/>
    <w:rsid w:val="00C53718"/>
    <w:rsid w:val="00C54062"/>
    <w:rsid w:val="00C54585"/>
    <w:rsid w:val="00C54C9A"/>
    <w:rsid w:val="00C56ACD"/>
    <w:rsid w:val="00C571BA"/>
    <w:rsid w:val="00C57A3E"/>
    <w:rsid w:val="00C57A54"/>
    <w:rsid w:val="00C57BC8"/>
    <w:rsid w:val="00C57D84"/>
    <w:rsid w:val="00C60A01"/>
    <w:rsid w:val="00C650C7"/>
    <w:rsid w:val="00C653F2"/>
    <w:rsid w:val="00C65829"/>
    <w:rsid w:val="00C65C76"/>
    <w:rsid w:val="00C65CFF"/>
    <w:rsid w:val="00C662DB"/>
    <w:rsid w:val="00C66CED"/>
    <w:rsid w:val="00C6718A"/>
    <w:rsid w:val="00C70560"/>
    <w:rsid w:val="00C71D6B"/>
    <w:rsid w:val="00C72536"/>
    <w:rsid w:val="00C731C7"/>
    <w:rsid w:val="00C746E1"/>
    <w:rsid w:val="00C74E08"/>
    <w:rsid w:val="00C759D2"/>
    <w:rsid w:val="00C760D0"/>
    <w:rsid w:val="00C76571"/>
    <w:rsid w:val="00C779B5"/>
    <w:rsid w:val="00C77BE8"/>
    <w:rsid w:val="00C80B12"/>
    <w:rsid w:val="00C80DC9"/>
    <w:rsid w:val="00C81B4E"/>
    <w:rsid w:val="00C82DA8"/>
    <w:rsid w:val="00C83872"/>
    <w:rsid w:val="00C841DF"/>
    <w:rsid w:val="00C842F0"/>
    <w:rsid w:val="00C845BA"/>
    <w:rsid w:val="00C854F1"/>
    <w:rsid w:val="00C86E90"/>
    <w:rsid w:val="00C87195"/>
    <w:rsid w:val="00C87AAA"/>
    <w:rsid w:val="00C901A9"/>
    <w:rsid w:val="00C90402"/>
    <w:rsid w:val="00C906D8"/>
    <w:rsid w:val="00C91560"/>
    <w:rsid w:val="00C92199"/>
    <w:rsid w:val="00C928DB"/>
    <w:rsid w:val="00C92DD8"/>
    <w:rsid w:val="00C94174"/>
    <w:rsid w:val="00C94E3E"/>
    <w:rsid w:val="00C95904"/>
    <w:rsid w:val="00C96230"/>
    <w:rsid w:val="00C96A3C"/>
    <w:rsid w:val="00C96BCE"/>
    <w:rsid w:val="00C96D7A"/>
    <w:rsid w:val="00C971E6"/>
    <w:rsid w:val="00CA096E"/>
    <w:rsid w:val="00CA0DF0"/>
    <w:rsid w:val="00CA1514"/>
    <w:rsid w:val="00CA1A60"/>
    <w:rsid w:val="00CA1ACE"/>
    <w:rsid w:val="00CA2779"/>
    <w:rsid w:val="00CA417D"/>
    <w:rsid w:val="00CA4C6F"/>
    <w:rsid w:val="00CA4E2C"/>
    <w:rsid w:val="00CA519A"/>
    <w:rsid w:val="00CA5D22"/>
    <w:rsid w:val="00CA6404"/>
    <w:rsid w:val="00CA68BE"/>
    <w:rsid w:val="00CA7B2A"/>
    <w:rsid w:val="00CA7F20"/>
    <w:rsid w:val="00CB0635"/>
    <w:rsid w:val="00CB0D95"/>
    <w:rsid w:val="00CB25A2"/>
    <w:rsid w:val="00CB3038"/>
    <w:rsid w:val="00CB34C8"/>
    <w:rsid w:val="00CB5108"/>
    <w:rsid w:val="00CB5941"/>
    <w:rsid w:val="00CB6754"/>
    <w:rsid w:val="00CB6FD7"/>
    <w:rsid w:val="00CB77CE"/>
    <w:rsid w:val="00CC0C5A"/>
    <w:rsid w:val="00CC1B5B"/>
    <w:rsid w:val="00CC1C89"/>
    <w:rsid w:val="00CC3388"/>
    <w:rsid w:val="00CC39B2"/>
    <w:rsid w:val="00CC39F9"/>
    <w:rsid w:val="00CC4687"/>
    <w:rsid w:val="00CC4858"/>
    <w:rsid w:val="00CC5039"/>
    <w:rsid w:val="00CC553D"/>
    <w:rsid w:val="00CC6506"/>
    <w:rsid w:val="00CD0D72"/>
    <w:rsid w:val="00CD10D6"/>
    <w:rsid w:val="00CD2016"/>
    <w:rsid w:val="00CD2744"/>
    <w:rsid w:val="00CD323C"/>
    <w:rsid w:val="00CD3611"/>
    <w:rsid w:val="00CD54C8"/>
    <w:rsid w:val="00CD68DC"/>
    <w:rsid w:val="00CD777E"/>
    <w:rsid w:val="00CD7DFD"/>
    <w:rsid w:val="00CE00D1"/>
    <w:rsid w:val="00CE0330"/>
    <w:rsid w:val="00CE074E"/>
    <w:rsid w:val="00CE180F"/>
    <w:rsid w:val="00CE2B24"/>
    <w:rsid w:val="00CE3596"/>
    <w:rsid w:val="00CE3B7D"/>
    <w:rsid w:val="00CE4239"/>
    <w:rsid w:val="00CE59D7"/>
    <w:rsid w:val="00CE5E33"/>
    <w:rsid w:val="00CE6B5F"/>
    <w:rsid w:val="00CE6F9F"/>
    <w:rsid w:val="00CE723F"/>
    <w:rsid w:val="00CE7311"/>
    <w:rsid w:val="00CE74CB"/>
    <w:rsid w:val="00CE765E"/>
    <w:rsid w:val="00CE7845"/>
    <w:rsid w:val="00CF0895"/>
    <w:rsid w:val="00CF0BE4"/>
    <w:rsid w:val="00CF2195"/>
    <w:rsid w:val="00CF21FA"/>
    <w:rsid w:val="00CF2C09"/>
    <w:rsid w:val="00CF3B24"/>
    <w:rsid w:val="00CF49D1"/>
    <w:rsid w:val="00CF55F5"/>
    <w:rsid w:val="00D002F3"/>
    <w:rsid w:val="00D007B3"/>
    <w:rsid w:val="00D00BB0"/>
    <w:rsid w:val="00D01988"/>
    <w:rsid w:val="00D01A53"/>
    <w:rsid w:val="00D01F70"/>
    <w:rsid w:val="00D026A1"/>
    <w:rsid w:val="00D049F7"/>
    <w:rsid w:val="00D04B7D"/>
    <w:rsid w:val="00D05285"/>
    <w:rsid w:val="00D05361"/>
    <w:rsid w:val="00D06B8C"/>
    <w:rsid w:val="00D06F07"/>
    <w:rsid w:val="00D074F2"/>
    <w:rsid w:val="00D07B9C"/>
    <w:rsid w:val="00D1021A"/>
    <w:rsid w:val="00D1046C"/>
    <w:rsid w:val="00D1064E"/>
    <w:rsid w:val="00D11F19"/>
    <w:rsid w:val="00D139A5"/>
    <w:rsid w:val="00D13E64"/>
    <w:rsid w:val="00D14224"/>
    <w:rsid w:val="00D14DEA"/>
    <w:rsid w:val="00D15110"/>
    <w:rsid w:val="00D1557B"/>
    <w:rsid w:val="00D16C81"/>
    <w:rsid w:val="00D2053F"/>
    <w:rsid w:val="00D207D4"/>
    <w:rsid w:val="00D207F8"/>
    <w:rsid w:val="00D20938"/>
    <w:rsid w:val="00D2205A"/>
    <w:rsid w:val="00D220AB"/>
    <w:rsid w:val="00D22E5A"/>
    <w:rsid w:val="00D22EE4"/>
    <w:rsid w:val="00D258E4"/>
    <w:rsid w:val="00D25F84"/>
    <w:rsid w:val="00D27277"/>
    <w:rsid w:val="00D27D1B"/>
    <w:rsid w:val="00D27EE9"/>
    <w:rsid w:val="00D303DD"/>
    <w:rsid w:val="00D30760"/>
    <w:rsid w:val="00D30B55"/>
    <w:rsid w:val="00D31B66"/>
    <w:rsid w:val="00D33383"/>
    <w:rsid w:val="00D3384A"/>
    <w:rsid w:val="00D33F7B"/>
    <w:rsid w:val="00D3411C"/>
    <w:rsid w:val="00D34BBA"/>
    <w:rsid w:val="00D34DD5"/>
    <w:rsid w:val="00D34F7B"/>
    <w:rsid w:val="00D352EF"/>
    <w:rsid w:val="00D359FB"/>
    <w:rsid w:val="00D35CBC"/>
    <w:rsid w:val="00D36024"/>
    <w:rsid w:val="00D37B84"/>
    <w:rsid w:val="00D415A9"/>
    <w:rsid w:val="00D41709"/>
    <w:rsid w:val="00D43FE6"/>
    <w:rsid w:val="00D4526F"/>
    <w:rsid w:val="00D461BC"/>
    <w:rsid w:val="00D46840"/>
    <w:rsid w:val="00D46E7A"/>
    <w:rsid w:val="00D47C36"/>
    <w:rsid w:val="00D47E0A"/>
    <w:rsid w:val="00D5025D"/>
    <w:rsid w:val="00D50803"/>
    <w:rsid w:val="00D51C69"/>
    <w:rsid w:val="00D52211"/>
    <w:rsid w:val="00D5222F"/>
    <w:rsid w:val="00D523A0"/>
    <w:rsid w:val="00D530E6"/>
    <w:rsid w:val="00D5321F"/>
    <w:rsid w:val="00D534BB"/>
    <w:rsid w:val="00D5354A"/>
    <w:rsid w:val="00D5371C"/>
    <w:rsid w:val="00D5380F"/>
    <w:rsid w:val="00D53DBA"/>
    <w:rsid w:val="00D548A5"/>
    <w:rsid w:val="00D55076"/>
    <w:rsid w:val="00D5521F"/>
    <w:rsid w:val="00D56559"/>
    <w:rsid w:val="00D56A83"/>
    <w:rsid w:val="00D56C6C"/>
    <w:rsid w:val="00D601A1"/>
    <w:rsid w:val="00D60611"/>
    <w:rsid w:val="00D609F7"/>
    <w:rsid w:val="00D619F5"/>
    <w:rsid w:val="00D61A21"/>
    <w:rsid w:val="00D61D54"/>
    <w:rsid w:val="00D6217E"/>
    <w:rsid w:val="00D62811"/>
    <w:rsid w:val="00D64462"/>
    <w:rsid w:val="00D6446B"/>
    <w:rsid w:val="00D644F1"/>
    <w:rsid w:val="00D64ACF"/>
    <w:rsid w:val="00D65214"/>
    <w:rsid w:val="00D65790"/>
    <w:rsid w:val="00D65961"/>
    <w:rsid w:val="00D67266"/>
    <w:rsid w:val="00D702D3"/>
    <w:rsid w:val="00D716C8"/>
    <w:rsid w:val="00D718EF"/>
    <w:rsid w:val="00D71969"/>
    <w:rsid w:val="00D72D4E"/>
    <w:rsid w:val="00D735F9"/>
    <w:rsid w:val="00D74261"/>
    <w:rsid w:val="00D748F6"/>
    <w:rsid w:val="00D753A8"/>
    <w:rsid w:val="00D75BD5"/>
    <w:rsid w:val="00D75D27"/>
    <w:rsid w:val="00D76031"/>
    <w:rsid w:val="00D76DB6"/>
    <w:rsid w:val="00D773D5"/>
    <w:rsid w:val="00D77A02"/>
    <w:rsid w:val="00D800C1"/>
    <w:rsid w:val="00D80B06"/>
    <w:rsid w:val="00D81544"/>
    <w:rsid w:val="00D81D64"/>
    <w:rsid w:val="00D82137"/>
    <w:rsid w:val="00D828B5"/>
    <w:rsid w:val="00D83545"/>
    <w:rsid w:val="00D83FF1"/>
    <w:rsid w:val="00D84696"/>
    <w:rsid w:val="00D846FD"/>
    <w:rsid w:val="00D85046"/>
    <w:rsid w:val="00D856BC"/>
    <w:rsid w:val="00D85911"/>
    <w:rsid w:val="00D859E7"/>
    <w:rsid w:val="00D85C13"/>
    <w:rsid w:val="00D85C5A"/>
    <w:rsid w:val="00D868A9"/>
    <w:rsid w:val="00D86BB9"/>
    <w:rsid w:val="00D87A2B"/>
    <w:rsid w:val="00D90DFC"/>
    <w:rsid w:val="00D91373"/>
    <w:rsid w:val="00D9164A"/>
    <w:rsid w:val="00D91971"/>
    <w:rsid w:val="00D91A5F"/>
    <w:rsid w:val="00D925C8"/>
    <w:rsid w:val="00D93E59"/>
    <w:rsid w:val="00D948ED"/>
    <w:rsid w:val="00D9560A"/>
    <w:rsid w:val="00D958A8"/>
    <w:rsid w:val="00D967AC"/>
    <w:rsid w:val="00D975F9"/>
    <w:rsid w:val="00D9799A"/>
    <w:rsid w:val="00D97EE6"/>
    <w:rsid w:val="00D97EEC"/>
    <w:rsid w:val="00DA0274"/>
    <w:rsid w:val="00DA0285"/>
    <w:rsid w:val="00DA0C25"/>
    <w:rsid w:val="00DA1576"/>
    <w:rsid w:val="00DA2BE6"/>
    <w:rsid w:val="00DA4A07"/>
    <w:rsid w:val="00DA555B"/>
    <w:rsid w:val="00DA55E7"/>
    <w:rsid w:val="00DA570C"/>
    <w:rsid w:val="00DA5F6B"/>
    <w:rsid w:val="00DA63B7"/>
    <w:rsid w:val="00DA64F3"/>
    <w:rsid w:val="00DA7047"/>
    <w:rsid w:val="00DA706A"/>
    <w:rsid w:val="00DA70E2"/>
    <w:rsid w:val="00DA76A1"/>
    <w:rsid w:val="00DA784D"/>
    <w:rsid w:val="00DB124D"/>
    <w:rsid w:val="00DB1CE7"/>
    <w:rsid w:val="00DB27F2"/>
    <w:rsid w:val="00DB30E6"/>
    <w:rsid w:val="00DB33D3"/>
    <w:rsid w:val="00DB3F0E"/>
    <w:rsid w:val="00DB420A"/>
    <w:rsid w:val="00DB522D"/>
    <w:rsid w:val="00DB585A"/>
    <w:rsid w:val="00DB6ED4"/>
    <w:rsid w:val="00DB75C3"/>
    <w:rsid w:val="00DC044C"/>
    <w:rsid w:val="00DC0D64"/>
    <w:rsid w:val="00DC0D9E"/>
    <w:rsid w:val="00DC1930"/>
    <w:rsid w:val="00DC2C96"/>
    <w:rsid w:val="00DC2CBF"/>
    <w:rsid w:val="00DC2F47"/>
    <w:rsid w:val="00DC356E"/>
    <w:rsid w:val="00DC39D0"/>
    <w:rsid w:val="00DC3C89"/>
    <w:rsid w:val="00DC3F2F"/>
    <w:rsid w:val="00DC40EF"/>
    <w:rsid w:val="00DC4426"/>
    <w:rsid w:val="00DC4DBA"/>
    <w:rsid w:val="00DC5A18"/>
    <w:rsid w:val="00DC5AE6"/>
    <w:rsid w:val="00DC652F"/>
    <w:rsid w:val="00DC68A7"/>
    <w:rsid w:val="00DC73B8"/>
    <w:rsid w:val="00DC7553"/>
    <w:rsid w:val="00DD0AB7"/>
    <w:rsid w:val="00DD0CC2"/>
    <w:rsid w:val="00DD2CE9"/>
    <w:rsid w:val="00DD3C91"/>
    <w:rsid w:val="00DD4013"/>
    <w:rsid w:val="00DD49C3"/>
    <w:rsid w:val="00DD49E2"/>
    <w:rsid w:val="00DD50FD"/>
    <w:rsid w:val="00DD5A8F"/>
    <w:rsid w:val="00DD5B76"/>
    <w:rsid w:val="00DD6ECA"/>
    <w:rsid w:val="00DD71D5"/>
    <w:rsid w:val="00DE1013"/>
    <w:rsid w:val="00DE13DA"/>
    <w:rsid w:val="00DE1FF8"/>
    <w:rsid w:val="00DE2063"/>
    <w:rsid w:val="00DE2521"/>
    <w:rsid w:val="00DE3208"/>
    <w:rsid w:val="00DE37FE"/>
    <w:rsid w:val="00DF084C"/>
    <w:rsid w:val="00DF0B61"/>
    <w:rsid w:val="00DF0F6E"/>
    <w:rsid w:val="00DF1473"/>
    <w:rsid w:val="00DF1854"/>
    <w:rsid w:val="00DF1C0F"/>
    <w:rsid w:val="00DF22F3"/>
    <w:rsid w:val="00DF2AEB"/>
    <w:rsid w:val="00DF2DB5"/>
    <w:rsid w:val="00DF3C22"/>
    <w:rsid w:val="00DF428F"/>
    <w:rsid w:val="00DF45EE"/>
    <w:rsid w:val="00DF4F11"/>
    <w:rsid w:val="00DF5408"/>
    <w:rsid w:val="00DF6DD3"/>
    <w:rsid w:val="00E00E9A"/>
    <w:rsid w:val="00E01273"/>
    <w:rsid w:val="00E019FA"/>
    <w:rsid w:val="00E02A15"/>
    <w:rsid w:val="00E02A30"/>
    <w:rsid w:val="00E02E0E"/>
    <w:rsid w:val="00E02F3D"/>
    <w:rsid w:val="00E031BB"/>
    <w:rsid w:val="00E03DCD"/>
    <w:rsid w:val="00E04902"/>
    <w:rsid w:val="00E06049"/>
    <w:rsid w:val="00E06836"/>
    <w:rsid w:val="00E06ECC"/>
    <w:rsid w:val="00E0791E"/>
    <w:rsid w:val="00E10C7F"/>
    <w:rsid w:val="00E12281"/>
    <w:rsid w:val="00E124D6"/>
    <w:rsid w:val="00E13128"/>
    <w:rsid w:val="00E14190"/>
    <w:rsid w:val="00E145E2"/>
    <w:rsid w:val="00E14C7F"/>
    <w:rsid w:val="00E15D7A"/>
    <w:rsid w:val="00E1659B"/>
    <w:rsid w:val="00E16E48"/>
    <w:rsid w:val="00E16E79"/>
    <w:rsid w:val="00E1749D"/>
    <w:rsid w:val="00E2021E"/>
    <w:rsid w:val="00E2094D"/>
    <w:rsid w:val="00E20E9E"/>
    <w:rsid w:val="00E22160"/>
    <w:rsid w:val="00E22C22"/>
    <w:rsid w:val="00E234CE"/>
    <w:rsid w:val="00E23C62"/>
    <w:rsid w:val="00E241E2"/>
    <w:rsid w:val="00E243ED"/>
    <w:rsid w:val="00E2536A"/>
    <w:rsid w:val="00E25421"/>
    <w:rsid w:val="00E25AAC"/>
    <w:rsid w:val="00E26420"/>
    <w:rsid w:val="00E26544"/>
    <w:rsid w:val="00E27F68"/>
    <w:rsid w:val="00E3104A"/>
    <w:rsid w:val="00E33A80"/>
    <w:rsid w:val="00E340C7"/>
    <w:rsid w:val="00E3472C"/>
    <w:rsid w:val="00E34BD6"/>
    <w:rsid w:val="00E35A36"/>
    <w:rsid w:val="00E37284"/>
    <w:rsid w:val="00E40076"/>
    <w:rsid w:val="00E40AB4"/>
    <w:rsid w:val="00E4152B"/>
    <w:rsid w:val="00E42092"/>
    <w:rsid w:val="00E4218E"/>
    <w:rsid w:val="00E4327A"/>
    <w:rsid w:val="00E435A3"/>
    <w:rsid w:val="00E43BB2"/>
    <w:rsid w:val="00E43ED5"/>
    <w:rsid w:val="00E44208"/>
    <w:rsid w:val="00E44FBD"/>
    <w:rsid w:val="00E4528C"/>
    <w:rsid w:val="00E45F2E"/>
    <w:rsid w:val="00E47402"/>
    <w:rsid w:val="00E476B9"/>
    <w:rsid w:val="00E501F7"/>
    <w:rsid w:val="00E502FA"/>
    <w:rsid w:val="00E5065E"/>
    <w:rsid w:val="00E5102E"/>
    <w:rsid w:val="00E51212"/>
    <w:rsid w:val="00E51E6B"/>
    <w:rsid w:val="00E5204E"/>
    <w:rsid w:val="00E52B30"/>
    <w:rsid w:val="00E52E94"/>
    <w:rsid w:val="00E53364"/>
    <w:rsid w:val="00E53F28"/>
    <w:rsid w:val="00E54BF1"/>
    <w:rsid w:val="00E55EB0"/>
    <w:rsid w:val="00E55ED3"/>
    <w:rsid w:val="00E57A12"/>
    <w:rsid w:val="00E57B4D"/>
    <w:rsid w:val="00E57F89"/>
    <w:rsid w:val="00E60C66"/>
    <w:rsid w:val="00E61E34"/>
    <w:rsid w:val="00E62158"/>
    <w:rsid w:val="00E62211"/>
    <w:rsid w:val="00E62B15"/>
    <w:rsid w:val="00E62C0A"/>
    <w:rsid w:val="00E63048"/>
    <w:rsid w:val="00E630FA"/>
    <w:rsid w:val="00E63D0B"/>
    <w:rsid w:val="00E63EAE"/>
    <w:rsid w:val="00E63EBF"/>
    <w:rsid w:val="00E64A44"/>
    <w:rsid w:val="00E64F6C"/>
    <w:rsid w:val="00E659FC"/>
    <w:rsid w:val="00E65C0D"/>
    <w:rsid w:val="00E65DDD"/>
    <w:rsid w:val="00E66BD2"/>
    <w:rsid w:val="00E67328"/>
    <w:rsid w:val="00E67812"/>
    <w:rsid w:val="00E70616"/>
    <w:rsid w:val="00E70BCB"/>
    <w:rsid w:val="00E71529"/>
    <w:rsid w:val="00E72611"/>
    <w:rsid w:val="00E727D7"/>
    <w:rsid w:val="00E7344B"/>
    <w:rsid w:val="00E735BC"/>
    <w:rsid w:val="00E73709"/>
    <w:rsid w:val="00E738AD"/>
    <w:rsid w:val="00E73A2C"/>
    <w:rsid w:val="00E73B6B"/>
    <w:rsid w:val="00E74A91"/>
    <w:rsid w:val="00E7547B"/>
    <w:rsid w:val="00E76953"/>
    <w:rsid w:val="00E76C10"/>
    <w:rsid w:val="00E76C9F"/>
    <w:rsid w:val="00E77EF4"/>
    <w:rsid w:val="00E80687"/>
    <w:rsid w:val="00E80F95"/>
    <w:rsid w:val="00E82425"/>
    <w:rsid w:val="00E82489"/>
    <w:rsid w:val="00E82D9A"/>
    <w:rsid w:val="00E833EF"/>
    <w:rsid w:val="00E83DB3"/>
    <w:rsid w:val="00E842B2"/>
    <w:rsid w:val="00E84DD1"/>
    <w:rsid w:val="00E84F93"/>
    <w:rsid w:val="00E8633B"/>
    <w:rsid w:val="00E87966"/>
    <w:rsid w:val="00E901F1"/>
    <w:rsid w:val="00E914EA"/>
    <w:rsid w:val="00E9229D"/>
    <w:rsid w:val="00E93E69"/>
    <w:rsid w:val="00E942E9"/>
    <w:rsid w:val="00E9461F"/>
    <w:rsid w:val="00E947BA"/>
    <w:rsid w:val="00E951A0"/>
    <w:rsid w:val="00E963A1"/>
    <w:rsid w:val="00E96D55"/>
    <w:rsid w:val="00E97414"/>
    <w:rsid w:val="00E97E06"/>
    <w:rsid w:val="00EA0756"/>
    <w:rsid w:val="00EA11B7"/>
    <w:rsid w:val="00EA166D"/>
    <w:rsid w:val="00EA2236"/>
    <w:rsid w:val="00EA268C"/>
    <w:rsid w:val="00EA3D15"/>
    <w:rsid w:val="00EA4C61"/>
    <w:rsid w:val="00EA4E3C"/>
    <w:rsid w:val="00EA543C"/>
    <w:rsid w:val="00EA582B"/>
    <w:rsid w:val="00EA584D"/>
    <w:rsid w:val="00EA5883"/>
    <w:rsid w:val="00EA58AE"/>
    <w:rsid w:val="00EA62D5"/>
    <w:rsid w:val="00EA68FF"/>
    <w:rsid w:val="00EA6C98"/>
    <w:rsid w:val="00EA6CD0"/>
    <w:rsid w:val="00EA6F0B"/>
    <w:rsid w:val="00EB189D"/>
    <w:rsid w:val="00EB249C"/>
    <w:rsid w:val="00EB2D10"/>
    <w:rsid w:val="00EB3110"/>
    <w:rsid w:val="00EB3E00"/>
    <w:rsid w:val="00EB3EF3"/>
    <w:rsid w:val="00EB453E"/>
    <w:rsid w:val="00EB4B0E"/>
    <w:rsid w:val="00EB4E64"/>
    <w:rsid w:val="00EB701D"/>
    <w:rsid w:val="00EB70D2"/>
    <w:rsid w:val="00EB7116"/>
    <w:rsid w:val="00EB73EC"/>
    <w:rsid w:val="00EC074E"/>
    <w:rsid w:val="00EC1BE7"/>
    <w:rsid w:val="00EC3194"/>
    <w:rsid w:val="00EC3AB7"/>
    <w:rsid w:val="00EC5C4F"/>
    <w:rsid w:val="00EC5FB8"/>
    <w:rsid w:val="00EC6C32"/>
    <w:rsid w:val="00ED0C2D"/>
    <w:rsid w:val="00ED1741"/>
    <w:rsid w:val="00ED176F"/>
    <w:rsid w:val="00ED1779"/>
    <w:rsid w:val="00ED2584"/>
    <w:rsid w:val="00ED3658"/>
    <w:rsid w:val="00ED37A1"/>
    <w:rsid w:val="00ED3E61"/>
    <w:rsid w:val="00ED509B"/>
    <w:rsid w:val="00ED543D"/>
    <w:rsid w:val="00ED56E7"/>
    <w:rsid w:val="00ED798E"/>
    <w:rsid w:val="00ED7BAD"/>
    <w:rsid w:val="00EE020E"/>
    <w:rsid w:val="00EE04A9"/>
    <w:rsid w:val="00EE064B"/>
    <w:rsid w:val="00EE086A"/>
    <w:rsid w:val="00EE0BAA"/>
    <w:rsid w:val="00EE191B"/>
    <w:rsid w:val="00EE22F5"/>
    <w:rsid w:val="00EE2B04"/>
    <w:rsid w:val="00EE311A"/>
    <w:rsid w:val="00EE3EEB"/>
    <w:rsid w:val="00EE411D"/>
    <w:rsid w:val="00EE6AAA"/>
    <w:rsid w:val="00EE6F7F"/>
    <w:rsid w:val="00EE761F"/>
    <w:rsid w:val="00EE76F0"/>
    <w:rsid w:val="00EE7B83"/>
    <w:rsid w:val="00EF0E9A"/>
    <w:rsid w:val="00EF1021"/>
    <w:rsid w:val="00EF1FB1"/>
    <w:rsid w:val="00EF2FEA"/>
    <w:rsid w:val="00EF3103"/>
    <w:rsid w:val="00EF31F3"/>
    <w:rsid w:val="00EF3DE8"/>
    <w:rsid w:val="00EF4B89"/>
    <w:rsid w:val="00EF4D24"/>
    <w:rsid w:val="00EF515E"/>
    <w:rsid w:val="00EF62D3"/>
    <w:rsid w:val="00EF7077"/>
    <w:rsid w:val="00F03CE0"/>
    <w:rsid w:val="00F04758"/>
    <w:rsid w:val="00F047BB"/>
    <w:rsid w:val="00F04C5F"/>
    <w:rsid w:val="00F05318"/>
    <w:rsid w:val="00F058D8"/>
    <w:rsid w:val="00F05E3B"/>
    <w:rsid w:val="00F06A9D"/>
    <w:rsid w:val="00F0772B"/>
    <w:rsid w:val="00F107C7"/>
    <w:rsid w:val="00F10C6B"/>
    <w:rsid w:val="00F110D5"/>
    <w:rsid w:val="00F11204"/>
    <w:rsid w:val="00F11BB4"/>
    <w:rsid w:val="00F12898"/>
    <w:rsid w:val="00F12FF6"/>
    <w:rsid w:val="00F133D7"/>
    <w:rsid w:val="00F142BB"/>
    <w:rsid w:val="00F15A90"/>
    <w:rsid w:val="00F15E8C"/>
    <w:rsid w:val="00F1720A"/>
    <w:rsid w:val="00F17FBE"/>
    <w:rsid w:val="00F2111F"/>
    <w:rsid w:val="00F218B6"/>
    <w:rsid w:val="00F225DC"/>
    <w:rsid w:val="00F22DDD"/>
    <w:rsid w:val="00F22FC1"/>
    <w:rsid w:val="00F2353C"/>
    <w:rsid w:val="00F23B62"/>
    <w:rsid w:val="00F258E0"/>
    <w:rsid w:val="00F267E3"/>
    <w:rsid w:val="00F26C1C"/>
    <w:rsid w:val="00F27413"/>
    <w:rsid w:val="00F30155"/>
    <w:rsid w:val="00F334F4"/>
    <w:rsid w:val="00F34B95"/>
    <w:rsid w:val="00F370D0"/>
    <w:rsid w:val="00F372BA"/>
    <w:rsid w:val="00F402D5"/>
    <w:rsid w:val="00F409C7"/>
    <w:rsid w:val="00F41243"/>
    <w:rsid w:val="00F41505"/>
    <w:rsid w:val="00F4174B"/>
    <w:rsid w:val="00F426B0"/>
    <w:rsid w:val="00F42A39"/>
    <w:rsid w:val="00F42A56"/>
    <w:rsid w:val="00F42F5B"/>
    <w:rsid w:val="00F43195"/>
    <w:rsid w:val="00F44707"/>
    <w:rsid w:val="00F451A4"/>
    <w:rsid w:val="00F45C6D"/>
    <w:rsid w:val="00F4687A"/>
    <w:rsid w:val="00F46C2A"/>
    <w:rsid w:val="00F51B56"/>
    <w:rsid w:val="00F526F5"/>
    <w:rsid w:val="00F52AD8"/>
    <w:rsid w:val="00F53693"/>
    <w:rsid w:val="00F53AB2"/>
    <w:rsid w:val="00F53C87"/>
    <w:rsid w:val="00F53CA0"/>
    <w:rsid w:val="00F5407A"/>
    <w:rsid w:val="00F544A0"/>
    <w:rsid w:val="00F547C5"/>
    <w:rsid w:val="00F54F8E"/>
    <w:rsid w:val="00F56078"/>
    <w:rsid w:val="00F56FDB"/>
    <w:rsid w:val="00F57A05"/>
    <w:rsid w:val="00F57DD9"/>
    <w:rsid w:val="00F60363"/>
    <w:rsid w:val="00F605BB"/>
    <w:rsid w:val="00F60708"/>
    <w:rsid w:val="00F60983"/>
    <w:rsid w:val="00F6219B"/>
    <w:rsid w:val="00F62671"/>
    <w:rsid w:val="00F633DE"/>
    <w:rsid w:val="00F647AE"/>
    <w:rsid w:val="00F65954"/>
    <w:rsid w:val="00F65F19"/>
    <w:rsid w:val="00F660F7"/>
    <w:rsid w:val="00F705FF"/>
    <w:rsid w:val="00F71008"/>
    <w:rsid w:val="00F712E8"/>
    <w:rsid w:val="00F713D1"/>
    <w:rsid w:val="00F71590"/>
    <w:rsid w:val="00F72352"/>
    <w:rsid w:val="00F7236E"/>
    <w:rsid w:val="00F72924"/>
    <w:rsid w:val="00F737CC"/>
    <w:rsid w:val="00F74129"/>
    <w:rsid w:val="00F74349"/>
    <w:rsid w:val="00F80AD5"/>
    <w:rsid w:val="00F81130"/>
    <w:rsid w:val="00F81CC3"/>
    <w:rsid w:val="00F81FE9"/>
    <w:rsid w:val="00F83D99"/>
    <w:rsid w:val="00F83FDB"/>
    <w:rsid w:val="00F840C5"/>
    <w:rsid w:val="00F86973"/>
    <w:rsid w:val="00F86E94"/>
    <w:rsid w:val="00F9021E"/>
    <w:rsid w:val="00F90D65"/>
    <w:rsid w:val="00F91095"/>
    <w:rsid w:val="00F91C3D"/>
    <w:rsid w:val="00F91FB8"/>
    <w:rsid w:val="00F92484"/>
    <w:rsid w:val="00F9347E"/>
    <w:rsid w:val="00F935C2"/>
    <w:rsid w:val="00F9406D"/>
    <w:rsid w:val="00F943DB"/>
    <w:rsid w:val="00F95E8E"/>
    <w:rsid w:val="00F97628"/>
    <w:rsid w:val="00FA1153"/>
    <w:rsid w:val="00FA2032"/>
    <w:rsid w:val="00FA3161"/>
    <w:rsid w:val="00FA3FFF"/>
    <w:rsid w:val="00FA5A2D"/>
    <w:rsid w:val="00FA5B41"/>
    <w:rsid w:val="00FA5E12"/>
    <w:rsid w:val="00FA5E7C"/>
    <w:rsid w:val="00FA6318"/>
    <w:rsid w:val="00FA676D"/>
    <w:rsid w:val="00FA699A"/>
    <w:rsid w:val="00FB0549"/>
    <w:rsid w:val="00FB062D"/>
    <w:rsid w:val="00FB2C1A"/>
    <w:rsid w:val="00FB34B2"/>
    <w:rsid w:val="00FB4141"/>
    <w:rsid w:val="00FB4C84"/>
    <w:rsid w:val="00FB5888"/>
    <w:rsid w:val="00FB5D24"/>
    <w:rsid w:val="00FB61C3"/>
    <w:rsid w:val="00FB66B2"/>
    <w:rsid w:val="00FB6FA2"/>
    <w:rsid w:val="00FB7317"/>
    <w:rsid w:val="00FB7ED7"/>
    <w:rsid w:val="00FB7F35"/>
    <w:rsid w:val="00FC00AB"/>
    <w:rsid w:val="00FC0244"/>
    <w:rsid w:val="00FC0430"/>
    <w:rsid w:val="00FC15EB"/>
    <w:rsid w:val="00FC1A2C"/>
    <w:rsid w:val="00FC1D0F"/>
    <w:rsid w:val="00FC2AC4"/>
    <w:rsid w:val="00FC3582"/>
    <w:rsid w:val="00FC4008"/>
    <w:rsid w:val="00FC4065"/>
    <w:rsid w:val="00FC4E5D"/>
    <w:rsid w:val="00FC4EB3"/>
    <w:rsid w:val="00FC7AB8"/>
    <w:rsid w:val="00FC7B91"/>
    <w:rsid w:val="00FD0070"/>
    <w:rsid w:val="00FD048C"/>
    <w:rsid w:val="00FD0DCE"/>
    <w:rsid w:val="00FD0EDE"/>
    <w:rsid w:val="00FD2EF9"/>
    <w:rsid w:val="00FD4087"/>
    <w:rsid w:val="00FD5AEF"/>
    <w:rsid w:val="00FD5FAD"/>
    <w:rsid w:val="00FD60B6"/>
    <w:rsid w:val="00FD6D69"/>
    <w:rsid w:val="00FD6DA2"/>
    <w:rsid w:val="00FD7539"/>
    <w:rsid w:val="00FE02AF"/>
    <w:rsid w:val="00FE0DC2"/>
    <w:rsid w:val="00FE0EBC"/>
    <w:rsid w:val="00FE1AD9"/>
    <w:rsid w:val="00FE1E15"/>
    <w:rsid w:val="00FE1F55"/>
    <w:rsid w:val="00FE25AE"/>
    <w:rsid w:val="00FE291D"/>
    <w:rsid w:val="00FE2F6E"/>
    <w:rsid w:val="00FE4107"/>
    <w:rsid w:val="00FE4181"/>
    <w:rsid w:val="00FE5592"/>
    <w:rsid w:val="00FE55BE"/>
    <w:rsid w:val="00FE59BB"/>
    <w:rsid w:val="00FE5F20"/>
    <w:rsid w:val="00FE60F5"/>
    <w:rsid w:val="00FE7158"/>
    <w:rsid w:val="00FE77B6"/>
    <w:rsid w:val="00FF00D2"/>
    <w:rsid w:val="00FF1621"/>
    <w:rsid w:val="00FF2289"/>
    <w:rsid w:val="00FF2A96"/>
    <w:rsid w:val="00FF4053"/>
    <w:rsid w:val="00FF585A"/>
    <w:rsid w:val="00FF5865"/>
    <w:rsid w:val="00FF5A62"/>
    <w:rsid w:val="00FF5FAF"/>
    <w:rsid w:val="00FF618E"/>
    <w:rsid w:val="00FF67BD"/>
    <w:rsid w:val="00FF69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CB0AD2A-844B-4A3E-B4F6-D0747A1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F7"/>
    <w:rPr>
      <w:sz w:val="24"/>
      <w:szCs w:val="24"/>
    </w:rPr>
  </w:style>
  <w:style w:type="paragraph" w:styleId="Heading1">
    <w:name w:val="heading 1"/>
    <w:basedOn w:val="Normal"/>
    <w:next w:val="Normal"/>
    <w:qFormat/>
    <w:rsid w:val="004403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9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39F9"/>
    <w:pPr>
      <w:keepNext/>
      <w:spacing w:before="240" w:after="60"/>
      <w:outlineLvl w:val="2"/>
    </w:pPr>
    <w:rPr>
      <w:rFonts w:ascii="Arial" w:hAnsi="Arial" w:cs="Arial"/>
      <w:b/>
      <w:bCs/>
      <w:sz w:val="26"/>
      <w:szCs w:val="26"/>
    </w:rPr>
  </w:style>
  <w:style w:type="paragraph" w:styleId="Heading4">
    <w:name w:val="heading 4"/>
    <w:basedOn w:val="Normal"/>
    <w:next w:val="Normal"/>
    <w:qFormat/>
    <w:rsid w:val="00ED1741"/>
    <w:pPr>
      <w:keepNext/>
      <w:spacing w:before="240" w:after="60"/>
      <w:outlineLvl w:val="3"/>
    </w:pPr>
    <w:rPr>
      <w:b/>
      <w:bCs/>
      <w:sz w:val="28"/>
      <w:szCs w:val="28"/>
    </w:rPr>
  </w:style>
  <w:style w:type="paragraph" w:styleId="Heading5">
    <w:name w:val="heading 5"/>
    <w:basedOn w:val="Normal"/>
    <w:next w:val="Normal"/>
    <w:qFormat/>
    <w:rsid w:val="001837AB"/>
    <w:pPr>
      <w:spacing w:before="240" w:after="60"/>
      <w:outlineLvl w:val="4"/>
    </w:pPr>
    <w:rPr>
      <w:b/>
      <w:bCs/>
      <w:i/>
      <w:iCs/>
      <w:sz w:val="26"/>
      <w:szCs w:val="26"/>
    </w:rPr>
  </w:style>
  <w:style w:type="paragraph" w:styleId="Heading6">
    <w:name w:val="heading 6"/>
    <w:basedOn w:val="Normal"/>
    <w:next w:val="Normal"/>
    <w:qFormat/>
    <w:rsid w:val="001837AB"/>
    <w:pPr>
      <w:spacing w:before="240" w:after="60"/>
      <w:outlineLvl w:val="5"/>
    </w:pPr>
    <w:rPr>
      <w:b/>
      <w:bCs/>
      <w:sz w:val="22"/>
      <w:szCs w:val="22"/>
    </w:rPr>
  </w:style>
  <w:style w:type="paragraph" w:styleId="Heading7">
    <w:name w:val="heading 7"/>
    <w:basedOn w:val="Normal"/>
    <w:next w:val="Normal"/>
    <w:qFormat/>
    <w:rsid w:val="001837AB"/>
    <w:pPr>
      <w:spacing w:before="240" w:after="60"/>
      <w:outlineLvl w:val="6"/>
    </w:pPr>
  </w:style>
  <w:style w:type="paragraph" w:styleId="Heading8">
    <w:name w:val="heading 8"/>
    <w:basedOn w:val="Normal"/>
    <w:next w:val="Normal"/>
    <w:qFormat/>
    <w:rsid w:val="001837AB"/>
    <w:pPr>
      <w:spacing w:before="240" w:after="60"/>
      <w:outlineLvl w:val="7"/>
    </w:pPr>
    <w:rPr>
      <w:i/>
      <w:iCs/>
    </w:rPr>
  </w:style>
  <w:style w:type="paragraph" w:styleId="Heading9">
    <w:name w:val="heading 9"/>
    <w:basedOn w:val="Normal"/>
    <w:next w:val="Normal"/>
    <w:qFormat/>
    <w:rsid w:val="001837A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7A6B"/>
    <w:pPr>
      <w:tabs>
        <w:tab w:val="center" w:pos="4320"/>
        <w:tab w:val="right" w:pos="8640"/>
      </w:tabs>
    </w:pPr>
  </w:style>
  <w:style w:type="paragraph" w:styleId="Footer">
    <w:name w:val="footer"/>
    <w:basedOn w:val="Normal"/>
    <w:link w:val="FooterChar"/>
    <w:uiPriority w:val="99"/>
    <w:rsid w:val="002B7A6B"/>
    <w:pPr>
      <w:tabs>
        <w:tab w:val="center" w:pos="4320"/>
        <w:tab w:val="right" w:pos="8640"/>
      </w:tabs>
    </w:pPr>
  </w:style>
  <w:style w:type="paragraph" w:styleId="List">
    <w:name w:val="List"/>
    <w:basedOn w:val="Normal"/>
    <w:rsid w:val="00440340"/>
    <w:pPr>
      <w:ind w:left="283" w:hanging="283"/>
    </w:pPr>
  </w:style>
  <w:style w:type="paragraph" w:styleId="List2">
    <w:name w:val="List 2"/>
    <w:basedOn w:val="Normal"/>
    <w:rsid w:val="00440340"/>
    <w:pPr>
      <w:ind w:left="566" w:hanging="283"/>
    </w:pPr>
  </w:style>
  <w:style w:type="paragraph" w:styleId="BodyText">
    <w:name w:val="Body Text"/>
    <w:basedOn w:val="Normal"/>
    <w:rsid w:val="00440340"/>
    <w:pPr>
      <w:spacing w:after="120"/>
    </w:pPr>
  </w:style>
  <w:style w:type="paragraph" w:styleId="BodyTextFirstIndent">
    <w:name w:val="Body Text First Indent"/>
    <w:basedOn w:val="BodyText"/>
    <w:rsid w:val="00440340"/>
    <w:pPr>
      <w:ind w:firstLine="210"/>
    </w:pPr>
  </w:style>
  <w:style w:type="paragraph" w:styleId="TOC1">
    <w:name w:val="toc 1"/>
    <w:basedOn w:val="Heading1"/>
    <w:next w:val="Normal"/>
    <w:autoRedefine/>
    <w:semiHidden/>
    <w:rsid w:val="00862FE4"/>
    <w:pPr>
      <w:tabs>
        <w:tab w:val="left" w:pos="480"/>
        <w:tab w:val="right" w:leader="dot" w:pos="9350"/>
      </w:tabs>
    </w:pPr>
    <w:rPr>
      <w:noProof/>
      <w:sz w:val="22"/>
      <w:szCs w:val="22"/>
    </w:rPr>
  </w:style>
  <w:style w:type="paragraph" w:styleId="TOC2">
    <w:name w:val="toc 2"/>
    <w:basedOn w:val="Heading2"/>
    <w:next w:val="Normal"/>
    <w:autoRedefine/>
    <w:semiHidden/>
    <w:rsid w:val="00246C0C"/>
    <w:pPr>
      <w:tabs>
        <w:tab w:val="left" w:pos="960"/>
        <w:tab w:val="right" w:leader="dot" w:pos="9350"/>
      </w:tabs>
      <w:ind w:left="360" w:hanging="180"/>
    </w:pPr>
    <w:rPr>
      <w:i w:val="0"/>
      <w:iCs w:val="0"/>
      <w:noProof/>
      <w:sz w:val="20"/>
      <w:szCs w:val="20"/>
    </w:rPr>
  </w:style>
  <w:style w:type="character" w:styleId="Hyperlink">
    <w:name w:val="Hyperlink"/>
    <w:rsid w:val="00263502"/>
    <w:rPr>
      <w:color w:val="0000FF"/>
      <w:u w:val="single"/>
    </w:rPr>
  </w:style>
  <w:style w:type="numbering" w:styleId="111111">
    <w:name w:val="Outline List 2"/>
    <w:basedOn w:val="NoList"/>
    <w:rsid w:val="004601C4"/>
    <w:pPr>
      <w:numPr>
        <w:numId w:val="1"/>
      </w:numPr>
    </w:pPr>
  </w:style>
  <w:style w:type="paragraph" w:styleId="TOC3">
    <w:name w:val="toc 3"/>
    <w:basedOn w:val="Normal"/>
    <w:next w:val="Heading3"/>
    <w:autoRedefine/>
    <w:semiHidden/>
    <w:rsid w:val="001837AB"/>
    <w:pPr>
      <w:tabs>
        <w:tab w:val="left" w:pos="1440"/>
        <w:tab w:val="right" w:leader="dot" w:pos="9350"/>
      </w:tabs>
      <w:ind w:left="142" w:firstLine="340"/>
    </w:pPr>
    <w:rPr>
      <w:rFonts w:ascii="Arial" w:hAnsi="Arial" w:cs="Arial"/>
      <w:i/>
      <w:noProof/>
    </w:rPr>
  </w:style>
  <w:style w:type="character" w:styleId="PageNumber">
    <w:name w:val="page number"/>
    <w:basedOn w:val="DefaultParagraphFont"/>
    <w:rsid w:val="00FF4053"/>
  </w:style>
  <w:style w:type="character" w:styleId="CommentReference">
    <w:name w:val="annotation reference"/>
    <w:semiHidden/>
    <w:rsid w:val="00FD048C"/>
    <w:rPr>
      <w:sz w:val="16"/>
      <w:szCs w:val="16"/>
    </w:rPr>
  </w:style>
  <w:style w:type="paragraph" w:styleId="CommentText">
    <w:name w:val="annotation text"/>
    <w:basedOn w:val="Normal"/>
    <w:semiHidden/>
    <w:rsid w:val="00FD048C"/>
    <w:rPr>
      <w:sz w:val="20"/>
      <w:szCs w:val="20"/>
    </w:rPr>
  </w:style>
  <w:style w:type="paragraph" w:styleId="CommentSubject">
    <w:name w:val="annotation subject"/>
    <w:basedOn w:val="CommentText"/>
    <w:next w:val="CommentText"/>
    <w:semiHidden/>
    <w:rsid w:val="00FD048C"/>
    <w:rPr>
      <w:b/>
      <w:bCs/>
    </w:rPr>
  </w:style>
  <w:style w:type="paragraph" w:styleId="BalloonText">
    <w:name w:val="Balloon Text"/>
    <w:basedOn w:val="Normal"/>
    <w:semiHidden/>
    <w:rsid w:val="00FD048C"/>
    <w:rPr>
      <w:rFonts w:ascii="Tahoma" w:hAnsi="Tahoma" w:cs="Tahoma"/>
      <w:sz w:val="16"/>
      <w:szCs w:val="16"/>
    </w:rPr>
  </w:style>
  <w:style w:type="character" w:customStyle="1" w:styleId="apple-converted-space">
    <w:name w:val="apple-converted-space"/>
    <w:basedOn w:val="DefaultParagraphFont"/>
    <w:rsid w:val="00685A50"/>
  </w:style>
  <w:style w:type="character" w:styleId="Emphasis">
    <w:name w:val="Emphasis"/>
    <w:qFormat/>
    <w:rsid w:val="000D7642"/>
    <w:rPr>
      <w:i/>
      <w:iCs/>
    </w:rPr>
  </w:style>
  <w:style w:type="paragraph" w:styleId="NormalWeb">
    <w:name w:val="Normal (Web)"/>
    <w:basedOn w:val="Normal"/>
    <w:rsid w:val="007B1CC3"/>
    <w:pPr>
      <w:spacing w:before="100" w:beforeAutospacing="1" w:after="100" w:afterAutospacing="1"/>
    </w:pPr>
  </w:style>
  <w:style w:type="table" w:styleId="TableGrid">
    <w:name w:val="Table Grid"/>
    <w:basedOn w:val="TableNormal"/>
    <w:rsid w:val="0007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E48"/>
    <w:pPr>
      <w:ind w:left="720"/>
      <w:contextualSpacing/>
    </w:pPr>
  </w:style>
  <w:style w:type="character" w:customStyle="1" w:styleId="FooterChar">
    <w:name w:val="Footer Char"/>
    <w:link w:val="Footer"/>
    <w:uiPriority w:val="99"/>
    <w:rsid w:val="00A511FE"/>
    <w:rPr>
      <w:sz w:val="24"/>
      <w:szCs w:val="24"/>
    </w:rPr>
  </w:style>
  <w:style w:type="paragraph" w:styleId="ListNumber">
    <w:name w:val="List Number"/>
    <w:basedOn w:val="Normal"/>
    <w:rsid w:val="00E65DDD"/>
    <w:pPr>
      <w:numPr>
        <w:numId w:val="21"/>
      </w:numPr>
      <w:contextualSpacing/>
    </w:pPr>
  </w:style>
  <w:style w:type="character" w:customStyle="1" w:styleId="Style1">
    <w:name w:val="Style1"/>
    <w:basedOn w:val="DefaultParagraphFont"/>
    <w:qFormat/>
    <w:rsid w:val="00010A80"/>
    <w:rPr>
      <w:rFonts w:ascii="Arial" w:hAnsi="Arial" w:cs="Arial"/>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aet.gouvernement.lu/en.html" TargetMode="External" /><Relationship Id="rId9"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5.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1C4E-4011-4AFF-BF73-AE318151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1954</Words>
  <Characters>11143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d’enquête technique sur</vt:lpstr>
      <vt:lpstr>Rapport d’enquête technique sur</vt:lpstr>
    </vt:vector>
  </TitlesOfParts>
  <Company>CDT</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d’enquête technique sur</dc:title>
  <dc:creator>CDT</dc:creator>
  <cp:lastModifiedBy>CDT</cp:lastModifiedBy>
  <cp:revision>3</cp:revision>
  <cp:lastPrinted>2018-09-28T08:43:00Z</cp:lastPrinted>
  <dcterms:created xsi:type="dcterms:W3CDTF">2018-10-25T12:23:00Z</dcterms:created>
  <dcterms:modified xsi:type="dcterms:W3CDTF">2018-10-26T09:06:00Z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aa4eea57-6293-4a43-8b8c-a97700bf78c6</vt:lpwstr>
  </property>
</Properties>
</file>