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65" w:rsidRPr="008E0469" w:rsidRDefault="00D05136" w:rsidP="009F6E65">
      <w:pPr>
        <w:spacing w:before="300" w:line="660" w:lineRule="exact"/>
        <w:ind w:left="-142"/>
        <w:jc w:val="center"/>
        <w:rPr>
          <w:rFonts w:eastAsia="Arial" w:cs="Arial"/>
          <w:sz w:val="60"/>
          <w:szCs w:val="60"/>
        </w:rPr>
      </w:pPr>
      <w:r w:rsidRPr="008E0469">
        <w:rPr>
          <w:b/>
          <w:spacing w:val="1"/>
          <w:position w:val="-1"/>
          <w:sz w:val="60"/>
        </w:rPr>
        <w:t>Report of the</w:t>
      </w:r>
      <w:r w:rsidRPr="008E0469">
        <w:rPr>
          <w:rFonts w:eastAsia="Arial" w:cs="Arial"/>
          <w:b/>
          <w:spacing w:val="1"/>
          <w:position w:val="-1"/>
          <w:sz w:val="60"/>
          <w:szCs w:val="60"/>
        </w:rPr>
        <w:br/>
      </w:r>
      <w:r w:rsidRPr="008E0469">
        <w:rPr>
          <w:b/>
          <w:spacing w:val="1"/>
          <w:position w:val="-1"/>
          <w:sz w:val="60"/>
        </w:rPr>
        <w:t>Federal Railway Authority</w:t>
      </w:r>
    </w:p>
    <w:p w:rsidR="009F6E65" w:rsidRPr="008E0469" w:rsidRDefault="00D05136" w:rsidP="009F6E65">
      <w:pPr>
        <w:spacing w:before="1000" w:after="1000"/>
        <w:ind w:left="993" w:right="498" w:hanging="2"/>
        <w:jc w:val="center"/>
        <w:rPr>
          <w:rFonts w:eastAsia="Arial" w:cs="Arial"/>
          <w:sz w:val="36"/>
          <w:szCs w:val="36"/>
        </w:rPr>
      </w:pPr>
      <w:r w:rsidRPr="008E0469">
        <w:rPr>
          <w:spacing w:val="-1"/>
          <w:sz w:val="36"/>
        </w:rPr>
        <w:t>on activities as the safety authority pursuant to Article 18 of the Directive on the safety of the Community’s railways (Directive 2004/49/EC, ‘Railway Safety Directive’).</w:t>
      </w:r>
    </w:p>
    <w:p w:rsidR="009F6E65" w:rsidRPr="008E0469" w:rsidRDefault="00D05136">
      <w:pPr>
        <w:spacing w:before="3" w:line="240" w:lineRule="exact"/>
        <w:rPr>
          <w:szCs w:val="24"/>
        </w:rPr>
      </w:pPr>
      <w:r w:rsidRPr="008E0469">
        <w:rPr>
          <w:noProof/>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3481574</wp:posOffset>
                </wp:positionH>
                <wp:positionV relativeFrom="paragraph">
                  <wp:posOffset>68623</wp:posOffset>
                </wp:positionV>
                <wp:extent cx="2360930" cy="925977"/>
                <wp:effectExtent l="0" t="0" r="1270" b="7620"/>
                <wp:wrapNone/>
                <wp:docPr id="2" name="Text Box 2"/>
                <wp:cNvGraphicFramePr/>
                <a:graphic xmlns:a="http://schemas.openxmlformats.org/drawingml/2006/main">
                  <a:graphicData uri="http://schemas.microsoft.com/office/word/2010/wordprocessingShape">
                    <wps:wsp>
                      <wps:cNvSpPr txBox="1"/>
                      <wps:spPr>
                        <a:xfrm>
                          <a:off x="0" y="0"/>
                          <a:ext cx="2360930" cy="925977"/>
                        </a:xfrm>
                        <a:prstGeom prst="rect">
                          <a:avLst/>
                        </a:prstGeom>
                        <a:solidFill>
                          <a:schemeClr val="bg1"/>
                        </a:solidFill>
                        <a:ln>
                          <a:noFill/>
                        </a:ln>
                        <a:effectLst/>
                      </wps:spPr>
                      <wps:txbx>
                        <w:txbxContent>
                          <w:p w:rsidR="009F6E65" w:rsidRPr="00A255C0" w:rsidRDefault="00D05136">
                            <w:pPr>
                              <w:rPr>
                                <w:rFonts w:cs="Arial"/>
                                <w:b/>
                                <w:bCs/>
                                <w:i/>
                                <w:iCs/>
                                <w:color w:val="808080" w:themeColor="background1" w:themeShade="80"/>
                                <w:spacing w:val="-20"/>
                                <w:sz w:val="34"/>
                                <w:szCs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pPr>
                            <w:r>
                              <w:rPr>
                                <w:b/>
                                <w:i/>
                                <w:color w:val="808080" w:themeColor="background1" w:themeShade="80"/>
                                <w:spacing w:val="-20"/>
                                <w:sz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t xml:space="preserve">COMPETENCE </w:t>
                            </w:r>
                            <w:r>
                              <w:rPr>
                                <w:rFonts w:cs="Arial"/>
                                <w:b/>
                                <w:bCs/>
                                <w:i/>
                                <w:iCs/>
                                <w:color w:val="808080" w:themeColor="background1" w:themeShade="80"/>
                                <w:spacing w:val="-20"/>
                                <w:sz w:val="34"/>
                                <w:szCs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br/>
                            </w:r>
                            <w:r>
                              <w:rPr>
                                <w:b/>
                                <w:i/>
                                <w:color w:val="808080" w:themeColor="background1" w:themeShade="80"/>
                                <w:spacing w:val="-20"/>
                                <w:sz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t>and</w:t>
                            </w:r>
                            <w:r>
                              <w:rPr>
                                <w:b/>
                                <w:i/>
                                <w:color w:val="808080" w:themeColor="background1" w:themeShade="80"/>
                                <w:spacing w:val="-20"/>
                                <w:sz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br/>
                              <w:t>RESPONSIBILITY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4.15pt;margin-top:5.4pt;width:185.9pt;height:7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" fillcolor="white [3212]" stroked="f">
                <v:textbox>
                  <w:txbxContent>
                    <w:p w:rsidR="009F6E65" w:rsidRPr="00A255C0" w:rsidRDefault="00D05136">
                      <w:pPr>
                        <w:rPr>
                          <w:rFonts w:cs="Arial"/>
                          <w:b/>
                          <w:bCs/>
                          <w:i/>
                          <w:iCs/>
                          <w:color w:val="808080" w:themeColor="background1" w:themeShade="80"/>
                          <w:spacing w:val="-20"/>
                          <w:sz w:val="34"/>
                          <w:szCs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pPr>
                      <w:r>
                        <w:rPr>
                          <w:b/>
                          <w:i/>
                          <w:color w:val="808080" w:themeColor="background1" w:themeShade="80"/>
                          <w:spacing w:val="-20"/>
                          <w:sz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t xml:space="preserve">COMPETENCE </w:t>
                      </w:r>
                      <w:r>
                        <w:rPr>
                          <w:rFonts w:cs="Arial"/>
                          <w:b/>
                          <w:bCs/>
                          <w:i/>
                          <w:iCs/>
                          <w:color w:val="808080" w:themeColor="background1" w:themeShade="80"/>
                          <w:spacing w:val="-20"/>
                          <w:sz w:val="34"/>
                          <w:szCs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br/>
                      </w:r>
                      <w:r>
                        <w:rPr>
                          <w:b/>
                          <w:i/>
                          <w:color w:val="808080" w:themeColor="background1" w:themeShade="80"/>
                          <w:spacing w:val="-20"/>
                          <w:sz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t>and</w:t>
                      </w:r>
                      <w:r>
                        <w:rPr>
                          <w:b/>
                          <w:i/>
                          <w:color w:val="808080" w:themeColor="background1" w:themeShade="80"/>
                          <w:spacing w:val="-20"/>
                          <w:sz w:val="34"/>
                          <w14:shadow w14:blurRad="38100" w14:dist="19050" w14:dir="2700000" w14:sx="100000" w14:sy="100000" w14:kx="0" w14:ky="0" w14:algn="tl">
                            <w14:schemeClr w14:val="bg1">
                              <w14:alpha w14:val="60000"/>
                              <w14:lumMod w14:val="65000"/>
                            </w14:schemeClr>
                          </w14:shadow>
                          <w14:textOutline w14:w="0" w14:cap="flat" w14:cmpd="sng" w14:algn="ctr">
                            <w14:noFill/>
                            <w14:prstDash w14:val="solid"/>
                            <w14:round/>
                          </w14:textOutline>
                        </w:rPr>
                        <w:br/>
                        <w:t>RESPONSIBILITY</w:t>
                      </w:r>
                    </w:p>
                  </w:txbxContent>
                </v:textbox>
              </v:shape>
            </w:pict>
          </mc:Fallback>
        </mc:AlternateContent>
      </w:r>
    </w:p>
    <w:p w:rsidR="009F6E65" w:rsidRPr="008E0469" w:rsidRDefault="00D05136">
      <w:pPr>
        <w:ind w:left="82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pt;height:237.75pt">
            <v:imagedata r:id="rId8" o:title=""/>
          </v:shape>
        </w:pict>
      </w:r>
    </w:p>
    <w:p w:rsidR="009F6E65" w:rsidRPr="008E0469" w:rsidRDefault="00D05136">
      <w:pPr>
        <w:spacing w:before="17" w:line="200" w:lineRule="exact"/>
      </w:pPr>
    </w:p>
    <w:p w:rsidR="009F6E65" w:rsidRPr="008E0469" w:rsidRDefault="00D05136" w:rsidP="009F6E65">
      <w:pPr>
        <w:tabs>
          <w:tab w:val="left" w:pos="6933"/>
        </w:tabs>
        <w:spacing w:before="1400"/>
        <w:ind w:left="2268" w:right="2107"/>
        <w:jc w:val="center"/>
        <w:rPr>
          <w:rFonts w:eastAsia="Arial" w:cs="Arial"/>
          <w:sz w:val="48"/>
          <w:szCs w:val="48"/>
        </w:rPr>
        <w:sectPr w:rsidR="009F6E65" w:rsidRPr="008E0469">
          <w:headerReference w:type="default" r:id="rId9"/>
          <w:pgSz w:w="11920" w:h="16840"/>
          <w:pgMar w:top="1940" w:right="1540" w:bottom="280" w:left="1340" w:header="697" w:footer="0" w:gutter="0"/>
          <w:cols w:space="720"/>
        </w:sectPr>
      </w:pPr>
      <w:r w:rsidRPr="008E0469">
        <w:rPr>
          <w:b/>
          <w:spacing w:val="-1"/>
          <w:sz w:val="48"/>
        </w:rPr>
        <w:t>Reporting Year 2015</w:t>
      </w:r>
    </w:p>
    <w:p w:rsidR="009F6E65" w:rsidRPr="008E0469" w:rsidRDefault="00D05136">
      <w:pPr>
        <w:spacing w:before="7" w:line="240" w:lineRule="exact"/>
        <w:rPr>
          <w:szCs w:val="24"/>
        </w:rPr>
      </w:pPr>
    </w:p>
    <w:p w:rsidR="009F6E65" w:rsidRPr="008E0469" w:rsidRDefault="00D05136">
      <w:pPr>
        <w:spacing w:before="40"/>
        <w:ind w:left="100"/>
        <w:rPr>
          <w:rFonts w:eastAsia="Arial" w:cs="Arial"/>
          <w:sz w:val="16"/>
          <w:szCs w:val="16"/>
        </w:rPr>
      </w:pPr>
      <w:r w:rsidRPr="008E0469">
        <w:rPr>
          <w:b/>
          <w:spacing w:val="1"/>
          <w:sz w:val="16"/>
        </w:rPr>
        <w:t>Published by:</w:t>
      </w:r>
    </w:p>
    <w:p w:rsidR="009F6E65" w:rsidRPr="008E0469" w:rsidRDefault="00D05136" w:rsidP="009F6E65">
      <w:pPr>
        <w:spacing w:before="400"/>
        <w:ind w:left="100"/>
        <w:rPr>
          <w:rFonts w:eastAsia="Arial" w:cs="Arial"/>
          <w:sz w:val="16"/>
          <w:szCs w:val="16"/>
        </w:rPr>
      </w:pPr>
      <w:r w:rsidRPr="008E0469">
        <w:rPr>
          <w:spacing w:val="1"/>
          <w:sz w:val="16"/>
        </w:rPr>
        <w:t>Federal Railway Authority</w:t>
      </w:r>
    </w:p>
    <w:p w:rsidR="009F6E65" w:rsidRPr="008E0469" w:rsidRDefault="00D05136" w:rsidP="009F6E65">
      <w:pPr>
        <w:spacing w:before="160"/>
        <w:ind w:left="100"/>
        <w:rPr>
          <w:rFonts w:eastAsia="Arial" w:cs="Arial"/>
          <w:sz w:val="16"/>
          <w:szCs w:val="16"/>
        </w:rPr>
      </w:pPr>
      <w:r w:rsidRPr="008E0469">
        <w:rPr>
          <w:spacing w:val="-1"/>
          <w:sz w:val="16"/>
        </w:rPr>
        <w:t>Heinemannstraße 6</w:t>
      </w:r>
    </w:p>
    <w:p w:rsidR="009F6E65" w:rsidRPr="008E0469" w:rsidRDefault="00D05136" w:rsidP="009F6E65">
      <w:pPr>
        <w:spacing w:before="160"/>
        <w:ind w:left="100"/>
        <w:rPr>
          <w:rFonts w:eastAsia="Arial" w:cs="Arial"/>
          <w:sz w:val="16"/>
          <w:szCs w:val="16"/>
        </w:rPr>
      </w:pPr>
      <w:r w:rsidRPr="008E0469">
        <w:rPr>
          <w:spacing w:val="-1"/>
          <w:sz w:val="16"/>
        </w:rPr>
        <w:t>53175 Bonn</w:t>
      </w:r>
    </w:p>
    <w:p w:rsidR="009F6E65" w:rsidRPr="008E0469" w:rsidRDefault="00D05136" w:rsidP="009F6E65">
      <w:pPr>
        <w:spacing w:before="160"/>
        <w:ind w:left="100"/>
        <w:rPr>
          <w:rFonts w:eastAsia="Arial" w:cs="Arial"/>
          <w:sz w:val="16"/>
          <w:szCs w:val="16"/>
        </w:rPr>
      </w:pPr>
      <w:r w:rsidRPr="008E0469">
        <w:rPr>
          <w:spacing w:val="-1"/>
          <w:sz w:val="16"/>
        </w:rPr>
        <w:t>Germany</w:t>
      </w:r>
    </w:p>
    <w:p w:rsidR="009F6E65" w:rsidRPr="008E0469" w:rsidRDefault="00D05136" w:rsidP="009F6E65">
      <w:pPr>
        <w:spacing w:before="160" w:line="180" w:lineRule="exact"/>
        <w:ind w:left="100"/>
        <w:rPr>
          <w:rFonts w:eastAsia="Arial" w:cs="Arial"/>
          <w:sz w:val="16"/>
          <w:szCs w:val="16"/>
        </w:rPr>
      </w:pPr>
      <w:hyperlink r:id="rId10" w:history="1">
        <w:r w:rsidRPr="008E0469">
          <w:rPr>
            <w:color w:val="0000FF"/>
            <w:spacing w:val="-1"/>
            <w:position w:val="-1"/>
            <w:sz w:val="16"/>
            <w:u w:val="single" w:color="0000FF"/>
          </w:rPr>
          <w:t>www.eisenbahn-bundesamt.de</w:t>
        </w:r>
      </w:hyperlink>
    </w:p>
    <w:p w:rsidR="009F6E65" w:rsidRPr="008E0469" w:rsidRDefault="00D05136" w:rsidP="009F6E65">
      <w:pPr>
        <w:spacing w:before="160"/>
        <w:ind w:left="100"/>
        <w:rPr>
          <w:rFonts w:eastAsia="Arial" w:cs="Arial"/>
          <w:sz w:val="16"/>
          <w:szCs w:val="16"/>
        </w:rPr>
        <w:sectPr w:rsidR="009F6E65" w:rsidRPr="008E0469" w:rsidSect="009F6E65">
          <w:pgSz w:w="11907" w:h="16840" w:code="9"/>
          <w:pgMar w:top="1939" w:right="1678" w:bottom="1134" w:left="1338" w:header="703" w:footer="1134" w:gutter="0"/>
          <w:cols w:space="720"/>
          <w:vAlign w:val="bottom"/>
          <w:docGrid w:linePitch="272"/>
        </w:sectPr>
      </w:pPr>
      <w:r w:rsidRPr="008E0469">
        <w:rPr>
          <w:b/>
          <w:spacing w:val="1"/>
          <w:sz w:val="16"/>
          <w:u w:val="single" w:color="000000"/>
        </w:rPr>
        <w:t>As at: 30.09.2016</w:t>
      </w:r>
    </w:p>
    <w:p w:rsidR="009F6E65" w:rsidRPr="008E0469" w:rsidRDefault="00D05136">
      <w:pPr>
        <w:spacing w:before="18"/>
        <w:ind w:left="120"/>
        <w:rPr>
          <w:rFonts w:eastAsia="Arial" w:cs="Arial"/>
          <w:sz w:val="32"/>
          <w:szCs w:val="32"/>
        </w:rPr>
      </w:pPr>
      <w:r w:rsidRPr="008E0469">
        <w:rPr>
          <w:b/>
          <w:sz w:val="32"/>
        </w:rPr>
        <w:t>Contents</w:t>
      </w:r>
    </w:p>
    <w:p w:rsidR="009F6E65" w:rsidRPr="008E0469" w:rsidRDefault="00D05136">
      <w:pPr>
        <w:pStyle w:val="TOC1"/>
        <w:tabs>
          <w:tab w:val="left" w:pos="440"/>
          <w:tab w:val="right" w:leader="dot" w:pos="9290"/>
        </w:tabs>
        <w:rPr>
          <w:rFonts w:asciiTheme="minorHAnsi" w:eastAsiaTheme="minorEastAsia" w:hAnsiTheme="minorHAnsi" w:cstheme="minorBidi"/>
          <w:noProof/>
          <w:szCs w:val="22"/>
          <w:lang w:val="fr-LU" w:eastAsia="fr-LU" w:bidi="ar-SA"/>
        </w:rPr>
      </w:pPr>
      <w:r w:rsidRPr="008E0469">
        <w:rPr>
          <w:rFonts w:eastAsia="Arial" w:cs="Arial"/>
          <w:szCs w:val="22"/>
        </w:rPr>
        <w:fldChar w:fldCharType="begin"/>
      </w:r>
      <w:r w:rsidRPr="008E0469">
        <w:rPr>
          <w:rFonts w:eastAsia="Arial" w:cs="Arial"/>
          <w:szCs w:val="22"/>
        </w:rPr>
        <w:instrText xml:space="preserve"> TOC \o "1-3" \h \z \t "Anhang_Toc,1,Tabelle_toc,2" </w:instrText>
      </w:r>
      <w:r w:rsidRPr="008E0469">
        <w:rPr>
          <w:rFonts w:eastAsia="Arial" w:cs="Arial"/>
          <w:szCs w:val="22"/>
        </w:rPr>
        <w:fldChar w:fldCharType="separate"/>
      </w:r>
      <w:hyperlink w:anchor="_Toc471208492" w:history="1">
        <w:r w:rsidRPr="008E0469">
          <w:rPr>
            <w:rStyle w:val="Hyperlink"/>
            <w:rFonts w:eastAsia="Arial"/>
            <w:noProof/>
          </w:rPr>
          <w:t>A.</w:t>
        </w:r>
        <w:r w:rsidRPr="008E0469">
          <w:rPr>
            <w:rFonts w:asciiTheme="minorHAnsi" w:eastAsiaTheme="minorEastAsia" w:hAnsiTheme="minorHAnsi" w:cstheme="minorBidi"/>
            <w:noProof/>
            <w:szCs w:val="22"/>
            <w:lang w:val="fr-LU" w:eastAsia="fr-LU" w:bidi="ar-SA"/>
          </w:rPr>
          <w:tab/>
        </w:r>
        <w:r w:rsidRPr="008E0469">
          <w:rPr>
            <w:rStyle w:val="Hyperlink"/>
            <w:noProof/>
          </w:rPr>
          <w:t>Introduction</w:t>
        </w:r>
        <w:r w:rsidRPr="008E0469">
          <w:rPr>
            <w:noProof/>
            <w:webHidden/>
          </w:rPr>
          <w:tab/>
        </w:r>
        <w:r w:rsidRPr="008E0469">
          <w:rPr>
            <w:noProof/>
            <w:webHidden/>
          </w:rPr>
          <w:fldChar w:fldCharType="begin"/>
        </w:r>
        <w:r w:rsidRPr="008E0469">
          <w:rPr>
            <w:noProof/>
            <w:webHidden/>
          </w:rPr>
          <w:instrText xml:space="preserve"> PAGEREF _Toc471208492 \h </w:instrText>
        </w:r>
        <w:r w:rsidRPr="008E0469">
          <w:rPr>
            <w:noProof/>
            <w:webHidden/>
          </w:rPr>
        </w:r>
        <w:r w:rsidRPr="008E0469">
          <w:rPr>
            <w:noProof/>
            <w:webHidden/>
          </w:rPr>
          <w:fldChar w:fldCharType="separate"/>
        </w:r>
        <w:r w:rsidRPr="008E0469">
          <w:rPr>
            <w:noProof/>
            <w:webHidden/>
          </w:rPr>
          <w:t>5</w:t>
        </w:r>
        <w:r w:rsidRPr="008E0469">
          <w:rPr>
            <w:noProof/>
            <w:webHidden/>
          </w:rPr>
          <w:fldChar w:fldCharType="end"/>
        </w:r>
      </w:hyperlink>
    </w:p>
    <w:p w:rsidR="009F6E65" w:rsidRPr="008E0469" w:rsidRDefault="00D05136">
      <w:pPr>
        <w:pStyle w:val="TOC1"/>
        <w:tabs>
          <w:tab w:val="left" w:pos="440"/>
          <w:tab w:val="right" w:leader="dot" w:pos="9290"/>
        </w:tabs>
        <w:rPr>
          <w:rFonts w:asciiTheme="minorHAnsi" w:eastAsiaTheme="minorEastAsia" w:hAnsiTheme="minorHAnsi" w:cstheme="minorBidi"/>
          <w:noProof/>
          <w:szCs w:val="22"/>
          <w:lang w:val="fr-LU" w:eastAsia="fr-LU" w:bidi="ar-SA"/>
        </w:rPr>
      </w:pPr>
      <w:hyperlink w:anchor="_Toc471208493" w:history="1">
        <w:r w:rsidRPr="008E0469">
          <w:rPr>
            <w:rStyle w:val="Hyperlink"/>
            <w:rFonts w:eastAsia="Arial"/>
            <w:noProof/>
          </w:rPr>
          <w:t>B.</w:t>
        </w:r>
        <w:r w:rsidRPr="008E0469">
          <w:rPr>
            <w:rFonts w:asciiTheme="minorHAnsi" w:eastAsiaTheme="minorEastAsia" w:hAnsiTheme="minorHAnsi" w:cstheme="minorBidi"/>
            <w:noProof/>
            <w:szCs w:val="22"/>
            <w:lang w:val="fr-LU" w:eastAsia="fr-LU" w:bidi="ar-SA"/>
          </w:rPr>
          <w:tab/>
        </w:r>
        <w:r w:rsidRPr="008E0469">
          <w:rPr>
            <w:rStyle w:val="Hyperlink"/>
            <w:noProof/>
          </w:rPr>
          <w:t>Safety Balance Sheet and Strategy</w:t>
        </w:r>
        <w:r w:rsidRPr="008E0469">
          <w:rPr>
            <w:noProof/>
            <w:webHidden/>
          </w:rPr>
          <w:tab/>
        </w:r>
        <w:r w:rsidRPr="008E0469">
          <w:rPr>
            <w:noProof/>
            <w:webHidden/>
          </w:rPr>
          <w:fldChar w:fldCharType="begin"/>
        </w:r>
        <w:r w:rsidRPr="008E0469">
          <w:rPr>
            <w:noProof/>
            <w:webHidden/>
          </w:rPr>
          <w:instrText xml:space="preserve"> PAGEREF _Toc471208493 \h </w:instrText>
        </w:r>
        <w:r w:rsidRPr="008E0469">
          <w:rPr>
            <w:noProof/>
            <w:webHidden/>
          </w:rPr>
        </w:r>
        <w:r w:rsidRPr="008E0469">
          <w:rPr>
            <w:noProof/>
            <w:webHidden/>
          </w:rPr>
          <w:fldChar w:fldCharType="separate"/>
        </w:r>
        <w:r w:rsidRPr="008E0469">
          <w:rPr>
            <w:noProof/>
            <w:webHidden/>
          </w:rPr>
          <w:t>6</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494" w:history="1">
        <w:r w:rsidRPr="008E0469">
          <w:rPr>
            <w:rStyle w:val="Hyperlink"/>
            <w:rFonts w:eastAsia="Arial"/>
            <w:noProof/>
          </w:rPr>
          <w:t>B.1</w:t>
        </w:r>
        <w:r w:rsidRPr="008E0469">
          <w:rPr>
            <w:rStyle w:val="Hyperlink"/>
            <w:noProof/>
          </w:rPr>
          <w:t xml:space="preserve"> Main conclusions for the reporting year</w:t>
        </w:r>
        <w:r w:rsidRPr="008E0469">
          <w:rPr>
            <w:noProof/>
            <w:webHidden/>
          </w:rPr>
          <w:tab/>
        </w:r>
        <w:r w:rsidRPr="008E0469">
          <w:rPr>
            <w:noProof/>
            <w:webHidden/>
          </w:rPr>
          <w:fldChar w:fldCharType="begin"/>
        </w:r>
        <w:r w:rsidRPr="008E0469">
          <w:rPr>
            <w:noProof/>
            <w:webHidden/>
          </w:rPr>
          <w:instrText xml:space="preserve"> PAGEREF _Toc471208494 \h </w:instrText>
        </w:r>
        <w:r w:rsidRPr="008E0469">
          <w:rPr>
            <w:noProof/>
            <w:webHidden/>
          </w:rPr>
        </w:r>
        <w:r w:rsidRPr="008E0469">
          <w:rPr>
            <w:noProof/>
            <w:webHidden/>
          </w:rPr>
          <w:fldChar w:fldCharType="separate"/>
        </w:r>
        <w:r w:rsidRPr="008E0469">
          <w:rPr>
            <w:noProof/>
            <w:webHidden/>
          </w:rPr>
          <w:t>6</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495" w:history="1">
        <w:r w:rsidRPr="008E0469">
          <w:rPr>
            <w:rStyle w:val="Hyperlink"/>
            <w:rFonts w:eastAsia="Arial"/>
            <w:noProof/>
          </w:rPr>
          <w:t>B.2</w:t>
        </w:r>
        <w:r w:rsidRPr="008E0469">
          <w:rPr>
            <w:rStyle w:val="Hyperlink"/>
            <w:noProof/>
          </w:rPr>
          <w:t xml:space="preserve"> National safety strategies, programmes and initiatives</w:t>
        </w:r>
        <w:r w:rsidRPr="008E0469">
          <w:rPr>
            <w:noProof/>
            <w:webHidden/>
          </w:rPr>
          <w:tab/>
        </w:r>
        <w:r w:rsidRPr="008E0469">
          <w:rPr>
            <w:noProof/>
            <w:webHidden/>
          </w:rPr>
          <w:fldChar w:fldCharType="begin"/>
        </w:r>
        <w:r w:rsidRPr="008E0469">
          <w:rPr>
            <w:noProof/>
            <w:webHidden/>
          </w:rPr>
          <w:instrText xml:space="preserve"> PAGEREF _Toc471208495 \h </w:instrText>
        </w:r>
        <w:r w:rsidRPr="008E0469">
          <w:rPr>
            <w:noProof/>
            <w:webHidden/>
          </w:rPr>
        </w:r>
        <w:r w:rsidRPr="008E0469">
          <w:rPr>
            <w:noProof/>
            <w:webHidden/>
          </w:rPr>
          <w:fldChar w:fldCharType="separate"/>
        </w:r>
        <w:r w:rsidRPr="008E0469">
          <w:rPr>
            <w:noProof/>
            <w:webHidden/>
          </w:rPr>
          <w:t>6</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496" w:history="1">
        <w:r w:rsidRPr="008E0469">
          <w:rPr>
            <w:rStyle w:val="Hyperlink"/>
            <w:rFonts w:eastAsia="Arial"/>
            <w:noProof/>
          </w:rPr>
          <w:t>B.3</w:t>
        </w:r>
        <w:r w:rsidRPr="008E0469">
          <w:rPr>
            <w:rStyle w:val="Hyperlink"/>
            <w:noProof/>
          </w:rPr>
          <w:t xml:space="preserve"> Assessment of the reporting year</w:t>
        </w:r>
        <w:r w:rsidRPr="008E0469">
          <w:rPr>
            <w:noProof/>
            <w:webHidden/>
          </w:rPr>
          <w:tab/>
        </w:r>
        <w:r w:rsidRPr="008E0469">
          <w:rPr>
            <w:noProof/>
            <w:webHidden/>
          </w:rPr>
          <w:fldChar w:fldCharType="begin"/>
        </w:r>
        <w:r w:rsidRPr="008E0469">
          <w:rPr>
            <w:noProof/>
            <w:webHidden/>
          </w:rPr>
          <w:instrText xml:space="preserve"> PAGEREF _Toc4712</w:instrText>
        </w:r>
        <w:r w:rsidRPr="008E0469">
          <w:rPr>
            <w:noProof/>
            <w:webHidden/>
          </w:rPr>
          <w:instrText xml:space="preserve">08496 \h </w:instrText>
        </w:r>
        <w:r w:rsidRPr="008E0469">
          <w:rPr>
            <w:noProof/>
            <w:webHidden/>
          </w:rPr>
        </w:r>
        <w:r w:rsidRPr="008E0469">
          <w:rPr>
            <w:noProof/>
            <w:webHidden/>
          </w:rPr>
          <w:fldChar w:fldCharType="separate"/>
        </w:r>
        <w:r w:rsidRPr="008E0469">
          <w:rPr>
            <w:noProof/>
            <w:webHidden/>
          </w:rPr>
          <w:t>6</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497" w:history="1">
        <w:r w:rsidRPr="008E0469">
          <w:rPr>
            <w:rStyle w:val="Hyperlink"/>
            <w:rFonts w:eastAsia="Arial"/>
            <w:noProof/>
          </w:rPr>
          <w:t>B.4</w:t>
        </w:r>
        <w:r w:rsidRPr="008E0469">
          <w:rPr>
            <w:rStyle w:val="Hyperlink"/>
            <w:noProof/>
          </w:rPr>
          <w:t xml:space="preserve"> Priority areas for 2016</w:t>
        </w:r>
        <w:r w:rsidRPr="008E0469">
          <w:rPr>
            <w:noProof/>
            <w:webHidden/>
          </w:rPr>
          <w:tab/>
        </w:r>
        <w:r w:rsidRPr="008E0469">
          <w:rPr>
            <w:noProof/>
            <w:webHidden/>
          </w:rPr>
          <w:fldChar w:fldCharType="begin"/>
        </w:r>
        <w:r w:rsidRPr="008E0469">
          <w:rPr>
            <w:noProof/>
            <w:webHidden/>
          </w:rPr>
          <w:instrText xml:space="preserve"> PAGEREF _Toc471208497 \h </w:instrText>
        </w:r>
        <w:r w:rsidRPr="008E0469">
          <w:rPr>
            <w:noProof/>
            <w:webHidden/>
          </w:rPr>
        </w:r>
        <w:r w:rsidRPr="008E0469">
          <w:rPr>
            <w:noProof/>
            <w:webHidden/>
          </w:rPr>
          <w:fldChar w:fldCharType="separate"/>
        </w:r>
        <w:r w:rsidRPr="008E0469">
          <w:rPr>
            <w:noProof/>
            <w:webHidden/>
          </w:rPr>
          <w:t>8</w:t>
        </w:r>
        <w:r w:rsidRPr="008E0469">
          <w:rPr>
            <w:noProof/>
            <w:webHidden/>
          </w:rPr>
          <w:fldChar w:fldCharType="end"/>
        </w:r>
      </w:hyperlink>
    </w:p>
    <w:p w:rsidR="009F6E65" w:rsidRPr="008E0469" w:rsidRDefault="00D05136">
      <w:pPr>
        <w:pStyle w:val="TOC1"/>
        <w:tabs>
          <w:tab w:val="left" w:pos="660"/>
          <w:tab w:val="right" w:leader="dot" w:pos="9290"/>
        </w:tabs>
        <w:rPr>
          <w:rFonts w:asciiTheme="minorHAnsi" w:eastAsiaTheme="minorEastAsia" w:hAnsiTheme="minorHAnsi" w:cstheme="minorBidi"/>
          <w:noProof/>
          <w:szCs w:val="22"/>
          <w:lang w:val="fr-LU" w:eastAsia="fr-LU" w:bidi="ar-SA"/>
        </w:rPr>
      </w:pPr>
      <w:hyperlink w:anchor="_Toc471208498" w:history="1">
        <w:r w:rsidRPr="008E0469">
          <w:rPr>
            <w:rStyle w:val="Hyperlink"/>
            <w:rFonts w:eastAsia="Arial"/>
            <w:noProof/>
          </w:rPr>
          <w:t>C.</w:t>
        </w:r>
        <w:r w:rsidRPr="008E0469">
          <w:rPr>
            <w:rFonts w:asciiTheme="minorHAnsi" w:eastAsiaTheme="minorEastAsia" w:hAnsiTheme="minorHAnsi" w:cstheme="minorBidi"/>
            <w:noProof/>
            <w:szCs w:val="22"/>
            <w:lang w:val="fr-LU" w:eastAsia="fr-LU" w:bidi="ar-SA"/>
          </w:rPr>
          <w:tab/>
        </w:r>
        <w:r w:rsidRPr="008E0469">
          <w:rPr>
            <w:rStyle w:val="Hyperlink"/>
            <w:noProof/>
          </w:rPr>
          <w:t>Development in the safety sector</w:t>
        </w:r>
        <w:r w:rsidRPr="008E0469">
          <w:rPr>
            <w:noProof/>
            <w:webHidden/>
          </w:rPr>
          <w:tab/>
        </w:r>
        <w:r w:rsidRPr="008E0469">
          <w:rPr>
            <w:noProof/>
            <w:webHidden/>
          </w:rPr>
          <w:fldChar w:fldCharType="begin"/>
        </w:r>
        <w:r w:rsidRPr="008E0469">
          <w:rPr>
            <w:noProof/>
            <w:webHidden/>
          </w:rPr>
          <w:instrText xml:space="preserve"> PAGEREF _Toc471208498 \h </w:instrText>
        </w:r>
        <w:r w:rsidRPr="008E0469">
          <w:rPr>
            <w:noProof/>
            <w:webHidden/>
          </w:rPr>
        </w:r>
        <w:r w:rsidRPr="008E0469">
          <w:rPr>
            <w:noProof/>
            <w:webHidden/>
          </w:rPr>
          <w:fldChar w:fldCharType="separate"/>
        </w:r>
        <w:r w:rsidRPr="008E0469">
          <w:rPr>
            <w:noProof/>
            <w:webHidden/>
          </w:rPr>
          <w:t>9</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499" w:history="1">
        <w:r w:rsidRPr="008E0469">
          <w:rPr>
            <w:rStyle w:val="Hyperlink"/>
            <w:rFonts w:eastAsia="Arial"/>
            <w:noProof/>
          </w:rPr>
          <w:t>C.1</w:t>
        </w:r>
        <w:r w:rsidRPr="008E0469">
          <w:rPr>
            <w:rStyle w:val="Hyperlink"/>
            <w:noProof/>
          </w:rPr>
          <w:t xml:space="preserve"> In-depth analysis of the trends noted in the recent past</w:t>
        </w:r>
        <w:r w:rsidRPr="008E0469">
          <w:rPr>
            <w:noProof/>
            <w:webHidden/>
          </w:rPr>
          <w:tab/>
        </w:r>
        <w:r w:rsidRPr="008E0469">
          <w:rPr>
            <w:noProof/>
            <w:webHidden/>
          </w:rPr>
          <w:fldChar w:fldCharType="begin"/>
        </w:r>
        <w:r w:rsidRPr="008E0469">
          <w:rPr>
            <w:noProof/>
            <w:webHidden/>
          </w:rPr>
          <w:instrText xml:space="preserve"> PAGEREF _Toc471208499 \h </w:instrText>
        </w:r>
        <w:r w:rsidRPr="008E0469">
          <w:rPr>
            <w:noProof/>
            <w:webHidden/>
          </w:rPr>
        </w:r>
        <w:r w:rsidRPr="008E0469">
          <w:rPr>
            <w:noProof/>
            <w:webHidden/>
          </w:rPr>
          <w:fldChar w:fldCharType="separate"/>
        </w:r>
        <w:r w:rsidRPr="008E0469">
          <w:rPr>
            <w:noProof/>
            <w:webHidden/>
          </w:rPr>
          <w:t>9</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00" w:history="1">
        <w:r w:rsidRPr="008E0469">
          <w:rPr>
            <w:rStyle w:val="Hyperlink"/>
            <w:rFonts w:eastAsia="Arial"/>
            <w:noProof/>
          </w:rPr>
          <w:t>C.2</w:t>
        </w:r>
        <w:r w:rsidRPr="008E0469">
          <w:rPr>
            <w:rStyle w:val="Hyperlink"/>
            <w:noProof/>
          </w:rPr>
          <w:t xml:space="preserve"> Results of the safety recommendations of the Federal Rai</w:t>
        </w:r>
        <w:r w:rsidRPr="008E0469">
          <w:rPr>
            <w:rStyle w:val="Hyperlink"/>
            <w:noProof/>
          </w:rPr>
          <w:t>lway Accident Investigation Office (EUB)</w:t>
        </w:r>
        <w:r w:rsidRPr="008E0469">
          <w:rPr>
            <w:noProof/>
            <w:webHidden/>
          </w:rPr>
          <w:tab/>
        </w:r>
        <w:r w:rsidRPr="008E0469">
          <w:rPr>
            <w:noProof/>
            <w:webHidden/>
          </w:rPr>
          <w:fldChar w:fldCharType="begin"/>
        </w:r>
        <w:r w:rsidRPr="008E0469">
          <w:rPr>
            <w:noProof/>
            <w:webHidden/>
          </w:rPr>
          <w:instrText xml:space="preserve"> PAGEREF _Toc471208500 \h </w:instrText>
        </w:r>
        <w:r w:rsidRPr="008E0469">
          <w:rPr>
            <w:noProof/>
            <w:webHidden/>
          </w:rPr>
        </w:r>
        <w:r w:rsidRPr="008E0469">
          <w:rPr>
            <w:noProof/>
            <w:webHidden/>
          </w:rPr>
          <w:fldChar w:fldCharType="separate"/>
        </w:r>
        <w:r w:rsidRPr="008E0469">
          <w:rPr>
            <w:noProof/>
            <w:webHidden/>
          </w:rPr>
          <w:t>11</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01" w:history="1">
        <w:r w:rsidRPr="008E0469">
          <w:rPr>
            <w:rStyle w:val="Hyperlink"/>
            <w:rFonts w:eastAsia="Arial"/>
            <w:noProof/>
          </w:rPr>
          <w:t>C.3</w:t>
        </w:r>
        <w:r w:rsidRPr="008E0469">
          <w:rPr>
            <w:rStyle w:val="Hyperlink"/>
            <w:noProof/>
          </w:rPr>
          <w:t xml:space="preserve"> Measures implemented without reference to safety recommendations</w:t>
        </w:r>
        <w:r w:rsidRPr="008E0469">
          <w:rPr>
            <w:noProof/>
            <w:webHidden/>
          </w:rPr>
          <w:tab/>
        </w:r>
        <w:r w:rsidRPr="008E0469">
          <w:rPr>
            <w:noProof/>
            <w:webHidden/>
          </w:rPr>
          <w:fldChar w:fldCharType="begin"/>
        </w:r>
        <w:r w:rsidRPr="008E0469">
          <w:rPr>
            <w:noProof/>
            <w:webHidden/>
          </w:rPr>
          <w:instrText xml:space="preserve"> PAGEREF _Toc471208501 \h </w:instrText>
        </w:r>
        <w:r w:rsidRPr="008E0469">
          <w:rPr>
            <w:noProof/>
            <w:webHidden/>
          </w:rPr>
        </w:r>
        <w:r w:rsidRPr="008E0469">
          <w:rPr>
            <w:noProof/>
            <w:webHidden/>
          </w:rPr>
          <w:fldChar w:fldCharType="separate"/>
        </w:r>
        <w:r w:rsidRPr="008E0469">
          <w:rPr>
            <w:noProof/>
            <w:webHidden/>
          </w:rPr>
          <w:t>15</w:t>
        </w:r>
        <w:r w:rsidRPr="008E0469">
          <w:rPr>
            <w:noProof/>
            <w:webHidden/>
          </w:rPr>
          <w:fldChar w:fldCharType="end"/>
        </w:r>
      </w:hyperlink>
    </w:p>
    <w:p w:rsidR="009F6E65" w:rsidRPr="008E0469" w:rsidRDefault="00D05136">
      <w:pPr>
        <w:pStyle w:val="TOC1"/>
        <w:tabs>
          <w:tab w:val="left" w:pos="660"/>
          <w:tab w:val="right" w:leader="dot" w:pos="9290"/>
        </w:tabs>
        <w:rPr>
          <w:rFonts w:asciiTheme="minorHAnsi" w:eastAsiaTheme="minorEastAsia" w:hAnsiTheme="minorHAnsi" w:cstheme="minorBidi"/>
          <w:noProof/>
          <w:szCs w:val="22"/>
          <w:lang w:val="fr-LU" w:eastAsia="fr-LU" w:bidi="ar-SA"/>
        </w:rPr>
      </w:pPr>
      <w:hyperlink w:anchor="_Toc471208502" w:history="1">
        <w:r w:rsidRPr="008E0469">
          <w:rPr>
            <w:rStyle w:val="Hyperlink"/>
            <w:rFonts w:eastAsia="Arial"/>
            <w:noProof/>
          </w:rPr>
          <w:t>D.</w:t>
        </w:r>
        <w:r w:rsidRPr="008E0469">
          <w:rPr>
            <w:rFonts w:asciiTheme="minorHAnsi" w:eastAsiaTheme="minorEastAsia" w:hAnsiTheme="minorHAnsi" w:cstheme="minorBidi"/>
            <w:noProof/>
            <w:szCs w:val="22"/>
            <w:lang w:val="fr-LU" w:eastAsia="fr-LU" w:bidi="ar-SA"/>
          </w:rPr>
          <w:tab/>
        </w:r>
        <w:r w:rsidRPr="008E0469">
          <w:rPr>
            <w:rStyle w:val="Hyperlink"/>
            <w:noProof/>
          </w:rPr>
          <w:t>Supervision</w:t>
        </w:r>
        <w:r w:rsidRPr="008E0469">
          <w:rPr>
            <w:noProof/>
            <w:webHidden/>
          </w:rPr>
          <w:tab/>
        </w:r>
        <w:r w:rsidRPr="008E0469">
          <w:rPr>
            <w:noProof/>
            <w:webHidden/>
          </w:rPr>
          <w:fldChar w:fldCharType="begin"/>
        </w:r>
        <w:r w:rsidRPr="008E0469">
          <w:rPr>
            <w:noProof/>
            <w:webHidden/>
          </w:rPr>
          <w:instrText xml:space="preserve"> PAGEREF _Toc471208502 \h </w:instrText>
        </w:r>
        <w:r w:rsidRPr="008E0469">
          <w:rPr>
            <w:noProof/>
            <w:webHidden/>
          </w:rPr>
        </w:r>
        <w:r w:rsidRPr="008E0469">
          <w:rPr>
            <w:noProof/>
            <w:webHidden/>
          </w:rPr>
          <w:fldChar w:fldCharType="separate"/>
        </w:r>
        <w:r w:rsidRPr="008E0469">
          <w:rPr>
            <w:noProof/>
            <w:webHidden/>
          </w:rPr>
          <w:t>20</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03" w:history="1">
        <w:r w:rsidRPr="008E0469">
          <w:rPr>
            <w:rStyle w:val="Hyperlink"/>
            <w:rFonts w:eastAsia="Arial"/>
            <w:noProof/>
          </w:rPr>
          <w:t>D.1</w:t>
        </w:r>
        <w:r w:rsidRPr="008E0469">
          <w:rPr>
            <w:rStyle w:val="Hyperlink"/>
            <w:noProof/>
          </w:rPr>
          <w:t xml:space="preserve"> Strategy and plan(s)</w:t>
        </w:r>
        <w:r w:rsidRPr="008E0469">
          <w:rPr>
            <w:noProof/>
            <w:webHidden/>
          </w:rPr>
          <w:tab/>
        </w:r>
        <w:r w:rsidRPr="008E0469">
          <w:rPr>
            <w:noProof/>
            <w:webHidden/>
          </w:rPr>
          <w:fldChar w:fldCharType="begin"/>
        </w:r>
        <w:r w:rsidRPr="008E0469">
          <w:rPr>
            <w:noProof/>
            <w:webHidden/>
          </w:rPr>
          <w:instrText xml:space="preserve"> PAGEREF _Toc471208503 \h </w:instrText>
        </w:r>
        <w:r w:rsidRPr="008E0469">
          <w:rPr>
            <w:noProof/>
            <w:webHidden/>
          </w:rPr>
        </w:r>
        <w:r w:rsidRPr="008E0469">
          <w:rPr>
            <w:noProof/>
            <w:webHidden/>
          </w:rPr>
          <w:fldChar w:fldCharType="separate"/>
        </w:r>
        <w:r w:rsidRPr="008E0469">
          <w:rPr>
            <w:noProof/>
            <w:webHidden/>
          </w:rPr>
          <w:t>20</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04" w:history="1">
        <w:r w:rsidRPr="008E0469">
          <w:rPr>
            <w:rStyle w:val="Hyperlink"/>
            <w:rFonts w:eastAsia="Arial"/>
            <w:noProof/>
          </w:rPr>
          <w:t>D.2</w:t>
        </w:r>
        <w:r w:rsidRPr="008E0469">
          <w:rPr>
            <w:rStyle w:val="Hyperlink"/>
            <w:noProof/>
          </w:rPr>
          <w:t xml:space="preserve"> Staff</w:t>
        </w:r>
        <w:r w:rsidRPr="008E0469">
          <w:rPr>
            <w:noProof/>
            <w:webHidden/>
          </w:rPr>
          <w:tab/>
        </w:r>
        <w:r w:rsidRPr="008E0469">
          <w:rPr>
            <w:noProof/>
            <w:webHidden/>
          </w:rPr>
          <w:fldChar w:fldCharType="begin"/>
        </w:r>
        <w:r w:rsidRPr="008E0469">
          <w:rPr>
            <w:noProof/>
            <w:webHidden/>
          </w:rPr>
          <w:instrText xml:space="preserve"> PAGEREF _Toc471208504 \h </w:instrText>
        </w:r>
        <w:r w:rsidRPr="008E0469">
          <w:rPr>
            <w:noProof/>
            <w:webHidden/>
          </w:rPr>
        </w:r>
        <w:r w:rsidRPr="008E0469">
          <w:rPr>
            <w:noProof/>
            <w:webHidden/>
          </w:rPr>
          <w:fldChar w:fldCharType="separate"/>
        </w:r>
        <w:r w:rsidRPr="008E0469">
          <w:rPr>
            <w:noProof/>
            <w:webHidden/>
          </w:rPr>
          <w:t>21</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05" w:history="1">
        <w:r w:rsidRPr="008E0469">
          <w:rPr>
            <w:rStyle w:val="Hyperlink"/>
            <w:rFonts w:eastAsia="Arial"/>
            <w:noProof/>
          </w:rPr>
          <w:t>D.3</w:t>
        </w:r>
        <w:r w:rsidRPr="008E0469">
          <w:rPr>
            <w:rStyle w:val="Hyperlink"/>
            <w:noProof/>
          </w:rPr>
          <w:t xml:space="preserve"> Skills</w:t>
        </w:r>
        <w:r w:rsidRPr="008E0469">
          <w:rPr>
            <w:noProof/>
            <w:webHidden/>
          </w:rPr>
          <w:tab/>
        </w:r>
        <w:r w:rsidRPr="008E0469">
          <w:rPr>
            <w:noProof/>
            <w:webHidden/>
          </w:rPr>
          <w:fldChar w:fldCharType="begin"/>
        </w:r>
        <w:r w:rsidRPr="008E0469">
          <w:rPr>
            <w:noProof/>
            <w:webHidden/>
          </w:rPr>
          <w:instrText xml:space="preserve"> PAGEREF _Toc471208505 \h </w:instrText>
        </w:r>
        <w:r w:rsidRPr="008E0469">
          <w:rPr>
            <w:noProof/>
            <w:webHidden/>
          </w:rPr>
        </w:r>
        <w:r w:rsidRPr="008E0469">
          <w:rPr>
            <w:noProof/>
            <w:webHidden/>
          </w:rPr>
          <w:fldChar w:fldCharType="separate"/>
        </w:r>
        <w:r w:rsidRPr="008E0469">
          <w:rPr>
            <w:noProof/>
            <w:webHidden/>
          </w:rPr>
          <w:t>22</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06" w:history="1">
        <w:r w:rsidRPr="008E0469">
          <w:rPr>
            <w:rStyle w:val="Hyperlink"/>
            <w:rFonts w:eastAsia="Arial"/>
            <w:noProof/>
          </w:rPr>
          <w:t>D.4</w:t>
        </w:r>
        <w:r w:rsidRPr="008E0469">
          <w:rPr>
            <w:rStyle w:val="Hyperlink"/>
            <w:noProof/>
          </w:rPr>
          <w:t xml:space="preserve"> Decision-making</w:t>
        </w:r>
        <w:r w:rsidRPr="008E0469">
          <w:rPr>
            <w:noProof/>
            <w:webHidden/>
          </w:rPr>
          <w:tab/>
        </w:r>
        <w:r w:rsidRPr="008E0469">
          <w:rPr>
            <w:noProof/>
            <w:webHidden/>
          </w:rPr>
          <w:fldChar w:fldCharType="begin"/>
        </w:r>
        <w:r w:rsidRPr="008E0469">
          <w:rPr>
            <w:noProof/>
            <w:webHidden/>
          </w:rPr>
          <w:instrText xml:space="preserve"> PAGEREF _Toc471208506 \h </w:instrText>
        </w:r>
        <w:r w:rsidRPr="008E0469">
          <w:rPr>
            <w:noProof/>
            <w:webHidden/>
          </w:rPr>
        </w:r>
        <w:r w:rsidRPr="008E0469">
          <w:rPr>
            <w:noProof/>
            <w:webHidden/>
          </w:rPr>
          <w:fldChar w:fldCharType="separate"/>
        </w:r>
        <w:r w:rsidRPr="008E0469">
          <w:rPr>
            <w:noProof/>
            <w:webHidden/>
          </w:rPr>
          <w:t>22</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07" w:history="1">
        <w:r w:rsidRPr="008E0469">
          <w:rPr>
            <w:rStyle w:val="Hyperlink"/>
            <w:rFonts w:eastAsia="Arial"/>
            <w:noProof/>
          </w:rPr>
          <w:t>D.5</w:t>
        </w:r>
        <w:r w:rsidRPr="008E0469">
          <w:rPr>
            <w:rStyle w:val="Hyperlink"/>
            <w:noProof/>
          </w:rPr>
          <w:t xml:space="preserve"> Co-o</w:t>
        </w:r>
        <w:r w:rsidRPr="008E0469">
          <w:rPr>
            <w:rStyle w:val="Hyperlink"/>
            <w:noProof/>
          </w:rPr>
          <w:t>rdination and co-operation</w:t>
        </w:r>
        <w:r w:rsidRPr="008E0469">
          <w:rPr>
            <w:noProof/>
            <w:webHidden/>
          </w:rPr>
          <w:tab/>
        </w:r>
        <w:r w:rsidRPr="008E0469">
          <w:rPr>
            <w:noProof/>
            <w:webHidden/>
          </w:rPr>
          <w:fldChar w:fldCharType="begin"/>
        </w:r>
        <w:r w:rsidRPr="008E0469">
          <w:rPr>
            <w:noProof/>
            <w:webHidden/>
          </w:rPr>
          <w:instrText xml:space="preserve"> PAGEREF _Toc471208507 \h </w:instrText>
        </w:r>
        <w:r w:rsidRPr="008E0469">
          <w:rPr>
            <w:noProof/>
            <w:webHidden/>
          </w:rPr>
        </w:r>
        <w:r w:rsidRPr="008E0469">
          <w:rPr>
            <w:noProof/>
            <w:webHidden/>
          </w:rPr>
          <w:fldChar w:fldCharType="separate"/>
        </w:r>
        <w:r w:rsidRPr="008E0469">
          <w:rPr>
            <w:noProof/>
            <w:webHidden/>
          </w:rPr>
          <w:t>23</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08" w:history="1">
        <w:r w:rsidRPr="008E0469">
          <w:rPr>
            <w:rStyle w:val="Hyperlink"/>
            <w:rFonts w:eastAsia="Arial"/>
            <w:noProof/>
          </w:rPr>
          <w:t>D.6</w:t>
        </w:r>
        <w:r w:rsidRPr="008E0469">
          <w:rPr>
            <w:rStyle w:val="Hyperlink"/>
            <w:noProof/>
          </w:rPr>
          <w:t xml:space="preserve"> Lessons learned from measures adopted</w:t>
        </w:r>
        <w:r w:rsidRPr="008E0469">
          <w:rPr>
            <w:noProof/>
            <w:webHidden/>
          </w:rPr>
          <w:tab/>
        </w:r>
        <w:r w:rsidRPr="008E0469">
          <w:rPr>
            <w:noProof/>
            <w:webHidden/>
          </w:rPr>
          <w:fldChar w:fldCharType="begin"/>
        </w:r>
        <w:r w:rsidRPr="008E0469">
          <w:rPr>
            <w:noProof/>
            <w:webHidden/>
          </w:rPr>
          <w:instrText xml:space="preserve"> PAGEREF _Toc471208508 \h </w:instrText>
        </w:r>
        <w:r w:rsidRPr="008E0469">
          <w:rPr>
            <w:noProof/>
            <w:webHidden/>
          </w:rPr>
        </w:r>
        <w:r w:rsidRPr="008E0469">
          <w:rPr>
            <w:noProof/>
            <w:webHidden/>
          </w:rPr>
          <w:fldChar w:fldCharType="separate"/>
        </w:r>
        <w:r w:rsidRPr="008E0469">
          <w:rPr>
            <w:noProof/>
            <w:webHidden/>
          </w:rPr>
          <w:t>23</w:t>
        </w:r>
        <w:r w:rsidRPr="008E0469">
          <w:rPr>
            <w:noProof/>
            <w:webHidden/>
          </w:rPr>
          <w:fldChar w:fldCharType="end"/>
        </w:r>
      </w:hyperlink>
    </w:p>
    <w:p w:rsidR="009F6E65" w:rsidRPr="008E0469" w:rsidRDefault="00D05136">
      <w:pPr>
        <w:pStyle w:val="TOC1"/>
        <w:tabs>
          <w:tab w:val="left" w:pos="440"/>
          <w:tab w:val="right" w:leader="dot" w:pos="9290"/>
        </w:tabs>
        <w:rPr>
          <w:rFonts w:asciiTheme="minorHAnsi" w:eastAsiaTheme="minorEastAsia" w:hAnsiTheme="minorHAnsi" w:cstheme="minorBidi"/>
          <w:noProof/>
          <w:szCs w:val="22"/>
          <w:lang w:val="fr-LU" w:eastAsia="fr-LU" w:bidi="ar-SA"/>
        </w:rPr>
      </w:pPr>
      <w:hyperlink w:anchor="_Toc471208509" w:history="1">
        <w:r w:rsidRPr="008E0469">
          <w:rPr>
            <w:rStyle w:val="Hyperlink"/>
            <w:rFonts w:eastAsia="Arial"/>
            <w:noProof/>
          </w:rPr>
          <w:t>E.</w:t>
        </w:r>
        <w:r w:rsidRPr="008E0469">
          <w:rPr>
            <w:rFonts w:asciiTheme="minorHAnsi" w:eastAsiaTheme="minorEastAsia" w:hAnsiTheme="minorHAnsi" w:cstheme="minorBidi"/>
            <w:noProof/>
            <w:szCs w:val="22"/>
            <w:lang w:val="fr-LU" w:eastAsia="fr-LU" w:bidi="ar-SA"/>
          </w:rPr>
          <w:tab/>
        </w:r>
        <w:r w:rsidRPr="008E0469">
          <w:rPr>
            <w:rStyle w:val="Hyperlink"/>
            <w:noProof/>
          </w:rPr>
          <w:t>Safety certification and authorisation</w:t>
        </w:r>
        <w:r w:rsidRPr="008E0469">
          <w:rPr>
            <w:noProof/>
            <w:webHidden/>
          </w:rPr>
          <w:tab/>
        </w:r>
        <w:r w:rsidRPr="008E0469">
          <w:rPr>
            <w:noProof/>
            <w:webHidden/>
          </w:rPr>
          <w:fldChar w:fldCharType="begin"/>
        </w:r>
        <w:r w:rsidRPr="008E0469">
          <w:rPr>
            <w:noProof/>
            <w:webHidden/>
          </w:rPr>
          <w:instrText xml:space="preserve"> PAGEREF _Toc471208509 \h </w:instrText>
        </w:r>
        <w:r w:rsidRPr="008E0469">
          <w:rPr>
            <w:noProof/>
            <w:webHidden/>
          </w:rPr>
        </w:r>
        <w:r w:rsidRPr="008E0469">
          <w:rPr>
            <w:noProof/>
            <w:webHidden/>
          </w:rPr>
          <w:fldChar w:fldCharType="separate"/>
        </w:r>
        <w:r w:rsidRPr="008E0469">
          <w:rPr>
            <w:noProof/>
            <w:webHidden/>
          </w:rPr>
          <w:t>25</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10" w:history="1">
        <w:r w:rsidRPr="008E0469">
          <w:rPr>
            <w:rStyle w:val="Hyperlink"/>
            <w:rFonts w:eastAsia="Arial"/>
            <w:noProof/>
          </w:rPr>
          <w:t>E.1</w:t>
        </w:r>
        <w:r w:rsidRPr="008E0469">
          <w:rPr>
            <w:rStyle w:val="Hyperlink"/>
            <w:noProof/>
          </w:rPr>
          <w:t xml:space="preserve"> Guidelines</w:t>
        </w:r>
        <w:r w:rsidRPr="008E0469">
          <w:rPr>
            <w:noProof/>
            <w:webHidden/>
          </w:rPr>
          <w:tab/>
        </w:r>
        <w:r w:rsidRPr="008E0469">
          <w:rPr>
            <w:noProof/>
            <w:webHidden/>
          </w:rPr>
          <w:fldChar w:fldCharType="begin"/>
        </w:r>
        <w:r w:rsidRPr="008E0469">
          <w:rPr>
            <w:noProof/>
            <w:webHidden/>
          </w:rPr>
          <w:instrText xml:space="preserve"> PAGEREF _Toc471208510 \h </w:instrText>
        </w:r>
        <w:r w:rsidRPr="008E0469">
          <w:rPr>
            <w:noProof/>
            <w:webHidden/>
          </w:rPr>
        </w:r>
        <w:r w:rsidRPr="008E0469">
          <w:rPr>
            <w:noProof/>
            <w:webHidden/>
          </w:rPr>
          <w:fldChar w:fldCharType="separate"/>
        </w:r>
        <w:r w:rsidRPr="008E0469">
          <w:rPr>
            <w:noProof/>
            <w:webHidden/>
          </w:rPr>
          <w:t>25</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11" w:history="1">
        <w:r w:rsidRPr="008E0469">
          <w:rPr>
            <w:rStyle w:val="Hyperlink"/>
            <w:rFonts w:eastAsia="Arial"/>
            <w:noProof/>
          </w:rPr>
          <w:t>E.2</w:t>
        </w:r>
        <w:r w:rsidRPr="008E0469">
          <w:rPr>
            <w:rStyle w:val="Hyperlink"/>
            <w:noProof/>
          </w:rPr>
          <w:t xml:space="preserve"> Contacts w</w:t>
        </w:r>
        <w:r w:rsidRPr="008E0469">
          <w:rPr>
            <w:rStyle w:val="Hyperlink"/>
            <w:noProof/>
          </w:rPr>
          <w:t>ith other national safety authorities</w:t>
        </w:r>
        <w:r w:rsidRPr="008E0469">
          <w:rPr>
            <w:noProof/>
            <w:webHidden/>
          </w:rPr>
          <w:tab/>
        </w:r>
        <w:r w:rsidRPr="008E0469">
          <w:rPr>
            <w:noProof/>
            <w:webHidden/>
          </w:rPr>
          <w:fldChar w:fldCharType="begin"/>
        </w:r>
        <w:r w:rsidRPr="008E0469">
          <w:rPr>
            <w:noProof/>
            <w:webHidden/>
          </w:rPr>
          <w:instrText xml:space="preserve"> PAGEREF _Toc471208511 \h </w:instrText>
        </w:r>
        <w:r w:rsidRPr="008E0469">
          <w:rPr>
            <w:noProof/>
            <w:webHidden/>
          </w:rPr>
        </w:r>
        <w:r w:rsidRPr="008E0469">
          <w:rPr>
            <w:noProof/>
            <w:webHidden/>
          </w:rPr>
          <w:fldChar w:fldCharType="separate"/>
        </w:r>
        <w:r w:rsidRPr="008E0469">
          <w:rPr>
            <w:noProof/>
            <w:webHidden/>
          </w:rPr>
          <w:t>25</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12" w:history="1">
        <w:r w:rsidRPr="008E0469">
          <w:rPr>
            <w:rStyle w:val="Hyperlink"/>
            <w:rFonts w:eastAsia="Arial"/>
            <w:noProof/>
          </w:rPr>
          <w:t>E.3</w:t>
        </w:r>
        <w:r w:rsidRPr="008E0469">
          <w:rPr>
            <w:rStyle w:val="Hyperlink"/>
            <w:noProof/>
          </w:rPr>
          <w:t xml:space="preserve"> Procedural aspects</w:t>
        </w:r>
        <w:r w:rsidRPr="008E0469">
          <w:rPr>
            <w:noProof/>
            <w:webHidden/>
          </w:rPr>
          <w:tab/>
        </w:r>
        <w:r w:rsidRPr="008E0469">
          <w:rPr>
            <w:noProof/>
            <w:webHidden/>
          </w:rPr>
          <w:fldChar w:fldCharType="begin"/>
        </w:r>
        <w:r w:rsidRPr="008E0469">
          <w:rPr>
            <w:noProof/>
            <w:webHidden/>
          </w:rPr>
          <w:instrText xml:space="preserve"> PAGEREF _Toc471208512 \h </w:instrText>
        </w:r>
        <w:r w:rsidRPr="008E0469">
          <w:rPr>
            <w:noProof/>
            <w:webHidden/>
          </w:rPr>
        </w:r>
        <w:r w:rsidRPr="008E0469">
          <w:rPr>
            <w:noProof/>
            <w:webHidden/>
          </w:rPr>
          <w:fldChar w:fldCharType="separate"/>
        </w:r>
        <w:r w:rsidRPr="008E0469">
          <w:rPr>
            <w:noProof/>
            <w:webHidden/>
          </w:rPr>
          <w:t>25</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13" w:history="1">
        <w:r w:rsidRPr="008E0469">
          <w:rPr>
            <w:rStyle w:val="Hyperlink"/>
            <w:rFonts w:eastAsia="Arial"/>
            <w:noProof/>
          </w:rPr>
          <w:t>E.4</w:t>
        </w:r>
        <w:r w:rsidRPr="008E0469">
          <w:rPr>
            <w:rStyle w:val="Hyperlink"/>
            <w:noProof/>
          </w:rPr>
          <w:t xml:space="preserve"> Feedback</w:t>
        </w:r>
        <w:r w:rsidRPr="008E0469">
          <w:rPr>
            <w:noProof/>
            <w:webHidden/>
          </w:rPr>
          <w:tab/>
        </w:r>
        <w:r w:rsidRPr="008E0469">
          <w:rPr>
            <w:noProof/>
            <w:webHidden/>
          </w:rPr>
          <w:fldChar w:fldCharType="begin"/>
        </w:r>
        <w:r w:rsidRPr="008E0469">
          <w:rPr>
            <w:noProof/>
            <w:webHidden/>
          </w:rPr>
          <w:instrText xml:space="preserve"> PAGEREF _Toc471208513 \h </w:instrText>
        </w:r>
        <w:r w:rsidRPr="008E0469">
          <w:rPr>
            <w:noProof/>
            <w:webHidden/>
          </w:rPr>
        </w:r>
        <w:r w:rsidRPr="008E0469">
          <w:rPr>
            <w:noProof/>
            <w:webHidden/>
          </w:rPr>
          <w:fldChar w:fldCharType="separate"/>
        </w:r>
        <w:r w:rsidRPr="008E0469">
          <w:rPr>
            <w:noProof/>
            <w:webHidden/>
          </w:rPr>
          <w:t>25</w:t>
        </w:r>
        <w:r w:rsidRPr="008E0469">
          <w:rPr>
            <w:noProof/>
            <w:webHidden/>
          </w:rPr>
          <w:fldChar w:fldCharType="end"/>
        </w:r>
      </w:hyperlink>
    </w:p>
    <w:p w:rsidR="009F6E65" w:rsidRPr="008E0469" w:rsidRDefault="00D05136">
      <w:pPr>
        <w:pStyle w:val="TOC1"/>
        <w:tabs>
          <w:tab w:val="left" w:pos="440"/>
          <w:tab w:val="right" w:leader="dot" w:pos="9290"/>
        </w:tabs>
        <w:rPr>
          <w:rFonts w:asciiTheme="minorHAnsi" w:eastAsiaTheme="minorEastAsia" w:hAnsiTheme="minorHAnsi" w:cstheme="minorBidi"/>
          <w:noProof/>
          <w:szCs w:val="22"/>
          <w:lang w:val="fr-LU" w:eastAsia="fr-LU" w:bidi="ar-SA"/>
        </w:rPr>
      </w:pPr>
      <w:hyperlink w:anchor="_Toc471208514" w:history="1">
        <w:r w:rsidRPr="008E0469">
          <w:rPr>
            <w:rStyle w:val="Hyperlink"/>
            <w:rFonts w:eastAsia="Arial"/>
            <w:noProof/>
          </w:rPr>
          <w:t>F.</w:t>
        </w:r>
        <w:r w:rsidRPr="008E0469">
          <w:rPr>
            <w:rFonts w:asciiTheme="minorHAnsi" w:eastAsiaTheme="minorEastAsia" w:hAnsiTheme="minorHAnsi" w:cstheme="minorBidi"/>
            <w:noProof/>
            <w:szCs w:val="22"/>
            <w:lang w:val="fr-LU" w:eastAsia="fr-LU" w:bidi="ar-SA"/>
          </w:rPr>
          <w:tab/>
        </w:r>
        <w:r w:rsidRPr="008E0469">
          <w:rPr>
            <w:rStyle w:val="Hyperlink"/>
            <w:noProof/>
          </w:rPr>
          <w:t>Changes to statutes and regulations</w:t>
        </w:r>
        <w:r w:rsidRPr="008E0469">
          <w:rPr>
            <w:noProof/>
            <w:webHidden/>
          </w:rPr>
          <w:tab/>
        </w:r>
        <w:r w:rsidRPr="008E0469">
          <w:rPr>
            <w:noProof/>
            <w:webHidden/>
          </w:rPr>
          <w:fldChar w:fldCharType="begin"/>
        </w:r>
        <w:r w:rsidRPr="008E0469">
          <w:rPr>
            <w:noProof/>
            <w:webHidden/>
          </w:rPr>
          <w:instrText xml:space="preserve"> PAGEREF _Toc471208514 \h </w:instrText>
        </w:r>
        <w:r w:rsidRPr="008E0469">
          <w:rPr>
            <w:noProof/>
            <w:webHidden/>
          </w:rPr>
        </w:r>
        <w:r w:rsidRPr="008E0469">
          <w:rPr>
            <w:noProof/>
            <w:webHidden/>
          </w:rPr>
          <w:fldChar w:fldCharType="separate"/>
        </w:r>
        <w:r w:rsidRPr="008E0469">
          <w:rPr>
            <w:noProof/>
            <w:webHidden/>
          </w:rPr>
          <w:t>27</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15" w:history="1">
        <w:r w:rsidRPr="008E0469">
          <w:rPr>
            <w:rStyle w:val="Hyperlink"/>
            <w:rFonts w:eastAsia="Arial"/>
            <w:noProof/>
          </w:rPr>
          <w:t>F.1</w:t>
        </w:r>
        <w:r w:rsidRPr="008E0469">
          <w:rPr>
            <w:rStyle w:val="Hyperlink"/>
            <w:noProof/>
          </w:rPr>
          <w:t xml:space="preserve"> Railway Safety Directive</w:t>
        </w:r>
        <w:r w:rsidRPr="008E0469">
          <w:rPr>
            <w:noProof/>
            <w:webHidden/>
          </w:rPr>
          <w:tab/>
        </w:r>
        <w:r w:rsidRPr="008E0469">
          <w:rPr>
            <w:noProof/>
            <w:webHidden/>
          </w:rPr>
          <w:fldChar w:fldCharType="begin"/>
        </w:r>
        <w:r w:rsidRPr="008E0469">
          <w:rPr>
            <w:noProof/>
            <w:webHidden/>
          </w:rPr>
          <w:instrText xml:space="preserve"> PAGEREF _Toc471208515 \h </w:instrText>
        </w:r>
        <w:r w:rsidRPr="008E0469">
          <w:rPr>
            <w:noProof/>
            <w:webHidden/>
          </w:rPr>
        </w:r>
        <w:r w:rsidRPr="008E0469">
          <w:rPr>
            <w:noProof/>
            <w:webHidden/>
          </w:rPr>
          <w:fldChar w:fldCharType="separate"/>
        </w:r>
        <w:r w:rsidRPr="008E0469">
          <w:rPr>
            <w:noProof/>
            <w:webHidden/>
          </w:rPr>
          <w:t>27</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16" w:history="1">
        <w:r w:rsidRPr="008E0469">
          <w:rPr>
            <w:rStyle w:val="Hyperlink"/>
            <w:rFonts w:eastAsia="Arial"/>
            <w:noProof/>
          </w:rPr>
          <w:t>F.2</w:t>
        </w:r>
        <w:r w:rsidRPr="008E0469">
          <w:rPr>
            <w:rStyle w:val="Hyperlink"/>
            <w:noProof/>
          </w:rPr>
          <w:t xml:space="preserve"> Changes to statutes and regulations</w:t>
        </w:r>
        <w:r w:rsidRPr="008E0469">
          <w:rPr>
            <w:noProof/>
            <w:webHidden/>
          </w:rPr>
          <w:tab/>
        </w:r>
        <w:r w:rsidRPr="008E0469">
          <w:rPr>
            <w:noProof/>
            <w:webHidden/>
          </w:rPr>
          <w:fldChar w:fldCharType="begin"/>
        </w:r>
        <w:r w:rsidRPr="008E0469">
          <w:rPr>
            <w:noProof/>
            <w:webHidden/>
          </w:rPr>
          <w:instrText xml:space="preserve"> PAGEREF _Toc471208516 \h </w:instrText>
        </w:r>
        <w:r w:rsidRPr="008E0469">
          <w:rPr>
            <w:noProof/>
            <w:webHidden/>
          </w:rPr>
        </w:r>
        <w:r w:rsidRPr="008E0469">
          <w:rPr>
            <w:noProof/>
            <w:webHidden/>
          </w:rPr>
          <w:fldChar w:fldCharType="separate"/>
        </w:r>
        <w:r w:rsidRPr="008E0469">
          <w:rPr>
            <w:noProof/>
            <w:webHidden/>
          </w:rPr>
          <w:t>27</w:t>
        </w:r>
        <w:r w:rsidRPr="008E0469">
          <w:rPr>
            <w:noProof/>
            <w:webHidden/>
          </w:rPr>
          <w:fldChar w:fldCharType="end"/>
        </w:r>
      </w:hyperlink>
    </w:p>
    <w:p w:rsidR="009F6E65" w:rsidRPr="008E0469" w:rsidRDefault="00D05136">
      <w:pPr>
        <w:pStyle w:val="TOC1"/>
        <w:tabs>
          <w:tab w:val="left" w:pos="660"/>
          <w:tab w:val="right" w:leader="dot" w:pos="9290"/>
        </w:tabs>
        <w:rPr>
          <w:rFonts w:asciiTheme="minorHAnsi" w:eastAsiaTheme="minorEastAsia" w:hAnsiTheme="minorHAnsi" w:cstheme="minorBidi"/>
          <w:noProof/>
          <w:szCs w:val="22"/>
          <w:lang w:val="fr-LU" w:eastAsia="fr-LU" w:bidi="ar-SA"/>
        </w:rPr>
      </w:pPr>
      <w:hyperlink w:anchor="_Toc471208517" w:history="1">
        <w:r w:rsidRPr="008E0469">
          <w:rPr>
            <w:rStyle w:val="Hyperlink"/>
            <w:rFonts w:eastAsia="Arial" w:cs="Arial"/>
            <w:noProof/>
          </w:rPr>
          <w:t>G.</w:t>
        </w:r>
        <w:r w:rsidRPr="008E0469">
          <w:rPr>
            <w:rFonts w:asciiTheme="minorHAnsi" w:eastAsiaTheme="minorEastAsia" w:hAnsiTheme="minorHAnsi" w:cstheme="minorBidi"/>
            <w:noProof/>
            <w:szCs w:val="22"/>
            <w:lang w:val="fr-LU" w:eastAsia="fr-LU" w:bidi="ar-SA"/>
          </w:rPr>
          <w:tab/>
        </w:r>
        <w:r w:rsidRPr="008E0469">
          <w:rPr>
            <w:rStyle w:val="Hyperlink"/>
            <w:noProof/>
          </w:rPr>
          <w:t xml:space="preserve">The application of CSM to risk evaluation and </w:t>
        </w:r>
        <w:r w:rsidRPr="008E0469">
          <w:rPr>
            <w:rStyle w:val="Hyperlink"/>
            <w:noProof/>
          </w:rPr>
          <w:noBreakHyphen/>
          <w:t>assessment</w:t>
        </w:r>
        <w:r w:rsidRPr="008E0469">
          <w:rPr>
            <w:noProof/>
            <w:webHidden/>
          </w:rPr>
          <w:tab/>
        </w:r>
        <w:r w:rsidRPr="008E0469">
          <w:rPr>
            <w:noProof/>
            <w:webHidden/>
          </w:rPr>
          <w:fldChar w:fldCharType="begin"/>
        </w:r>
        <w:r w:rsidRPr="008E0469">
          <w:rPr>
            <w:noProof/>
            <w:webHidden/>
          </w:rPr>
          <w:instrText xml:space="preserve"> PAGEREF _Toc471208517 \h </w:instrText>
        </w:r>
        <w:r w:rsidRPr="008E0469">
          <w:rPr>
            <w:noProof/>
            <w:webHidden/>
          </w:rPr>
        </w:r>
        <w:r w:rsidRPr="008E0469">
          <w:rPr>
            <w:noProof/>
            <w:webHidden/>
          </w:rPr>
          <w:fldChar w:fldCharType="separate"/>
        </w:r>
        <w:r w:rsidRPr="008E0469">
          <w:rPr>
            <w:noProof/>
            <w:webHidden/>
          </w:rPr>
          <w:t>28</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18" w:history="1">
        <w:r w:rsidRPr="008E0469">
          <w:rPr>
            <w:rStyle w:val="Hyperlink"/>
            <w:rFonts w:eastAsia="Arial"/>
            <w:noProof/>
          </w:rPr>
          <w:t>G.1</w:t>
        </w:r>
        <w:r w:rsidRPr="008E0469">
          <w:rPr>
            <w:rStyle w:val="Hyperlink"/>
            <w:noProof/>
          </w:rPr>
          <w:t xml:space="preserve"> Experience of the safety authority</w:t>
        </w:r>
        <w:r w:rsidRPr="008E0469">
          <w:rPr>
            <w:noProof/>
            <w:webHidden/>
          </w:rPr>
          <w:tab/>
        </w:r>
        <w:r w:rsidRPr="008E0469">
          <w:rPr>
            <w:noProof/>
            <w:webHidden/>
          </w:rPr>
          <w:fldChar w:fldCharType="begin"/>
        </w:r>
        <w:r w:rsidRPr="008E0469">
          <w:rPr>
            <w:noProof/>
            <w:webHidden/>
          </w:rPr>
          <w:instrText xml:space="preserve"> PAGEREF _Toc471208518 \h </w:instrText>
        </w:r>
        <w:r w:rsidRPr="008E0469">
          <w:rPr>
            <w:noProof/>
            <w:webHidden/>
          </w:rPr>
        </w:r>
        <w:r w:rsidRPr="008E0469">
          <w:rPr>
            <w:noProof/>
            <w:webHidden/>
          </w:rPr>
          <w:fldChar w:fldCharType="separate"/>
        </w:r>
        <w:r w:rsidRPr="008E0469">
          <w:rPr>
            <w:noProof/>
            <w:webHidden/>
          </w:rPr>
          <w:t>28</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19" w:history="1">
        <w:r w:rsidRPr="008E0469">
          <w:rPr>
            <w:rStyle w:val="Hyperlink"/>
            <w:rFonts w:eastAsia="Arial"/>
            <w:noProof/>
          </w:rPr>
          <w:t>G.2</w:t>
        </w:r>
        <w:r w:rsidRPr="008E0469">
          <w:rPr>
            <w:rStyle w:val="Hyperlink"/>
            <w:noProof/>
          </w:rPr>
          <w:t xml:space="preserve"> Feedback from providers</w:t>
        </w:r>
        <w:r w:rsidRPr="008E0469">
          <w:rPr>
            <w:noProof/>
            <w:webHidden/>
          </w:rPr>
          <w:tab/>
        </w:r>
        <w:r w:rsidRPr="008E0469">
          <w:rPr>
            <w:noProof/>
            <w:webHidden/>
          </w:rPr>
          <w:fldChar w:fldCharType="begin"/>
        </w:r>
        <w:r w:rsidRPr="008E0469">
          <w:rPr>
            <w:noProof/>
            <w:webHidden/>
          </w:rPr>
          <w:instrText xml:space="preserve"> PAGEREF _Toc471208519 \h </w:instrText>
        </w:r>
        <w:r w:rsidRPr="008E0469">
          <w:rPr>
            <w:noProof/>
            <w:webHidden/>
          </w:rPr>
        </w:r>
        <w:r w:rsidRPr="008E0469">
          <w:rPr>
            <w:noProof/>
            <w:webHidden/>
          </w:rPr>
          <w:fldChar w:fldCharType="separate"/>
        </w:r>
        <w:r w:rsidRPr="008E0469">
          <w:rPr>
            <w:noProof/>
            <w:webHidden/>
          </w:rPr>
          <w:t>29</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20" w:history="1">
        <w:r w:rsidRPr="008E0469">
          <w:rPr>
            <w:rStyle w:val="Hyperlink"/>
            <w:rFonts w:eastAsia="Arial"/>
            <w:noProof/>
          </w:rPr>
          <w:t>G.3</w:t>
        </w:r>
        <w:r w:rsidRPr="008E0469">
          <w:rPr>
            <w:rStyle w:val="Hyperlink"/>
            <w:noProof/>
          </w:rPr>
          <w:t xml:space="preserve"> Revision of national safety regulations to take account of the Commission Regulation</w:t>
        </w:r>
        <w:r w:rsidRPr="008E0469">
          <w:rPr>
            <w:rStyle w:val="Hyperlink"/>
            <w:noProof/>
          </w:rPr>
          <w:t xml:space="preserve"> on CSM for risk evaluation and assessment</w:t>
        </w:r>
        <w:r w:rsidRPr="008E0469">
          <w:rPr>
            <w:noProof/>
            <w:webHidden/>
          </w:rPr>
          <w:tab/>
        </w:r>
        <w:r w:rsidRPr="008E0469">
          <w:rPr>
            <w:noProof/>
            <w:webHidden/>
          </w:rPr>
          <w:fldChar w:fldCharType="begin"/>
        </w:r>
        <w:r w:rsidRPr="008E0469">
          <w:rPr>
            <w:noProof/>
            <w:webHidden/>
          </w:rPr>
          <w:instrText xml:space="preserve"> PAGEREF _Toc471208520 \h </w:instrText>
        </w:r>
        <w:r w:rsidRPr="008E0469">
          <w:rPr>
            <w:noProof/>
            <w:webHidden/>
          </w:rPr>
        </w:r>
        <w:r w:rsidRPr="008E0469">
          <w:rPr>
            <w:noProof/>
            <w:webHidden/>
          </w:rPr>
          <w:fldChar w:fldCharType="separate"/>
        </w:r>
        <w:r w:rsidRPr="008E0469">
          <w:rPr>
            <w:noProof/>
            <w:webHidden/>
          </w:rPr>
          <w:t>29</w:t>
        </w:r>
        <w:r w:rsidRPr="008E0469">
          <w:rPr>
            <w:noProof/>
            <w:webHidden/>
          </w:rPr>
          <w:fldChar w:fldCharType="end"/>
        </w:r>
      </w:hyperlink>
    </w:p>
    <w:p w:rsidR="009F6E65" w:rsidRPr="008E0469" w:rsidRDefault="00D05136">
      <w:pPr>
        <w:pStyle w:val="TOC1"/>
        <w:tabs>
          <w:tab w:val="left" w:pos="660"/>
          <w:tab w:val="right" w:leader="dot" w:pos="9290"/>
        </w:tabs>
        <w:rPr>
          <w:rFonts w:asciiTheme="minorHAnsi" w:eastAsiaTheme="minorEastAsia" w:hAnsiTheme="minorHAnsi" w:cstheme="minorBidi"/>
          <w:noProof/>
          <w:szCs w:val="22"/>
          <w:lang w:val="fr-LU" w:eastAsia="fr-LU" w:bidi="ar-SA"/>
        </w:rPr>
      </w:pPr>
      <w:hyperlink w:anchor="_Toc471208521" w:history="1">
        <w:r w:rsidRPr="008E0469">
          <w:rPr>
            <w:rStyle w:val="Hyperlink"/>
            <w:rFonts w:eastAsia="Arial"/>
            <w:noProof/>
          </w:rPr>
          <w:t>H.</w:t>
        </w:r>
        <w:r w:rsidRPr="008E0469">
          <w:rPr>
            <w:rFonts w:asciiTheme="minorHAnsi" w:eastAsiaTheme="minorEastAsia" w:hAnsiTheme="minorHAnsi" w:cstheme="minorBidi"/>
            <w:noProof/>
            <w:szCs w:val="22"/>
            <w:lang w:val="fr-LU" w:eastAsia="fr-LU" w:bidi="ar-SA"/>
          </w:rPr>
          <w:tab/>
        </w:r>
        <w:r w:rsidRPr="008E0469">
          <w:rPr>
            <w:rStyle w:val="Hyperlink"/>
            <w:noProof/>
          </w:rPr>
          <w:t>Application of CSM monitoring</w:t>
        </w:r>
        <w:r w:rsidRPr="008E0469">
          <w:rPr>
            <w:noProof/>
            <w:webHidden/>
          </w:rPr>
          <w:tab/>
        </w:r>
        <w:r w:rsidRPr="008E0469">
          <w:rPr>
            <w:noProof/>
            <w:webHidden/>
          </w:rPr>
          <w:fldChar w:fldCharType="begin"/>
        </w:r>
        <w:r w:rsidRPr="008E0469">
          <w:rPr>
            <w:noProof/>
            <w:webHidden/>
          </w:rPr>
          <w:instrText xml:space="preserve"> PAGEREF _Toc471208521 \h </w:instrText>
        </w:r>
        <w:r w:rsidRPr="008E0469">
          <w:rPr>
            <w:noProof/>
            <w:webHidden/>
          </w:rPr>
        </w:r>
        <w:r w:rsidRPr="008E0469">
          <w:rPr>
            <w:noProof/>
            <w:webHidden/>
          </w:rPr>
          <w:fldChar w:fldCharType="separate"/>
        </w:r>
        <w:r w:rsidRPr="008E0469">
          <w:rPr>
            <w:noProof/>
            <w:webHidden/>
          </w:rPr>
          <w:t>30</w:t>
        </w:r>
        <w:r w:rsidRPr="008E0469">
          <w:rPr>
            <w:noProof/>
            <w:webHidden/>
          </w:rPr>
          <w:fldChar w:fldCharType="end"/>
        </w:r>
      </w:hyperlink>
    </w:p>
    <w:p w:rsidR="009F6E65" w:rsidRPr="008E0469" w:rsidRDefault="00D05136">
      <w:pPr>
        <w:pStyle w:val="TOC1"/>
        <w:tabs>
          <w:tab w:val="left" w:pos="440"/>
          <w:tab w:val="right" w:leader="dot" w:pos="9290"/>
        </w:tabs>
        <w:rPr>
          <w:rFonts w:asciiTheme="minorHAnsi" w:eastAsiaTheme="minorEastAsia" w:hAnsiTheme="minorHAnsi" w:cstheme="minorBidi"/>
          <w:noProof/>
          <w:szCs w:val="22"/>
          <w:lang w:val="fr-LU" w:eastAsia="fr-LU" w:bidi="ar-SA"/>
        </w:rPr>
      </w:pPr>
      <w:hyperlink w:anchor="_Toc471208522" w:history="1">
        <w:r w:rsidRPr="008E0469">
          <w:rPr>
            <w:rStyle w:val="Hyperlink"/>
            <w:rFonts w:eastAsia="Arial"/>
            <w:noProof/>
          </w:rPr>
          <w:t>I.</w:t>
        </w:r>
        <w:r w:rsidRPr="008E0469">
          <w:rPr>
            <w:rFonts w:asciiTheme="minorHAnsi" w:eastAsiaTheme="minorEastAsia" w:hAnsiTheme="minorHAnsi" w:cstheme="minorBidi"/>
            <w:noProof/>
            <w:szCs w:val="22"/>
            <w:lang w:val="fr-LU" w:eastAsia="fr-LU" w:bidi="ar-SA"/>
          </w:rPr>
          <w:tab/>
        </w:r>
        <w:r w:rsidRPr="008E0469">
          <w:rPr>
            <w:rStyle w:val="Hyperlink"/>
            <w:noProof/>
          </w:rPr>
          <w:t>Exceptions to the ECM certification system</w:t>
        </w:r>
        <w:r w:rsidRPr="008E0469">
          <w:rPr>
            <w:noProof/>
            <w:webHidden/>
          </w:rPr>
          <w:tab/>
        </w:r>
        <w:r w:rsidRPr="008E0469">
          <w:rPr>
            <w:noProof/>
            <w:webHidden/>
          </w:rPr>
          <w:fldChar w:fldCharType="begin"/>
        </w:r>
        <w:r w:rsidRPr="008E0469">
          <w:rPr>
            <w:noProof/>
            <w:webHidden/>
          </w:rPr>
          <w:instrText xml:space="preserve"> PAGEREF _Toc471208522 \h </w:instrText>
        </w:r>
        <w:r w:rsidRPr="008E0469">
          <w:rPr>
            <w:noProof/>
            <w:webHidden/>
          </w:rPr>
        </w:r>
        <w:r w:rsidRPr="008E0469">
          <w:rPr>
            <w:noProof/>
            <w:webHidden/>
          </w:rPr>
          <w:fldChar w:fldCharType="separate"/>
        </w:r>
        <w:r w:rsidRPr="008E0469">
          <w:rPr>
            <w:noProof/>
            <w:webHidden/>
          </w:rPr>
          <w:t>31</w:t>
        </w:r>
        <w:r w:rsidRPr="008E0469">
          <w:rPr>
            <w:noProof/>
            <w:webHidden/>
          </w:rPr>
          <w:fldChar w:fldCharType="end"/>
        </w:r>
      </w:hyperlink>
    </w:p>
    <w:p w:rsidR="009F6E65" w:rsidRPr="008E0469" w:rsidRDefault="00D05136">
      <w:pPr>
        <w:pStyle w:val="TOC1"/>
        <w:tabs>
          <w:tab w:val="right" w:leader="dot" w:pos="9290"/>
        </w:tabs>
        <w:rPr>
          <w:rFonts w:asciiTheme="minorHAnsi" w:eastAsiaTheme="minorEastAsia" w:hAnsiTheme="minorHAnsi" w:cstheme="minorBidi"/>
          <w:noProof/>
          <w:szCs w:val="22"/>
          <w:lang w:val="fr-LU" w:eastAsia="fr-LU" w:bidi="ar-SA"/>
        </w:rPr>
      </w:pPr>
      <w:hyperlink w:anchor="_Toc471208523" w:history="1">
        <w:r w:rsidRPr="008E0469">
          <w:rPr>
            <w:rStyle w:val="Hyperlink"/>
            <w:noProof/>
          </w:rPr>
          <w:t>ANNEX A: Common Safety Indicators</w:t>
        </w:r>
        <w:r w:rsidRPr="008E0469">
          <w:rPr>
            <w:noProof/>
            <w:webHidden/>
          </w:rPr>
          <w:tab/>
        </w:r>
        <w:r w:rsidRPr="008E0469">
          <w:rPr>
            <w:noProof/>
            <w:webHidden/>
          </w:rPr>
          <w:fldChar w:fldCharType="begin"/>
        </w:r>
        <w:r w:rsidRPr="008E0469">
          <w:rPr>
            <w:noProof/>
            <w:webHidden/>
          </w:rPr>
          <w:instrText xml:space="preserve"> PAGEREF _Toc471208523 \h </w:instrText>
        </w:r>
        <w:r w:rsidRPr="008E0469">
          <w:rPr>
            <w:noProof/>
            <w:webHidden/>
          </w:rPr>
        </w:r>
        <w:r w:rsidRPr="008E0469">
          <w:rPr>
            <w:noProof/>
            <w:webHidden/>
          </w:rPr>
          <w:fldChar w:fldCharType="separate"/>
        </w:r>
        <w:r w:rsidRPr="008E0469">
          <w:rPr>
            <w:noProof/>
            <w:webHidden/>
          </w:rPr>
          <w:t>30</w:t>
        </w:r>
        <w:r w:rsidRPr="008E0469">
          <w:rPr>
            <w:noProof/>
            <w:webHidden/>
          </w:rPr>
          <w:fldChar w:fldCharType="end"/>
        </w:r>
      </w:hyperlink>
    </w:p>
    <w:p w:rsidR="009F6E65" w:rsidRPr="008E0469" w:rsidRDefault="00D05136">
      <w:pPr>
        <w:pStyle w:val="TOC1"/>
        <w:tabs>
          <w:tab w:val="right" w:leader="dot" w:pos="9290"/>
        </w:tabs>
        <w:rPr>
          <w:rFonts w:asciiTheme="minorHAnsi" w:eastAsiaTheme="minorEastAsia" w:hAnsiTheme="minorHAnsi" w:cstheme="minorBidi"/>
          <w:noProof/>
          <w:szCs w:val="22"/>
          <w:lang w:val="fr-LU" w:eastAsia="fr-LU" w:bidi="ar-SA"/>
        </w:rPr>
      </w:pPr>
      <w:hyperlink w:anchor="_Toc471208524" w:history="1">
        <w:r w:rsidRPr="008E0469">
          <w:rPr>
            <w:rStyle w:val="Hyperlink"/>
            <w:noProof/>
          </w:rPr>
          <w:t>ANNEX B: Amended legal provisions</w:t>
        </w:r>
        <w:r w:rsidRPr="008E0469">
          <w:rPr>
            <w:noProof/>
            <w:webHidden/>
          </w:rPr>
          <w:tab/>
        </w:r>
        <w:r w:rsidRPr="008E0469">
          <w:rPr>
            <w:noProof/>
            <w:webHidden/>
          </w:rPr>
          <w:fldChar w:fldCharType="begin"/>
        </w:r>
        <w:r w:rsidRPr="008E0469">
          <w:rPr>
            <w:noProof/>
            <w:webHidden/>
          </w:rPr>
          <w:instrText xml:space="preserve"> PAGEREF _Toc471208524 \h </w:instrText>
        </w:r>
        <w:r w:rsidRPr="008E0469">
          <w:rPr>
            <w:noProof/>
            <w:webHidden/>
          </w:rPr>
        </w:r>
        <w:r w:rsidRPr="008E0469">
          <w:rPr>
            <w:noProof/>
            <w:webHidden/>
          </w:rPr>
          <w:fldChar w:fldCharType="separate"/>
        </w:r>
        <w:r w:rsidRPr="008E0469">
          <w:rPr>
            <w:noProof/>
            <w:webHidden/>
          </w:rPr>
          <w:t>33</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25" w:history="1">
        <w:r w:rsidRPr="008E0469">
          <w:rPr>
            <w:rStyle w:val="Hyperlink"/>
            <w:noProof/>
          </w:rPr>
          <w:t>Table 1: Implementation of the amendments to Directive 2004/49/EC</w:t>
        </w:r>
        <w:r w:rsidRPr="008E0469">
          <w:rPr>
            <w:noProof/>
            <w:webHidden/>
          </w:rPr>
          <w:tab/>
        </w:r>
        <w:r w:rsidRPr="008E0469">
          <w:rPr>
            <w:noProof/>
            <w:webHidden/>
          </w:rPr>
          <w:fldChar w:fldCharType="begin"/>
        </w:r>
        <w:r w:rsidRPr="008E0469">
          <w:rPr>
            <w:noProof/>
            <w:webHidden/>
          </w:rPr>
          <w:instrText xml:space="preserve"> PAGEREF _Toc471208525 \h </w:instrText>
        </w:r>
        <w:r w:rsidRPr="008E0469">
          <w:rPr>
            <w:noProof/>
            <w:webHidden/>
          </w:rPr>
        </w:r>
        <w:r w:rsidRPr="008E0469">
          <w:rPr>
            <w:noProof/>
            <w:webHidden/>
          </w:rPr>
          <w:fldChar w:fldCharType="separate"/>
        </w:r>
        <w:r w:rsidRPr="008E0469">
          <w:rPr>
            <w:noProof/>
            <w:webHidden/>
          </w:rPr>
          <w:t>33</w:t>
        </w:r>
        <w:r w:rsidRPr="008E0469">
          <w:rPr>
            <w:noProof/>
            <w:webHidden/>
          </w:rPr>
          <w:fldChar w:fldCharType="end"/>
        </w:r>
      </w:hyperlink>
    </w:p>
    <w:p w:rsidR="009F6E65" w:rsidRPr="008E0469" w:rsidRDefault="00D05136">
      <w:pPr>
        <w:pStyle w:val="TOC2"/>
        <w:rPr>
          <w:rFonts w:asciiTheme="minorHAnsi" w:eastAsiaTheme="minorEastAsia" w:hAnsiTheme="minorHAnsi" w:cstheme="minorBidi"/>
          <w:noProof/>
          <w:szCs w:val="22"/>
          <w:lang w:val="fr-LU" w:eastAsia="fr-LU" w:bidi="ar-SA"/>
        </w:rPr>
      </w:pPr>
      <w:hyperlink w:anchor="_Toc471208526" w:history="1">
        <w:r w:rsidRPr="008E0469">
          <w:rPr>
            <w:rStyle w:val="Hyperlink"/>
            <w:noProof/>
          </w:rPr>
          <w:t>Table 2: Changes to the national legal framework during 2015</w:t>
        </w:r>
        <w:r w:rsidRPr="008E0469">
          <w:rPr>
            <w:noProof/>
            <w:webHidden/>
          </w:rPr>
          <w:tab/>
        </w:r>
        <w:r w:rsidRPr="008E0469">
          <w:rPr>
            <w:noProof/>
            <w:webHidden/>
          </w:rPr>
          <w:fldChar w:fldCharType="begin"/>
        </w:r>
        <w:r w:rsidRPr="008E0469">
          <w:rPr>
            <w:noProof/>
            <w:webHidden/>
          </w:rPr>
          <w:instrText xml:space="preserve"> PAGEREF _Toc471208526 \h </w:instrText>
        </w:r>
        <w:r w:rsidRPr="008E0469">
          <w:rPr>
            <w:noProof/>
            <w:webHidden/>
          </w:rPr>
        </w:r>
        <w:r w:rsidRPr="008E0469">
          <w:rPr>
            <w:noProof/>
            <w:webHidden/>
          </w:rPr>
          <w:fldChar w:fldCharType="separate"/>
        </w:r>
        <w:r w:rsidRPr="008E0469">
          <w:rPr>
            <w:noProof/>
            <w:webHidden/>
          </w:rPr>
          <w:t>34</w:t>
        </w:r>
        <w:r w:rsidRPr="008E0469">
          <w:rPr>
            <w:noProof/>
            <w:webHidden/>
          </w:rPr>
          <w:fldChar w:fldCharType="end"/>
        </w:r>
      </w:hyperlink>
    </w:p>
    <w:p w:rsidR="00A5694D" w:rsidRPr="008E0469" w:rsidRDefault="00D05136" w:rsidP="008E0469">
      <w:pPr>
        <w:pStyle w:val="TOC1"/>
        <w:tabs>
          <w:tab w:val="right" w:leader="dot" w:pos="9290"/>
        </w:tabs>
        <w:rPr>
          <w:rFonts w:eastAsia="Arial" w:cs="Arial"/>
          <w:szCs w:val="22"/>
        </w:rPr>
        <w:sectPr w:rsidR="00A5694D" w:rsidRPr="008E0469">
          <w:footerReference w:type="default" r:id="rId11"/>
          <w:pgSz w:w="11920" w:h="16840"/>
          <w:pgMar w:top="1940" w:right="1300" w:bottom="280" w:left="1320" w:header="701" w:footer="735" w:gutter="0"/>
          <w:pgNumType w:start="3"/>
          <w:cols w:space="720"/>
        </w:sectPr>
      </w:pPr>
      <w:hyperlink w:anchor="_Toc471208527" w:history="1">
        <w:r w:rsidRPr="008E0469">
          <w:rPr>
            <w:rStyle w:val="Hyperlink"/>
            <w:noProof/>
          </w:rPr>
          <w:t>ANNEX C – Abbreviations</w:t>
        </w:r>
        <w:r w:rsidRPr="008E0469">
          <w:rPr>
            <w:noProof/>
            <w:webHidden/>
          </w:rPr>
          <w:tab/>
        </w:r>
        <w:r w:rsidRPr="008E0469">
          <w:rPr>
            <w:noProof/>
            <w:webHidden/>
          </w:rPr>
          <w:fldChar w:fldCharType="begin"/>
        </w:r>
        <w:r w:rsidRPr="008E0469">
          <w:rPr>
            <w:noProof/>
            <w:webHidden/>
          </w:rPr>
          <w:instrText xml:space="preserve"> PAGEREF _Toc471208527 \h </w:instrText>
        </w:r>
        <w:r w:rsidRPr="008E0469">
          <w:rPr>
            <w:noProof/>
            <w:webHidden/>
          </w:rPr>
        </w:r>
        <w:r w:rsidRPr="008E0469">
          <w:rPr>
            <w:noProof/>
            <w:webHidden/>
          </w:rPr>
          <w:fldChar w:fldCharType="separate"/>
        </w:r>
        <w:r w:rsidRPr="008E0469">
          <w:rPr>
            <w:noProof/>
            <w:webHidden/>
          </w:rPr>
          <w:t>36</w:t>
        </w:r>
        <w:r w:rsidRPr="008E0469">
          <w:rPr>
            <w:noProof/>
            <w:webHidden/>
          </w:rPr>
          <w:fldChar w:fldCharType="end"/>
        </w:r>
      </w:hyperlink>
      <w:r w:rsidRPr="008E0469">
        <w:rPr>
          <w:rFonts w:eastAsia="Arial" w:cs="Arial"/>
          <w:szCs w:val="22"/>
        </w:rPr>
        <w:fldChar w:fldCharType="end"/>
      </w:r>
    </w:p>
    <w:p w:rsidR="009F6E65" w:rsidRPr="008E0469" w:rsidRDefault="00D05136">
      <w:pPr>
        <w:spacing w:before="8" w:line="140" w:lineRule="exact"/>
        <w:rPr>
          <w:sz w:val="14"/>
          <w:szCs w:val="14"/>
        </w:rPr>
      </w:pPr>
    </w:p>
    <w:p w:rsidR="009F6E65" w:rsidRPr="008E0469" w:rsidRDefault="00D05136" w:rsidP="009F6E65">
      <w:pPr>
        <w:pStyle w:val="Heading1"/>
        <w:rPr>
          <w:rFonts w:eastAsia="Arial"/>
        </w:rPr>
      </w:pPr>
      <w:bookmarkStart w:id="0" w:name="_Toc467669055"/>
      <w:bookmarkStart w:id="1" w:name="_Toc471208492"/>
      <w:r w:rsidRPr="008E0469">
        <w:t>Introduction</w:t>
      </w:r>
      <w:bookmarkEnd w:id="0"/>
      <w:bookmarkEnd w:id="1"/>
    </w:p>
    <w:p w:rsidR="009F6E65" w:rsidRPr="008E0469" w:rsidRDefault="00D05136">
      <w:pPr>
        <w:spacing w:before="18" w:line="260" w:lineRule="exact"/>
        <w:rPr>
          <w:sz w:val="26"/>
          <w:szCs w:val="26"/>
        </w:rPr>
      </w:pPr>
    </w:p>
    <w:p w:rsidR="009F6E65" w:rsidRPr="008E0469" w:rsidRDefault="00D05136">
      <w:pPr>
        <w:ind w:left="120" w:right="72"/>
        <w:jc w:val="both"/>
        <w:rPr>
          <w:rFonts w:eastAsia="Arial" w:cs="Arial"/>
          <w:szCs w:val="24"/>
        </w:rPr>
      </w:pPr>
      <w:r w:rsidRPr="008E0469">
        <w:t xml:space="preserve">The Federal Railway Authority [Eisenbahn-Bundesamt] (EBA) is the safety authority for the railways in Germany and is responsible for carrying out the duties specified </w:t>
      </w:r>
      <w:r w:rsidRPr="008E0469">
        <w:t>under Article 16 of Directive 2004/49/EC (the ‘Railway Safety Directive’):</w:t>
      </w:r>
    </w:p>
    <w:p w:rsidR="009F6E65" w:rsidRPr="008E0469" w:rsidRDefault="00D05136" w:rsidP="009F6E65">
      <w:pPr>
        <w:pStyle w:val="ListParagraph"/>
        <w:numPr>
          <w:ilvl w:val="0"/>
          <w:numId w:val="4"/>
        </w:numPr>
        <w:spacing w:before="18"/>
        <w:ind w:right="74" w:hanging="578"/>
        <w:jc w:val="both"/>
        <w:rPr>
          <w:rFonts w:eastAsia="Arial" w:cs="Arial"/>
          <w:szCs w:val="24"/>
        </w:rPr>
      </w:pPr>
      <w:r w:rsidRPr="008E0469">
        <w:t>granting authorisations for the placing in service of structural subsystems in accordance with the Directive on the interoperability of the rail system within the Community (Directi</w:t>
      </w:r>
      <w:r w:rsidRPr="008E0469">
        <w:t>ve 2008/57/EC),</w:t>
      </w:r>
    </w:p>
    <w:p w:rsidR="009F6E65" w:rsidRPr="008E0469" w:rsidRDefault="00D05136" w:rsidP="009F6E65">
      <w:pPr>
        <w:pStyle w:val="ListParagraph"/>
        <w:numPr>
          <w:ilvl w:val="0"/>
          <w:numId w:val="4"/>
        </w:numPr>
        <w:spacing w:before="21" w:line="260" w:lineRule="exact"/>
        <w:ind w:right="73" w:hanging="578"/>
        <w:jc w:val="both"/>
        <w:rPr>
          <w:rFonts w:eastAsia="Arial" w:cs="Arial"/>
          <w:szCs w:val="24"/>
        </w:rPr>
      </w:pPr>
      <w:r w:rsidRPr="008E0469">
        <w:t>supervising compliance with the essential requirements for operation and maintenance of the subsystems of the railway system and for interoperability constituents,</w:t>
      </w:r>
    </w:p>
    <w:p w:rsidR="009F6E65" w:rsidRPr="008E0469" w:rsidRDefault="00D05136" w:rsidP="009F6E65">
      <w:pPr>
        <w:pStyle w:val="ListParagraph"/>
        <w:numPr>
          <w:ilvl w:val="0"/>
          <w:numId w:val="4"/>
        </w:numPr>
        <w:spacing w:before="17" w:line="260" w:lineRule="exact"/>
        <w:ind w:right="73" w:hanging="578"/>
        <w:jc w:val="both"/>
        <w:rPr>
          <w:rFonts w:eastAsia="Arial" w:cs="Arial"/>
          <w:szCs w:val="24"/>
        </w:rPr>
      </w:pPr>
      <w:r w:rsidRPr="008E0469">
        <w:t xml:space="preserve">granting authorisations for the placing in service of vehicles that are not </w:t>
      </w:r>
      <w:r w:rsidRPr="008E0469">
        <w:t>yet covered by a TSI,</w:t>
      </w:r>
    </w:p>
    <w:p w:rsidR="009F6E65" w:rsidRPr="008E0469" w:rsidRDefault="00D05136" w:rsidP="009F6E65">
      <w:pPr>
        <w:pStyle w:val="ListParagraph"/>
        <w:numPr>
          <w:ilvl w:val="0"/>
          <w:numId w:val="4"/>
        </w:numPr>
        <w:spacing w:before="17" w:line="260" w:lineRule="exact"/>
        <w:ind w:right="76" w:hanging="578"/>
        <w:jc w:val="both"/>
        <w:rPr>
          <w:rFonts w:eastAsia="Arial" w:cs="Arial"/>
          <w:szCs w:val="24"/>
        </w:rPr>
      </w:pPr>
      <w:r w:rsidRPr="008E0469">
        <w:t>issuing safety certificates for railway undertakings and safety authorisations for infrastructure managers,</w:t>
      </w:r>
    </w:p>
    <w:p w:rsidR="009F6E65" w:rsidRPr="008E0469" w:rsidRDefault="00D05136" w:rsidP="009F6E65">
      <w:pPr>
        <w:pStyle w:val="ListParagraph"/>
        <w:numPr>
          <w:ilvl w:val="0"/>
          <w:numId w:val="4"/>
        </w:numPr>
        <w:spacing w:before="18" w:line="260" w:lineRule="exact"/>
        <w:ind w:right="73" w:hanging="578"/>
        <w:jc w:val="both"/>
        <w:rPr>
          <w:rFonts w:eastAsia="Arial" w:cs="Arial"/>
          <w:szCs w:val="24"/>
        </w:rPr>
      </w:pPr>
      <w:r w:rsidRPr="008E0469">
        <w:t>monitoring and developing the railway safety regulatory framework, including the system of national safety rules,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registration</w:t>
      </w:r>
      <w:r w:rsidRPr="008E0469">
        <w:t xml:space="preserve"> of vehicles in the national vehicle register.</w:t>
      </w:r>
    </w:p>
    <w:p w:rsidR="009F6E65" w:rsidRPr="008E0469" w:rsidRDefault="00D05136">
      <w:pPr>
        <w:spacing w:before="15" w:line="260" w:lineRule="exact"/>
        <w:rPr>
          <w:sz w:val="26"/>
          <w:szCs w:val="26"/>
        </w:rPr>
      </w:pPr>
    </w:p>
    <w:p w:rsidR="009F6E65" w:rsidRPr="008E0469" w:rsidRDefault="00D05136">
      <w:pPr>
        <w:ind w:left="120" w:right="73"/>
        <w:jc w:val="both"/>
        <w:rPr>
          <w:rFonts w:eastAsia="Arial" w:cs="Arial"/>
          <w:szCs w:val="24"/>
        </w:rPr>
      </w:pPr>
      <w:r w:rsidRPr="008E0469">
        <w:t>In addition, the EBA performs other tasks such as, for example, planning the federal railways’ operating facilities, helping to finance construction work under the Federal Railway Development Act [Bundesschie</w:t>
      </w:r>
      <w:r w:rsidRPr="008E0469">
        <w:t>nenwegeausbaugesetz] (BSWAG), work in the field of dangerous goods, activities as an enforcement body for Regulation (EC) No 1371/2007 on the rights and obligations of railway passengers (the EBA is also responsible for passenger rights for ship and bus tr</w:t>
      </w:r>
      <w:r w:rsidRPr="008E0469">
        <w:t>affic), and planning, approving and acting as the supervisory authority for magnetic levitation railways. The task of coordinating research was newly added in 2015.</w:t>
      </w:r>
    </w:p>
    <w:p w:rsidR="009F6E65" w:rsidRPr="008E0469" w:rsidRDefault="00D05136">
      <w:pPr>
        <w:spacing w:before="16" w:line="260" w:lineRule="exact"/>
        <w:rPr>
          <w:sz w:val="26"/>
          <w:szCs w:val="26"/>
        </w:rPr>
      </w:pPr>
    </w:p>
    <w:p w:rsidR="009F6E65" w:rsidRPr="008E0469" w:rsidRDefault="00D05136">
      <w:pPr>
        <w:ind w:left="120" w:right="71"/>
        <w:jc w:val="both"/>
        <w:rPr>
          <w:rFonts w:eastAsia="Arial" w:cs="Arial"/>
          <w:szCs w:val="24"/>
        </w:rPr>
      </w:pPr>
      <w:r w:rsidRPr="008E0469">
        <w:t>In accordance with Article 18 of the Railway Safety Directive, this report is limited to t</w:t>
      </w:r>
      <w:r w:rsidRPr="008E0469">
        <w:t>he EBA’s activities as a safety authority, in particular the development of:</w:t>
      </w:r>
    </w:p>
    <w:p w:rsidR="009F6E65" w:rsidRPr="008E0469" w:rsidRDefault="00D05136" w:rsidP="009F6E65">
      <w:pPr>
        <w:pStyle w:val="ListParagraph"/>
        <w:numPr>
          <w:ilvl w:val="0"/>
          <w:numId w:val="6"/>
        </w:numPr>
        <w:ind w:right="100" w:hanging="556"/>
        <w:jc w:val="both"/>
        <w:rPr>
          <w:rFonts w:eastAsia="Arial" w:cs="Arial"/>
          <w:szCs w:val="24"/>
        </w:rPr>
      </w:pPr>
      <w:r w:rsidRPr="008E0469">
        <w:t>railway safety, including the common safety indicators (CSIs),</w:t>
      </w:r>
    </w:p>
    <w:p w:rsidR="009F6E65" w:rsidRPr="008E0469" w:rsidRDefault="00D05136" w:rsidP="009F6E65">
      <w:pPr>
        <w:pStyle w:val="ListParagraph"/>
        <w:numPr>
          <w:ilvl w:val="0"/>
          <w:numId w:val="6"/>
        </w:numPr>
        <w:ind w:right="-56" w:hanging="556"/>
        <w:jc w:val="both"/>
        <w:rPr>
          <w:rFonts w:eastAsia="Arial" w:cs="Arial"/>
          <w:szCs w:val="24"/>
        </w:rPr>
      </w:pPr>
      <w:r w:rsidRPr="008E0469">
        <w:t>the legal framework in the field of railway safety,</w:t>
      </w:r>
    </w:p>
    <w:p w:rsidR="009F6E65" w:rsidRPr="008E0469" w:rsidRDefault="00D05136" w:rsidP="009F6E65">
      <w:pPr>
        <w:pStyle w:val="ListParagraph"/>
        <w:numPr>
          <w:ilvl w:val="0"/>
          <w:numId w:val="6"/>
        </w:numPr>
        <w:ind w:right="-198" w:hanging="556"/>
        <w:jc w:val="both"/>
        <w:rPr>
          <w:rFonts w:eastAsia="Arial" w:cs="Arial"/>
          <w:szCs w:val="24"/>
        </w:rPr>
      </w:pPr>
      <w:r w:rsidRPr="008E0469">
        <w:t>safety certifications and safety authorisations, as well as</w:t>
      </w:r>
    </w:p>
    <w:p w:rsidR="009F6E65" w:rsidRPr="008E0469" w:rsidRDefault="00D05136" w:rsidP="009F6E65">
      <w:pPr>
        <w:pStyle w:val="ListParagraph"/>
        <w:numPr>
          <w:ilvl w:val="0"/>
          <w:numId w:val="6"/>
        </w:numPr>
        <w:ind w:right="-56" w:hanging="556"/>
        <w:jc w:val="both"/>
        <w:rPr>
          <w:rFonts w:eastAsia="Arial" w:cs="Arial"/>
          <w:szCs w:val="24"/>
        </w:rPr>
      </w:pPr>
      <w:r w:rsidRPr="008E0469">
        <w:t xml:space="preserve">the </w:t>
      </w:r>
      <w:r w:rsidRPr="008E0469">
        <w:t>knowledge obtained from the supervision of railway undertakings.</w:t>
      </w:r>
    </w:p>
    <w:p w:rsidR="009F6E65" w:rsidRPr="008E0469" w:rsidRDefault="00D05136">
      <w:pPr>
        <w:spacing w:before="16" w:line="260" w:lineRule="exact"/>
        <w:rPr>
          <w:sz w:val="26"/>
          <w:szCs w:val="26"/>
        </w:rPr>
      </w:pPr>
    </w:p>
    <w:p w:rsidR="009F6E65" w:rsidRPr="008E0469" w:rsidRDefault="00D05136">
      <w:pPr>
        <w:ind w:left="120" w:right="72"/>
        <w:jc w:val="both"/>
        <w:rPr>
          <w:rFonts w:eastAsia="Arial" w:cs="Arial"/>
          <w:szCs w:val="24"/>
        </w:rPr>
        <w:sectPr w:rsidR="009F6E65" w:rsidRPr="008E0469">
          <w:pgSz w:w="11920" w:h="16840"/>
          <w:pgMar w:top="1940" w:right="1300" w:bottom="280" w:left="1320" w:header="701" w:footer="735" w:gutter="0"/>
          <w:cols w:space="720"/>
        </w:sectPr>
      </w:pPr>
      <w:r w:rsidRPr="008E0469">
        <w:t>The report is structured as recommended by the European Railway Agency (ERA). Its target audience is primarily the rail sector in Germany and Europe, though it is also aimed</w:t>
      </w:r>
      <w:r w:rsidRPr="008E0469">
        <w:t xml:space="preserve"> at politicians, representatives of business and the press from other sectors, as well as interested members of the general public.</w:t>
      </w:r>
    </w:p>
    <w:p w:rsidR="009F6E65" w:rsidRPr="008E0469" w:rsidRDefault="00D05136">
      <w:pPr>
        <w:spacing w:before="8" w:line="140" w:lineRule="exact"/>
        <w:rPr>
          <w:sz w:val="14"/>
          <w:szCs w:val="14"/>
        </w:rPr>
      </w:pPr>
    </w:p>
    <w:p w:rsidR="009F6E65" w:rsidRPr="008E0469" w:rsidRDefault="00D05136" w:rsidP="009F6E65">
      <w:pPr>
        <w:pStyle w:val="Heading1"/>
        <w:rPr>
          <w:rFonts w:eastAsia="Arial"/>
        </w:rPr>
      </w:pPr>
      <w:bookmarkStart w:id="2" w:name="_Toc467669056"/>
      <w:bookmarkStart w:id="3" w:name="_Toc471208493"/>
      <w:r w:rsidRPr="008E0469">
        <w:t>Safety Balance Sheet and Strategy</w:t>
      </w:r>
      <w:bookmarkEnd w:id="2"/>
      <w:bookmarkEnd w:id="3"/>
    </w:p>
    <w:p w:rsidR="009F6E65" w:rsidRPr="008E0469" w:rsidRDefault="00D05136">
      <w:pPr>
        <w:spacing w:before="9" w:line="100" w:lineRule="exact"/>
        <w:rPr>
          <w:sz w:val="10"/>
          <w:szCs w:val="10"/>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4" w:name="_Toc467669057"/>
      <w:bookmarkStart w:id="5" w:name="_Toc471208494"/>
      <w:r w:rsidRPr="008E0469">
        <w:t>Main conclusions for the reporting year</w:t>
      </w:r>
      <w:bookmarkEnd w:id="4"/>
      <w:bookmarkEnd w:id="5"/>
    </w:p>
    <w:p w:rsidR="009F6E65" w:rsidRPr="008E0469" w:rsidRDefault="00D05136">
      <w:pPr>
        <w:spacing w:before="16" w:line="260" w:lineRule="exact"/>
        <w:rPr>
          <w:sz w:val="26"/>
          <w:szCs w:val="26"/>
        </w:rPr>
      </w:pPr>
    </w:p>
    <w:p w:rsidR="009F6E65" w:rsidRPr="008E0469" w:rsidRDefault="00D05136">
      <w:pPr>
        <w:ind w:left="100" w:right="70"/>
        <w:jc w:val="both"/>
        <w:rPr>
          <w:rFonts w:eastAsia="Arial" w:cs="Arial"/>
          <w:szCs w:val="24"/>
        </w:rPr>
      </w:pPr>
      <w:r w:rsidRPr="008E0469">
        <w:t xml:space="preserve">The form and intensity of the EBA’s </w:t>
      </w:r>
      <w:r w:rsidRPr="008E0469">
        <w:t>supervision over the railways did not substantially change in 2015 in comparison with previous years. The number of safety-related defects found in the context of its supervision has likewise stayed at around the level of previous years, and so no critical</w:t>
      </w:r>
      <w:r w:rsidRPr="008E0469">
        <w:t xml:space="preserve"> influence on the safety level can be inferred from the results.</w:t>
      </w:r>
      <w:r w:rsidRPr="008E0469">
        <w:t xml:space="preserve"> </w:t>
      </w:r>
      <w:r w:rsidRPr="008E0469">
        <w:t>The EBA did not identify any fundamental structural deficits in the course of its supervisory work. It was primarily in the context of cross-border transportation that the supervisory authori</w:t>
      </w:r>
      <w:r w:rsidRPr="008E0469">
        <w:t>ty identified problems regarding the technical state of trains and loads. The most striking issue was freight traffic originating from Italy; see also, in this regard, B.2. ‘Enhanced import controls’ and B.3. ‘Focuses of monitoring’. Taking into account th</w:t>
      </w:r>
      <w:r w:rsidRPr="008E0469">
        <w:t>e actual trend in terms of accidents of past years, coupled with a rising trend in transport services on the German rail network, it can be noted that the safety level nevertheless remains stable and consolidated.</w:t>
      </w:r>
    </w:p>
    <w:p w:rsidR="009F6E65" w:rsidRPr="008E0469" w:rsidRDefault="00D05136">
      <w:pPr>
        <w:spacing w:before="2" w:line="140" w:lineRule="exact"/>
        <w:rPr>
          <w:sz w:val="15"/>
          <w:szCs w:val="15"/>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6" w:name="_Toc467669058"/>
      <w:bookmarkStart w:id="7" w:name="_Toc471208495"/>
      <w:r w:rsidRPr="008E0469">
        <w:t xml:space="preserve">National safety strategies, programmes </w:t>
      </w:r>
      <w:r w:rsidRPr="008E0469">
        <w:t>and initiatives</w:t>
      </w:r>
      <w:bookmarkEnd w:id="6"/>
      <w:bookmarkEnd w:id="7"/>
    </w:p>
    <w:p w:rsidR="009F6E65" w:rsidRPr="008E0469" w:rsidRDefault="00D05136">
      <w:pPr>
        <w:spacing w:before="16" w:line="260" w:lineRule="exact"/>
        <w:rPr>
          <w:sz w:val="26"/>
          <w:szCs w:val="26"/>
        </w:rPr>
      </w:pPr>
    </w:p>
    <w:p w:rsidR="009F6E65" w:rsidRPr="008E0469" w:rsidRDefault="00D05136">
      <w:pPr>
        <w:ind w:left="100" w:right="76"/>
        <w:rPr>
          <w:rFonts w:eastAsia="Arial" w:cs="Arial"/>
          <w:szCs w:val="24"/>
        </w:rPr>
      </w:pPr>
      <w:r w:rsidRPr="008E0469">
        <w:t>The following programmes were carried out in 2015, some extending over several years: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programme of replacement of old safety technology at level crossings for the purposes of harmonisation with the current regulatory framework;</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programme o</w:t>
      </w:r>
      <w:r w:rsidRPr="008E0469">
        <w:t>f elimination of speed restrictions (focusing more on capacity aspects than safety aspects);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programme of logging in full of all drainage systems and producing a draft inspection and maintenance plan for these systems;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implementation of the special program</w:t>
      </w:r>
      <w:r w:rsidRPr="008E0469">
        <w:t xml:space="preserve">me to equip track stretches with intermittent automatic train control based on the amended requirements of the Railway Construction and Operation Order [Eisenbahn-Bau- und </w:t>
      </w:r>
      <w:r w:rsidRPr="008E0469">
        <w:br/>
        <w:t>Betriebsordnung - EBO];</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agreement on strengthened import controls by the railway un</w:t>
      </w:r>
      <w:r w:rsidRPr="008E0469">
        <w:t>dertakings when accepting trains coming from foreign countries, with the objective of ensuring the safe state of the trains in Germany by way of this standalone monitoring.</w:t>
      </w:r>
    </w:p>
    <w:p w:rsidR="009F6E65" w:rsidRPr="008E0469" w:rsidRDefault="00D05136">
      <w:pPr>
        <w:spacing w:line="260" w:lineRule="exact"/>
        <w:ind w:left="100" w:right="76"/>
        <w:rPr>
          <w:rFonts w:eastAsia="Arial" w:cs="Arial"/>
          <w:szCs w:val="24"/>
        </w:rPr>
      </w:pPr>
      <w:r w:rsidRPr="008E0469">
        <w:t xml:space="preserve">These programmes are largely implemented by the railways and monitored by the EBA </w:t>
      </w:r>
      <w:r w:rsidRPr="008E0469">
        <w:t>via various procedures.</w:t>
      </w:r>
    </w:p>
    <w:p w:rsidR="009F6E65" w:rsidRPr="008E0469" w:rsidRDefault="00D05136">
      <w:pPr>
        <w:spacing w:before="8" w:line="140" w:lineRule="exact"/>
        <w:rPr>
          <w:sz w:val="14"/>
          <w:szCs w:val="14"/>
        </w:rPr>
      </w:pPr>
    </w:p>
    <w:p w:rsidR="009F6E65" w:rsidRPr="008E0469" w:rsidRDefault="00D05136">
      <w:pPr>
        <w:spacing w:line="200" w:lineRule="exact"/>
      </w:pPr>
    </w:p>
    <w:p w:rsidR="009F6E65" w:rsidRPr="008E0469" w:rsidRDefault="00D05136" w:rsidP="009F6E65">
      <w:pPr>
        <w:pStyle w:val="Heading2"/>
        <w:rPr>
          <w:rFonts w:eastAsia="Arial"/>
        </w:rPr>
      </w:pPr>
      <w:bookmarkStart w:id="8" w:name="_Toc467669059"/>
      <w:bookmarkStart w:id="9" w:name="_Toc471208496"/>
      <w:r w:rsidRPr="008E0469">
        <w:t>Assessment of the reporting year</w:t>
      </w:r>
      <w:bookmarkEnd w:id="8"/>
      <w:bookmarkEnd w:id="9"/>
    </w:p>
    <w:p w:rsidR="009F6E65" w:rsidRPr="008E0469" w:rsidRDefault="00D05136" w:rsidP="009F6E65">
      <w:pPr>
        <w:keepNext/>
        <w:spacing w:before="16" w:line="260" w:lineRule="exact"/>
        <w:rPr>
          <w:sz w:val="26"/>
          <w:szCs w:val="26"/>
        </w:rPr>
      </w:pPr>
    </w:p>
    <w:p w:rsidR="009F6E65" w:rsidRPr="008E0469" w:rsidRDefault="00D05136" w:rsidP="009F6E65">
      <w:pPr>
        <w:keepNext/>
        <w:ind w:left="100" w:right="76"/>
        <w:rPr>
          <w:rFonts w:eastAsia="Arial" w:cs="Arial"/>
          <w:szCs w:val="24"/>
        </w:rPr>
      </w:pPr>
      <w:r w:rsidRPr="008E0469">
        <w:t>In 2015 the EBA focused its supervision on the following points, most of which had already constituted focal points in previous years: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enhanced supervision of consignments of dangerous goods originating from foreign countries by way of joint controls by employees from operational monitoring and from dangerous goods monitoring, since trains coming from foreign countries have a higher ratio</w:t>
      </w:r>
      <w:r w:rsidRPr="008E0469">
        <w:t xml:space="preserve"> of problems;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targeted controls in the field of technical occupational safety owing to the quality of the backup plans of building sites differing according to region;</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consideration of education and training as well as internal monitoring at relevant railw</w:t>
      </w:r>
      <w:r w:rsidRPr="008E0469">
        <w:t xml:space="preserve">ay infrastructure undertakings on the basis of the frequent occurrence of events owing to incorrect operation of older signalling control systems, identification of potential improvements; </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wheelset and bogies on various types of vehicle, especially compar</w:t>
      </w:r>
      <w:r w:rsidRPr="008E0469">
        <w:t>ing rated and actual loads on bogie components and their maintenance implications in each case;</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separation and description of the responsibilities at the interface between railway undertakings and the body responsible for the maintenance of rolling stock –</w:t>
      </w:r>
      <w:r w:rsidRPr="008E0469">
        <w:t xml:space="preserve"> not recognising this interface can lead to the creation of unregulated areas and also to inconsistencies;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consistent maintenance documentation and traceability in conjunction with corresponding IT processes;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internal control regarding the effectiveness of</w:t>
      </w:r>
      <w:r w:rsidRPr="008E0469">
        <w:t xml:space="preserve"> the process and ensuring compliance with safety-related regulations;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elements for implementing the EU Regulation on a common safety method for monitoring (European Commission Regulation (EU) No 1078/2012): configuration and performance of internal control</w:t>
      </w:r>
      <w:r w:rsidRPr="008E0469">
        <w:t>s regarding the effectiveness of the processes; creation of suitable parameters and indicators as an instrument of control to guarantee process effectiveness; processes for monitoring how safety-related defects that are identified are dealt with.</w:t>
      </w:r>
    </w:p>
    <w:p w:rsidR="009F6E65" w:rsidRPr="008E0469" w:rsidRDefault="00D05136">
      <w:pPr>
        <w:spacing w:before="16" w:line="260" w:lineRule="exact"/>
        <w:rPr>
          <w:sz w:val="26"/>
          <w:szCs w:val="26"/>
        </w:rPr>
      </w:pPr>
    </w:p>
    <w:p w:rsidR="009F6E65" w:rsidRPr="008E0469" w:rsidRDefault="00D05136">
      <w:pPr>
        <w:ind w:left="120" w:right="71"/>
        <w:jc w:val="both"/>
        <w:rPr>
          <w:rFonts w:eastAsia="Arial" w:cs="Arial"/>
          <w:szCs w:val="24"/>
        </w:rPr>
      </w:pPr>
      <w:r w:rsidRPr="008E0469">
        <w:t>When saf</w:t>
      </w:r>
      <w:r w:rsidRPr="008E0469">
        <w:t>ety-related defects were identified, the EBA issued directives as necessary for the proper maintenance of track equipment and rolling stock, and for the safe running of operations pursuant to Section 2(4) EBO. In addition, measures for rectifying shortcomi</w:t>
      </w:r>
      <w:r w:rsidRPr="008E0469">
        <w:t>ngs were discussed and agreed in bilateral discussions at management level. The EBA regularly monitors the implementation of its directives and the elimination of shortcomings. In the infrastructure sector, the documentation of installation data (e.g. buil</w:t>
      </w:r>
      <w:r w:rsidRPr="008E0469">
        <w:t>ding works books and booklets for civil engineering work in the railway sector, installation data for retaining structures) still constituted an area where significant deficiencies existed, and this resulted in measures for retrospective collection.</w:t>
      </w:r>
    </w:p>
    <w:p w:rsidR="009F6E65" w:rsidRPr="008E0469" w:rsidRDefault="00D05136">
      <w:pPr>
        <w:spacing w:before="16" w:line="260" w:lineRule="exact"/>
        <w:rPr>
          <w:sz w:val="26"/>
          <w:szCs w:val="26"/>
        </w:rPr>
      </w:pPr>
    </w:p>
    <w:p w:rsidR="009F6E65" w:rsidRPr="008E0469" w:rsidRDefault="00D05136" w:rsidP="009F6E65">
      <w:pPr>
        <w:ind w:left="120" w:right="72"/>
        <w:jc w:val="both"/>
        <w:rPr>
          <w:sz w:val="16"/>
          <w:szCs w:val="16"/>
        </w:rPr>
      </w:pPr>
      <w:r w:rsidRPr="008E0469">
        <w:t>Overall, the EBA conducted around 8 600 checks of railway undertakings and infrastructure managers in 2015 (including on-site inspections and product audits as well as process audits). Furthermore, approximately 12 500 checks were carried out in the danger</w:t>
      </w:r>
      <w:r w:rsidRPr="008E0469">
        <w:t xml:space="preserve">ous goods sector, focusing not only on the railways, but also on other providers such as forwarding agents, loaders or fillers. The level of objections raised in relation to the checks in the dangerous goods sector was 9.2% overall, and specifically 15.2% </w:t>
      </w:r>
      <w:r w:rsidRPr="008E0469">
        <w:t xml:space="preserve">in the case of cross-border transport. </w:t>
      </w:r>
    </w:p>
    <w:p w:rsidR="009F6E65" w:rsidRPr="008E0469" w:rsidRDefault="00D05136">
      <w:pPr>
        <w:ind w:left="120" w:right="76"/>
        <w:jc w:val="both"/>
        <w:rPr>
          <w:rFonts w:eastAsia="Arial" w:cs="Arial"/>
          <w:szCs w:val="24"/>
        </w:rPr>
      </w:pPr>
      <w:r w:rsidRPr="008E0469">
        <w:t xml:space="preserve">For carrying out the supervision of railway undertakings and infrastructure managers, there are guidelines whereby the EBA implements the criteria of supervision under the EU Regulation on a common safety method for </w:t>
      </w:r>
      <w:r w:rsidRPr="008E0469">
        <w:t>supervision (Regulation (EU) No 1077/2012).</w:t>
      </w:r>
    </w:p>
    <w:p w:rsidR="009F6E65" w:rsidRPr="008E0469" w:rsidRDefault="00D05136">
      <w:pPr>
        <w:spacing w:before="2" w:line="140" w:lineRule="exact"/>
        <w:rPr>
          <w:sz w:val="15"/>
          <w:szCs w:val="15"/>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10" w:name="_Toc467669060"/>
      <w:bookmarkStart w:id="11" w:name="_Toc471208497"/>
      <w:r w:rsidRPr="008E0469">
        <w:t>Priority areas for 2016</w:t>
      </w:r>
      <w:bookmarkEnd w:id="10"/>
      <w:bookmarkEnd w:id="11"/>
    </w:p>
    <w:p w:rsidR="009F6E65" w:rsidRPr="008E0469" w:rsidRDefault="00D05136">
      <w:pPr>
        <w:spacing w:before="16" w:line="260" w:lineRule="exact"/>
        <w:rPr>
          <w:sz w:val="26"/>
          <w:szCs w:val="26"/>
        </w:rPr>
      </w:pPr>
    </w:p>
    <w:p w:rsidR="009F6E65" w:rsidRPr="008E0469" w:rsidRDefault="00D05136">
      <w:pPr>
        <w:ind w:left="120" w:right="72"/>
        <w:jc w:val="both"/>
        <w:rPr>
          <w:rFonts w:eastAsia="Arial" w:cs="Arial"/>
          <w:szCs w:val="24"/>
        </w:rPr>
      </w:pPr>
      <w:r w:rsidRPr="008E0469">
        <w:t>On the basis of the knowledge acquired in 2015, it can be said that the form and scope of the regular supervision has proved successful and it should therefore be retained in essential</w:t>
      </w:r>
      <w:r w:rsidRPr="008E0469">
        <w:t>ly unchanged form. The 2015 priority areas will in large part also form the essential elements of the supervision in the coming year. The supervision will focus to a greater extent on the undertakings’ measures for reducing the number of signals passed. In</w:t>
      </w:r>
      <w:r w:rsidRPr="008E0469">
        <w:t xml:space="preserve"> addition, one new topic is the promotion and supervision of the implementation of the supplementary regulation B 011 relating to braking technology which defines technical requirements for sanding equipment.</w:t>
      </w:r>
    </w:p>
    <w:p w:rsidR="009F6E65" w:rsidRPr="008E0469" w:rsidRDefault="00D05136">
      <w:pPr>
        <w:spacing w:before="16" w:line="260" w:lineRule="exact"/>
        <w:rPr>
          <w:sz w:val="26"/>
          <w:szCs w:val="26"/>
        </w:rPr>
      </w:pPr>
    </w:p>
    <w:p w:rsidR="009F6E65" w:rsidRPr="008E0469" w:rsidRDefault="00D05136">
      <w:pPr>
        <w:ind w:left="120" w:right="71"/>
        <w:jc w:val="both"/>
        <w:rPr>
          <w:rFonts w:eastAsia="Arial" w:cs="Arial"/>
          <w:szCs w:val="24"/>
        </w:rPr>
      </w:pPr>
      <w:r w:rsidRPr="008E0469">
        <w:t>In addition, the following topics are to be wo</w:t>
      </w:r>
      <w:r w:rsidRPr="008E0469">
        <w:t>rked on in the field of the supervision of railway undertakings’ safety management systems: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Traceability of the termination of inspection tasks;</w:t>
      </w:r>
    </w:p>
    <w:p w:rsidR="009F6E65" w:rsidRPr="008E0469" w:rsidRDefault="00D05136" w:rsidP="009F6E65">
      <w:pPr>
        <w:pStyle w:val="ListParagraph"/>
        <w:numPr>
          <w:ilvl w:val="0"/>
          <w:numId w:val="4"/>
        </w:numPr>
        <w:spacing w:before="13"/>
        <w:ind w:right="908" w:hanging="578"/>
        <w:jc w:val="both"/>
        <w:rPr>
          <w:rFonts w:eastAsia="Arial" w:cs="Arial"/>
          <w:szCs w:val="24"/>
        </w:rPr>
      </w:pPr>
      <w:r w:rsidRPr="008E0469">
        <w:t>Further development of the management of the system of rules;</w:t>
      </w:r>
    </w:p>
    <w:p w:rsidR="009F6E65" w:rsidRPr="008E0469" w:rsidRDefault="00D05136" w:rsidP="009F6E65">
      <w:pPr>
        <w:pStyle w:val="ListParagraph"/>
        <w:numPr>
          <w:ilvl w:val="0"/>
          <w:numId w:val="4"/>
        </w:numPr>
        <w:spacing w:before="13"/>
        <w:ind w:right="908" w:hanging="578"/>
        <w:jc w:val="both"/>
        <w:rPr>
          <w:rFonts w:eastAsia="Arial" w:cs="Arial"/>
          <w:szCs w:val="24"/>
        </w:rPr>
        <w:sectPr w:rsidR="009F6E65" w:rsidRPr="008E0469">
          <w:pgSz w:w="11920" w:h="16840"/>
          <w:pgMar w:top="1940" w:right="1300" w:bottom="280" w:left="1320" w:header="701" w:footer="735" w:gutter="0"/>
          <w:cols w:space="720"/>
        </w:sectPr>
      </w:pPr>
      <w:r w:rsidRPr="008E0469">
        <w:t>Improvement of the analysis of w</w:t>
      </w:r>
      <w:r w:rsidRPr="008E0469">
        <w:t>eak points.</w:t>
      </w:r>
    </w:p>
    <w:p w:rsidR="009F6E65" w:rsidRPr="008E0469" w:rsidRDefault="00D05136">
      <w:pPr>
        <w:spacing w:line="140" w:lineRule="exact"/>
        <w:rPr>
          <w:sz w:val="15"/>
          <w:szCs w:val="15"/>
        </w:rPr>
      </w:pPr>
    </w:p>
    <w:p w:rsidR="009F6E65" w:rsidRPr="008E0469" w:rsidRDefault="00D05136" w:rsidP="009F6E65">
      <w:pPr>
        <w:pStyle w:val="Heading1"/>
        <w:rPr>
          <w:rFonts w:eastAsia="Arial"/>
        </w:rPr>
      </w:pPr>
      <w:bookmarkStart w:id="12" w:name="_Toc467669061"/>
      <w:bookmarkStart w:id="13" w:name="_Toc471208498"/>
      <w:r w:rsidRPr="008E0469">
        <w:t>Development in the safety sector</w:t>
      </w:r>
      <w:bookmarkEnd w:id="12"/>
      <w:bookmarkEnd w:id="13"/>
    </w:p>
    <w:p w:rsidR="009F6E65" w:rsidRPr="008E0469" w:rsidRDefault="00D05136">
      <w:pPr>
        <w:spacing w:before="9" w:line="100" w:lineRule="exact"/>
        <w:rPr>
          <w:sz w:val="10"/>
          <w:szCs w:val="10"/>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14" w:name="_Toc467669062"/>
      <w:bookmarkStart w:id="15" w:name="_Toc471208499"/>
      <w:r w:rsidRPr="008E0469">
        <w:t>In-depth analysis of the trends noted in the recent past</w:t>
      </w:r>
      <w:bookmarkEnd w:id="14"/>
      <w:bookmarkEnd w:id="15"/>
    </w:p>
    <w:p w:rsidR="009F6E65" w:rsidRPr="008E0469" w:rsidRDefault="00D05136">
      <w:pPr>
        <w:spacing w:before="16" w:line="260" w:lineRule="exact"/>
        <w:rPr>
          <w:sz w:val="26"/>
          <w:szCs w:val="26"/>
        </w:rPr>
      </w:pPr>
    </w:p>
    <w:p w:rsidR="009F6E65" w:rsidRPr="008E0469" w:rsidRDefault="00D05136">
      <w:pPr>
        <w:ind w:left="120" w:right="76"/>
        <w:jc w:val="both"/>
        <w:rPr>
          <w:rFonts w:eastAsia="Arial" w:cs="Arial"/>
          <w:szCs w:val="24"/>
        </w:rPr>
      </w:pPr>
      <w:r w:rsidRPr="008E0469">
        <w:t xml:space="preserve">The trend analysis relates to the categories of Common Safety Indicators (CSIs) listed in the Directive on safety on the Community’s railways </w:t>
      </w:r>
      <w:r w:rsidRPr="008E0469">
        <w:t>(Directive 2004/49/EC).</w:t>
      </w:r>
    </w:p>
    <w:p w:rsidR="009F6E65" w:rsidRPr="008E0469" w:rsidRDefault="00D05136">
      <w:pPr>
        <w:spacing w:before="14" w:line="260" w:lineRule="exact"/>
        <w:rPr>
          <w:sz w:val="26"/>
          <w:szCs w:val="26"/>
        </w:rPr>
      </w:pPr>
    </w:p>
    <w:p w:rsidR="009F6E65" w:rsidRPr="008E0469" w:rsidRDefault="00D05136" w:rsidP="009F6E65">
      <w:pPr>
        <w:ind w:left="120" w:right="86"/>
        <w:jc w:val="both"/>
        <w:rPr>
          <w:rFonts w:eastAsia="Arial" w:cs="Arial"/>
          <w:szCs w:val="24"/>
        </w:rPr>
      </w:pPr>
      <w:r w:rsidRPr="008E0469">
        <w:rPr>
          <w:i/>
        </w:rPr>
        <w:t>Accident victims</w:t>
      </w:r>
    </w:p>
    <w:p w:rsidR="009F6E65" w:rsidRPr="008E0469" w:rsidRDefault="00D05136">
      <w:pPr>
        <w:spacing w:before="18" w:line="260" w:lineRule="exact"/>
        <w:rPr>
          <w:sz w:val="26"/>
          <w:szCs w:val="26"/>
        </w:rPr>
      </w:pPr>
    </w:p>
    <w:p w:rsidR="009F6E65" w:rsidRPr="008E0469" w:rsidRDefault="00D05136" w:rsidP="009F6E65">
      <w:pPr>
        <w:ind w:left="120" w:right="83"/>
        <w:jc w:val="both"/>
        <w:rPr>
          <w:rFonts w:eastAsia="Arial" w:cs="Arial"/>
          <w:szCs w:val="24"/>
        </w:rPr>
      </w:pPr>
      <w:r w:rsidRPr="008E0469">
        <w:t>The number of people seriously injured in railway accidents stood at 118 in 2015, higher than the level of the previous year (109 people seriously injured), but still below the average level for previous years. Th</w:t>
      </w:r>
      <w:r w:rsidRPr="008E0469">
        <w:t>e number of train-kilometres travelled remained virtually the same, and thus the number of seriously injured people relative to train-kilometres travelled increased slightly to 0.113 seriously injured persons per million train-kilometres. The number of pas</w:t>
      </w:r>
      <w:r w:rsidRPr="008E0469">
        <w:t>sengers seriously injured was up on the previous year, from 13 to 16. The proportion of level crossing users or trespassers or others in the total amount of all people seriously injured decreased slightly, but is still almost 80%. There was a significant i</w:t>
      </w:r>
      <w:r w:rsidRPr="008E0469">
        <w:t>ncrease in severe injuries to level crossing users. Conversely, the number of other persons seriously injured in railway accidents decreased significantly; there were only minor changes in the remaining groups of persons.</w:t>
      </w:r>
    </w:p>
    <w:p w:rsidR="009F6E65" w:rsidRPr="008E0469" w:rsidRDefault="00D05136">
      <w:pPr>
        <w:spacing w:before="16" w:line="260" w:lineRule="exact"/>
        <w:rPr>
          <w:sz w:val="26"/>
          <w:szCs w:val="26"/>
        </w:rPr>
      </w:pPr>
    </w:p>
    <w:p w:rsidR="009F6E65" w:rsidRPr="008E0469" w:rsidRDefault="00D05136" w:rsidP="009F6E65">
      <w:pPr>
        <w:ind w:left="120" w:right="82"/>
        <w:jc w:val="both"/>
        <w:rPr>
          <w:rFonts w:eastAsia="Arial" w:cs="Arial"/>
          <w:szCs w:val="24"/>
        </w:rPr>
        <w:sectPr w:rsidR="009F6E65" w:rsidRPr="008E0469">
          <w:pgSz w:w="11920" w:h="16840"/>
          <w:pgMar w:top="1940" w:right="1300" w:bottom="280" w:left="1320" w:header="701" w:footer="735" w:gutter="0"/>
          <w:cols w:space="720"/>
        </w:sectPr>
      </w:pPr>
      <w:r w:rsidRPr="008E0469">
        <w:t>A decrease in th</w:t>
      </w:r>
      <w:r w:rsidRPr="008E0469">
        <w:t>e number of people killed in railway accidents, from 160 in 2014 to 130 in the reporting year 2015, was recorded. Relative to train-kilometres travelled, this represents a slight decrease, from 0.153 to 0.125 fatalities per million train-kilometres. Simila</w:t>
      </w:r>
      <w:r w:rsidRPr="008E0469">
        <w:t xml:space="preserve">rly to the case in previous years, around 80% of all deaths are attributable to the categories ‘level crossing users’ and ‘trespassers on railway premises’. Over half of the total fatalities are trespassers on railway premises (57%), even though there was </w:t>
      </w:r>
      <w:r w:rsidRPr="008E0469">
        <w:t xml:space="preserve">a significant decrease in this regard in comparison with the number of victims in the previous year. A detailed examination also shows that the decrease is also attributable to the category ‘level crossing users’, while the figures in the other categories </w:t>
      </w:r>
      <w:r w:rsidRPr="008E0469">
        <w:t>increased slightly. In 2015, three passengers were killed in railway accidents, one passenger in a level crossing accident and two further passengers in accidents with personal injuries.</w:t>
      </w:r>
    </w:p>
    <w:p w:rsidR="009F6E65" w:rsidRPr="008E0469" w:rsidRDefault="00D05136">
      <w:pPr>
        <w:spacing w:line="200" w:lineRule="exact"/>
      </w:pPr>
    </w:p>
    <w:p w:rsidR="009F6E65" w:rsidRPr="008E0469" w:rsidRDefault="00D05136">
      <w:pPr>
        <w:spacing w:before="16" w:line="240" w:lineRule="exact"/>
        <w:rPr>
          <w:szCs w:val="24"/>
        </w:rPr>
      </w:pPr>
    </w:p>
    <w:p w:rsidR="009F6E65" w:rsidRPr="008E0469" w:rsidRDefault="00D05136" w:rsidP="009F6E65">
      <w:pPr>
        <w:spacing w:before="40"/>
        <w:ind w:left="120" w:right="2"/>
        <w:jc w:val="both"/>
        <w:rPr>
          <w:rFonts w:eastAsia="Arial"/>
        </w:rPr>
      </w:pPr>
      <w:r w:rsidRPr="008E0469">
        <w:rPr>
          <w:i/>
          <w:spacing w:val="1"/>
        </w:rPr>
        <w:t>Significant accidents</w:t>
      </w:r>
      <w:r>
        <w:rPr>
          <w:rStyle w:val="FootnoteReference"/>
          <w:i/>
          <w:spacing w:val="8"/>
        </w:rPr>
        <w:footnoteReference w:id="1"/>
      </w:r>
    </w:p>
    <w:p w:rsidR="009F6E65" w:rsidRPr="008E0469" w:rsidRDefault="00D05136">
      <w:pPr>
        <w:spacing w:before="18" w:line="260" w:lineRule="exact"/>
        <w:rPr>
          <w:sz w:val="26"/>
          <w:szCs w:val="26"/>
        </w:rPr>
      </w:pPr>
    </w:p>
    <w:p w:rsidR="009F6E65" w:rsidRPr="008E0469" w:rsidRDefault="00D05136" w:rsidP="009F6E65">
      <w:pPr>
        <w:ind w:left="120" w:right="73"/>
        <w:jc w:val="both"/>
        <w:rPr>
          <w:rFonts w:eastAsia="Arial" w:cs="Arial"/>
          <w:szCs w:val="24"/>
        </w:rPr>
      </w:pPr>
      <w:r w:rsidRPr="008E0469">
        <w:t xml:space="preserve">In 2015 a total of 306 significant railway </w:t>
      </w:r>
      <w:r w:rsidRPr="008E0469">
        <w:t>accidents occurred on the rail network in Germany within the Safety Directive’s scope. Thus, the number of significant accidents decreased again, following three rises in succession. The total number is thus slightly below the average for the years 2007 to</w:t>
      </w:r>
      <w:r w:rsidRPr="008E0469">
        <w:t xml:space="preserve"> 2014. Relative to train-kilometres, the result is a decrease over the year from 0.319 serious accidents per million train-kilometres travelled on 2014 to 0.294 in 2015. A detailed examination reveals that the decrease observed mainly relates to the accide</w:t>
      </w:r>
      <w:r w:rsidRPr="008E0469">
        <w:t>nt types ‘accidents with personal injury’ (30 events), after this category had also recorded the most significant increase in the previous year. For accidents at level crossings, vehicle fires and other accidents, the incidence in each case decreased sligh</w:t>
      </w:r>
      <w:r w:rsidRPr="008E0469">
        <w:t>tly. The number of derailments remained the same, at a pleasingly low level. On the other hand, the number of collisions increased again. The collisions, of which there were 40 in total, can be subdivided into three collisions of trains with a railway vehi</w:t>
      </w:r>
      <w:r w:rsidRPr="008E0469">
        <w:t>cle and 37 collisions of trains with an obstruction within the clearance gauge.</w:t>
      </w:r>
    </w:p>
    <w:p w:rsidR="009F6E65" w:rsidRPr="008E0469" w:rsidRDefault="00D05136">
      <w:pPr>
        <w:spacing w:before="14" w:line="260" w:lineRule="exact"/>
        <w:rPr>
          <w:sz w:val="26"/>
          <w:szCs w:val="26"/>
        </w:rPr>
      </w:pPr>
    </w:p>
    <w:p w:rsidR="009F6E65" w:rsidRPr="008E0469" w:rsidRDefault="00D05136">
      <w:pPr>
        <w:ind w:left="120" w:right="6752"/>
        <w:jc w:val="both"/>
        <w:rPr>
          <w:rFonts w:eastAsia="Arial" w:cs="Arial"/>
          <w:szCs w:val="24"/>
        </w:rPr>
      </w:pPr>
      <w:r w:rsidRPr="008E0469">
        <w:rPr>
          <w:i/>
          <w:spacing w:val="1"/>
        </w:rPr>
        <w:t>Accident precursors</w:t>
      </w:r>
    </w:p>
    <w:p w:rsidR="009F6E65" w:rsidRPr="008E0469" w:rsidRDefault="00D05136">
      <w:pPr>
        <w:spacing w:before="18" w:line="260" w:lineRule="exact"/>
        <w:rPr>
          <w:sz w:val="26"/>
          <w:szCs w:val="26"/>
        </w:rPr>
      </w:pPr>
    </w:p>
    <w:p w:rsidR="009F6E65" w:rsidRPr="008E0469" w:rsidRDefault="00D05136">
      <w:pPr>
        <w:ind w:left="120" w:right="74"/>
        <w:jc w:val="both"/>
        <w:rPr>
          <w:rFonts w:eastAsia="Arial" w:cs="Arial"/>
          <w:szCs w:val="24"/>
        </w:rPr>
      </w:pPr>
      <w:r w:rsidRPr="008E0469">
        <w:t>Under Directive 2004/49/EC, the following accident precursors must be recorded: broken rails, track buckles, signalling errors and signals passed at dange</w:t>
      </w:r>
      <w:r w:rsidRPr="008E0469">
        <w:t>r. Once again, the number of broken rails, at 262, is below the low value from the previous year; the causes were, as in the previous year, a mild winter as well as effects of various measures (universal testing for eddy currents, preventive grinding of ra</w:t>
      </w:r>
      <w:r w:rsidRPr="008E0469">
        <w:t>ils and increased investment activity). The number of track buckles increased to 55 events. As in the previous years, there were no signalling errors. As for the number of signals passed at danger, following the significant increase in the previous year (+</w:t>
      </w:r>
      <w:r w:rsidRPr="008E0469">
        <w:t>25%), the number of events remained at that level. Some railways have introduced internal measures in order to reduce in a sustainable manner the number of signals passed at danger. The EBA will continue to keep an eye on this issue and will make it an asp</w:t>
      </w:r>
      <w:r w:rsidRPr="008E0469">
        <w:t>ect of targeted monitoring.</w:t>
      </w:r>
    </w:p>
    <w:p w:rsidR="009F6E65" w:rsidRPr="008E0469" w:rsidRDefault="00D05136">
      <w:pPr>
        <w:spacing w:before="14" w:line="260" w:lineRule="exact"/>
        <w:rPr>
          <w:sz w:val="26"/>
          <w:szCs w:val="26"/>
        </w:rPr>
      </w:pPr>
    </w:p>
    <w:p w:rsidR="009F6E65" w:rsidRPr="008E0469" w:rsidRDefault="00D05136">
      <w:pPr>
        <w:ind w:left="120" w:right="7809"/>
        <w:jc w:val="both"/>
        <w:rPr>
          <w:rFonts w:eastAsia="Arial" w:cs="Arial"/>
          <w:szCs w:val="24"/>
        </w:rPr>
      </w:pPr>
      <w:r w:rsidRPr="008E0469">
        <w:rPr>
          <w:i/>
        </w:rPr>
        <w:t>Accident costs</w:t>
      </w:r>
    </w:p>
    <w:p w:rsidR="009F6E65" w:rsidRPr="008E0469" w:rsidRDefault="00D05136">
      <w:pPr>
        <w:spacing w:before="18" w:line="260" w:lineRule="exact"/>
        <w:rPr>
          <w:sz w:val="26"/>
          <w:szCs w:val="26"/>
        </w:rPr>
      </w:pPr>
    </w:p>
    <w:p w:rsidR="009F6E65" w:rsidRPr="008E0469" w:rsidRDefault="00D05136" w:rsidP="009F6E65">
      <w:pPr>
        <w:ind w:left="120" w:right="72"/>
        <w:jc w:val="both"/>
        <w:rPr>
          <w:rFonts w:eastAsia="Arial" w:cs="Arial"/>
          <w:szCs w:val="24"/>
        </w:rPr>
      </w:pPr>
      <w:r w:rsidRPr="008E0469">
        <w:t>Details of the economic consequences of accidents have also been included since 2010. Thus, in accordance with the requirements introduced under Directive 2009/149/EC, details are provided of the material and en</w:t>
      </w:r>
      <w:r w:rsidRPr="008E0469">
        <w:t>vironmental damage as well as a calculation of the costs resulting from delays and the costs and societal losses resulting from victims of accidents. The base values used in the calculations were derived from the results of the ‘HEATCO’ Project that were r</w:t>
      </w:r>
      <w:r w:rsidRPr="008E0469">
        <w:t xml:space="preserve">ecommended by the European Railway Agency (an EU-sponsored project to work out principles for the economic evaluation of infrastructure projects; for further details, see </w:t>
      </w:r>
      <w:hyperlink r:id="rId12" w:history="1">
        <w:r w:rsidRPr="008E0469">
          <w:rPr>
            <w:rStyle w:val="Hyperlink"/>
            <w:spacing w:val="1"/>
            <w:u w:color="0000FF"/>
          </w:rPr>
          <w:t>http://heatco.ier.uni-stuttgart.de</w:t>
        </w:r>
      </w:hyperlink>
      <w:r w:rsidRPr="008E0469">
        <w:t>).</w:t>
      </w:r>
      <w:r w:rsidRPr="008E0469">
        <w:rPr>
          <w:color w:val="000000"/>
        </w:rPr>
        <w:t xml:space="preserve"> In accordance with this method of calculation, when deaths and severe injuries from railway accidents increase, there is also a rise in accident costs. For 2015, accident costs amounting to EUR 413 million were recorded and/or calculated. </w:t>
      </w:r>
      <w:r w:rsidRPr="008E0469">
        <w:t>This total ca</w:t>
      </w:r>
      <w:r w:rsidRPr="008E0469">
        <w:t>n be broken down as follows: EUR 352 million of ‘societal losses’ arising from accident victims; EUR 47 million of material and environmental damage; and EUR 14 million of costs due to accident-related delays. The costs due to accident-related delays are s</w:t>
      </w:r>
      <w:r w:rsidRPr="008E0469">
        <w:t>ignificantly lower than the previous years because delays caused by suicides were separated out for the first time and were not taken into account for the purposes of calculating the accident costs.</w:t>
      </w:r>
    </w:p>
    <w:p w:rsidR="009F6E65" w:rsidRPr="008E0469" w:rsidRDefault="00D05136">
      <w:pPr>
        <w:spacing w:before="16" w:line="260" w:lineRule="exact"/>
        <w:rPr>
          <w:sz w:val="26"/>
          <w:szCs w:val="26"/>
        </w:rPr>
      </w:pPr>
    </w:p>
    <w:p w:rsidR="009F6E65" w:rsidRPr="008E0469" w:rsidRDefault="00D05136" w:rsidP="009F6E65">
      <w:pPr>
        <w:pStyle w:val="Style1"/>
      </w:pPr>
      <w:hyperlink r:id="rId13" w:history="1">
        <w:r w:rsidRPr="008E0469">
          <w:rPr>
            <w:rStyle w:val="Hyperlink"/>
            <w:b/>
            <w:spacing w:val="-5"/>
            <w:u w:color="0000FF"/>
          </w:rPr>
          <w:t>Annex A</w:t>
        </w:r>
      </w:hyperlink>
      <w:r w:rsidRPr="008E0469">
        <w:t xml:space="preserve"> of this report presents </w:t>
      </w:r>
      <w:r w:rsidRPr="008E0469">
        <w:t>the safety indicators.</w:t>
      </w:r>
    </w:p>
    <w:p w:rsidR="009F6E65" w:rsidRPr="008E0469" w:rsidRDefault="00D05136">
      <w:pPr>
        <w:spacing w:before="2" w:line="140" w:lineRule="exact"/>
        <w:rPr>
          <w:sz w:val="15"/>
          <w:szCs w:val="15"/>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ind w:left="0" w:firstLine="0"/>
        <w:rPr>
          <w:rFonts w:eastAsia="Arial"/>
        </w:rPr>
      </w:pPr>
      <w:bookmarkStart w:id="16" w:name="_Toc467669063"/>
      <w:bookmarkStart w:id="17" w:name="_Toc471208500"/>
      <w:r w:rsidRPr="008E0469">
        <w:t>Results of the safety recommendations of the Federal Railway Accident Investigation Office (EUB)</w:t>
      </w:r>
      <w:bookmarkEnd w:id="16"/>
      <w:bookmarkEnd w:id="17"/>
    </w:p>
    <w:p w:rsidR="009F6E65" w:rsidRPr="008E0469" w:rsidRDefault="00D05136">
      <w:pPr>
        <w:spacing w:before="12" w:line="240" w:lineRule="exact"/>
        <w:rPr>
          <w:szCs w:val="24"/>
        </w:rPr>
      </w:pPr>
    </w:p>
    <w:p w:rsidR="009F6E65" w:rsidRPr="008E0469" w:rsidRDefault="00D05136">
      <w:pPr>
        <w:ind w:left="220" w:right="3557"/>
        <w:jc w:val="both"/>
        <w:rPr>
          <w:rFonts w:eastAsia="Arial" w:cs="Arial"/>
          <w:szCs w:val="24"/>
        </w:rPr>
      </w:pPr>
      <w:r w:rsidRPr="008E0469">
        <w:rPr>
          <w:i/>
        </w:rPr>
        <w:t>Table 1: 2015 safety recommendations</w:t>
      </w:r>
    </w:p>
    <w:tbl>
      <w:tblPr>
        <w:tblW w:w="0" w:type="auto"/>
        <w:tblInd w:w="106" w:type="dxa"/>
        <w:tblLayout w:type="fixed"/>
        <w:tblCellMar>
          <w:top w:w="85" w:type="dxa"/>
          <w:left w:w="85" w:type="dxa"/>
          <w:bottom w:w="85" w:type="dxa"/>
          <w:right w:w="85" w:type="dxa"/>
        </w:tblCellMar>
        <w:tblLook w:val="01E0" w:firstRow="1" w:lastRow="1" w:firstColumn="1" w:lastColumn="1" w:noHBand="0" w:noVBand="0"/>
      </w:tblPr>
      <w:tblGrid>
        <w:gridCol w:w="3276"/>
        <w:gridCol w:w="3636"/>
        <w:gridCol w:w="2352"/>
      </w:tblGrid>
      <w:tr w:rsidR="00F3700C" w:rsidTr="009F6E65">
        <w:trPr>
          <w:trHeight w:hRule="exact" w:val="782"/>
        </w:trPr>
        <w:tc>
          <w:tcPr>
            <w:tcW w:w="3276"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484"/>
              <w:jc w:val="center"/>
              <w:rPr>
                <w:rFonts w:ascii="Calibri" w:eastAsia="Calibri" w:hAnsi="Calibri" w:cs="Calibri"/>
                <w:szCs w:val="24"/>
              </w:rPr>
            </w:pPr>
            <w:r w:rsidRPr="008E0469">
              <w:rPr>
                <w:rFonts w:ascii="Calibri" w:hAnsi="Calibri"/>
                <w:b/>
                <w:spacing w:val="-1"/>
              </w:rPr>
              <w:t>Safety recommendation</w:t>
            </w:r>
          </w:p>
        </w:tc>
        <w:tc>
          <w:tcPr>
            <w:tcW w:w="3636"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695"/>
              <w:jc w:val="center"/>
              <w:rPr>
                <w:rFonts w:ascii="Calibri" w:eastAsia="Calibri" w:hAnsi="Calibri" w:cs="Calibri"/>
                <w:szCs w:val="24"/>
              </w:rPr>
            </w:pPr>
            <w:r w:rsidRPr="008E0469">
              <w:rPr>
                <w:rFonts w:ascii="Calibri" w:hAnsi="Calibri"/>
                <w:b/>
                <w:spacing w:val="-1"/>
              </w:rPr>
              <w:t>Safety measure</w:t>
            </w:r>
          </w:p>
        </w:tc>
        <w:tc>
          <w:tcPr>
            <w:tcW w:w="2352"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85"/>
              <w:jc w:val="center"/>
              <w:rPr>
                <w:rFonts w:ascii="Calibri" w:eastAsia="Calibri" w:hAnsi="Calibri" w:cs="Calibri"/>
                <w:szCs w:val="24"/>
              </w:rPr>
            </w:pPr>
            <w:r w:rsidRPr="008E0469">
              <w:rPr>
                <w:rFonts w:ascii="Calibri" w:hAnsi="Calibri"/>
                <w:b/>
                <w:spacing w:val="-1"/>
              </w:rPr>
              <w:t>Implementation status</w:t>
            </w:r>
          </w:p>
        </w:tc>
      </w:tr>
      <w:tr w:rsidR="00F3700C" w:rsidTr="009F6E65">
        <w:trPr>
          <w:trHeight w:hRule="exact" w:val="734"/>
        </w:trPr>
        <w:tc>
          <w:tcPr>
            <w:tcW w:w="9264" w:type="dxa"/>
            <w:gridSpan w:val="3"/>
            <w:tcBorders>
              <w:top w:val="nil"/>
              <w:left w:val="single" w:sz="5" w:space="0" w:color="000000"/>
              <w:bottom w:val="nil"/>
              <w:right w:val="single" w:sz="5" w:space="0" w:color="000000"/>
            </w:tcBorders>
            <w:vAlign w:val="center"/>
          </w:tcPr>
          <w:p w:rsidR="009F6E65" w:rsidRPr="008E0469" w:rsidRDefault="00D05136" w:rsidP="009F6E65">
            <w:pPr>
              <w:jc w:val="center"/>
              <w:rPr>
                <w:rFonts w:ascii="Calibri" w:eastAsia="Calibri" w:hAnsi="Calibri" w:cs="Calibri"/>
              </w:rPr>
            </w:pPr>
            <w:r w:rsidRPr="008E0469">
              <w:rPr>
                <w:rFonts w:ascii="Calibri" w:hAnsi="Calibri"/>
                <w:b/>
                <w:spacing w:val="-1"/>
              </w:rPr>
              <w:t xml:space="preserve">Event: Train collision in Mannheim </w:t>
            </w:r>
            <w:r w:rsidRPr="008E0469">
              <w:rPr>
                <w:rFonts w:ascii="Calibri" w:hAnsi="Calibri"/>
                <w:b/>
                <w:spacing w:val="-1"/>
              </w:rPr>
              <w:t>Central Station on 01.08.2014</w:t>
            </w:r>
          </w:p>
        </w:tc>
      </w:tr>
      <w:tr w:rsidR="00F3700C" w:rsidTr="009F6E65">
        <w:trPr>
          <w:trHeight w:hRule="exact" w:val="7523"/>
        </w:trPr>
        <w:tc>
          <w:tcPr>
            <w:tcW w:w="3276"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pStyle w:val="ListParagraph"/>
              <w:numPr>
                <w:ilvl w:val="0"/>
                <w:numId w:val="8"/>
              </w:numPr>
              <w:spacing w:line="240" w:lineRule="exact"/>
              <w:rPr>
                <w:rFonts w:ascii="Calibri" w:eastAsia="Calibri" w:hAnsi="Calibri" w:cs="Calibri"/>
              </w:rPr>
            </w:pPr>
            <w:r w:rsidRPr="008E0469">
              <w:rPr>
                <w:rFonts w:ascii="Calibri" w:hAnsi="Calibri"/>
                <w:position w:val="1"/>
              </w:rPr>
              <w:t>Strengthen continuously the awareness and competence of traction vehicle crews when dealing with PZB (intermittent automatic train control) emergency braking of any kind by targeted training measures.</w:t>
            </w:r>
          </w:p>
        </w:tc>
        <w:tc>
          <w:tcPr>
            <w:tcW w:w="3636"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4" w:line="235" w:lineRule="auto"/>
              <w:ind w:left="102" w:right="67"/>
              <w:jc w:val="both"/>
              <w:rPr>
                <w:rFonts w:ascii="Calibri" w:eastAsia="Calibri" w:hAnsi="Calibri" w:cs="Calibri"/>
              </w:rPr>
            </w:pPr>
            <w:r w:rsidRPr="008E0469">
              <w:rPr>
                <w:rFonts w:ascii="Calibri" w:hAnsi="Calibri"/>
              </w:rPr>
              <w:t xml:space="preserve">On the basis of the </w:t>
            </w:r>
            <w:r w:rsidRPr="008E0469">
              <w:rPr>
                <w:rFonts w:ascii="Calibri" w:hAnsi="Calibri"/>
              </w:rPr>
              <w:t>findings arising from the 2014 Mannheim accident, the EBA has put in place corresponding priorities for the purposes of risk-based supervision. Back in 2014, a focussed check was instigated in the weeks following the accident in which over 200 traction veh</w:t>
            </w:r>
            <w:r w:rsidRPr="008E0469">
              <w:rPr>
                <w:rFonts w:ascii="Calibri" w:hAnsi="Calibri"/>
              </w:rPr>
              <w:t>icle drivers were questioned regarding the correct conduct in the event of PZB emergency braking operations. This did not show up any structural shortcomings with regard to the knowledge of the operational staff.</w:t>
            </w:r>
          </w:p>
          <w:p w:rsidR="009F6E65" w:rsidRPr="008E0469" w:rsidRDefault="00D05136">
            <w:pPr>
              <w:spacing w:before="14" w:line="220" w:lineRule="exact"/>
              <w:rPr>
                <w:sz w:val="22"/>
                <w:szCs w:val="22"/>
              </w:rPr>
            </w:pPr>
          </w:p>
          <w:p w:rsidR="009F6E65" w:rsidRPr="008E0469" w:rsidRDefault="00D05136">
            <w:pPr>
              <w:ind w:left="102" w:right="63"/>
              <w:jc w:val="both"/>
              <w:rPr>
                <w:rFonts w:ascii="Calibri" w:eastAsia="Calibri" w:hAnsi="Calibri" w:cs="Calibri"/>
              </w:rPr>
            </w:pPr>
            <w:r w:rsidRPr="008E0469">
              <w:rPr>
                <w:rFonts w:ascii="Calibri" w:hAnsi="Calibri"/>
                <w:spacing w:val="-1"/>
              </w:rPr>
              <w:t xml:space="preserve">In order to achieve the greatest possible </w:t>
            </w:r>
            <w:r w:rsidRPr="008E0469">
              <w:rPr>
                <w:rFonts w:ascii="Calibri" w:hAnsi="Calibri"/>
                <w:spacing w:val="-1"/>
              </w:rPr>
              <w:t>effect and an awareness of dangers in the sector, further supervision is being targeted directly at the approximately 280 railway undertakings with a safety certification. The carrying out and intensification of simulator training sessions for traction veh</w:t>
            </w:r>
            <w:r w:rsidRPr="008E0469">
              <w:rPr>
                <w:rFonts w:ascii="Calibri" w:hAnsi="Calibri"/>
                <w:spacing w:val="-1"/>
              </w:rPr>
              <w:t>icle drivers is covered by the regular audits of the undertakings. A further subject of the audits is also the undertakings’ internal monitoring of the staff on the basis of targeted evaluations of the PZB travel data storage devices. In this regard, proce</w:t>
            </w:r>
            <w:r w:rsidRPr="008E0469">
              <w:rPr>
                <w:rFonts w:ascii="Calibri" w:hAnsi="Calibri"/>
                <w:spacing w:val="-1"/>
              </w:rPr>
              <w:t>dural consistency is also considered with regard to travel data in hired locomotives that can be used for this purpose which should still be available to the undertaking after the deployment of the vehicle.</w:t>
            </w:r>
          </w:p>
        </w:tc>
        <w:tc>
          <w:tcPr>
            <w:tcW w:w="2352"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line="240" w:lineRule="exact"/>
              <w:ind w:left="102" w:right="74"/>
              <w:jc w:val="both"/>
              <w:rPr>
                <w:rFonts w:ascii="Calibri" w:eastAsia="Calibri" w:hAnsi="Calibri" w:cs="Calibri"/>
              </w:rPr>
            </w:pPr>
            <w:r w:rsidRPr="008E0469">
              <w:rPr>
                <w:rFonts w:ascii="Calibri" w:hAnsi="Calibri"/>
                <w:position w:val="1"/>
              </w:rPr>
              <w:t>The regular audits are currently still ongoing. T</w:t>
            </w:r>
            <w:r w:rsidRPr="008E0469">
              <w:rPr>
                <w:rFonts w:ascii="Calibri" w:hAnsi="Calibri"/>
                <w:position w:val="1"/>
              </w:rPr>
              <w:t>he technical processing of the recommendation has been concluded.</w:t>
            </w:r>
          </w:p>
        </w:tc>
      </w:tr>
      <w:tr w:rsidR="00F3700C" w:rsidTr="009F6E65">
        <w:trPr>
          <w:trHeight w:hRule="exact" w:val="7523"/>
        </w:trPr>
        <w:tc>
          <w:tcPr>
            <w:tcW w:w="3276"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pStyle w:val="ListParagraph"/>
              <w:numPr>
                <w:ilvl w:val="0"/>
                <w:numId w:val="8"/>
              </w:numPr>
              <w:spacing w:line="240" w:lineRule="exact"/>
              <w:rPr>
                <w:rFonts w:ascii="Calibri" w:eastAsia="Calibri" w:hAnsi="Calibri" w:cs="Calibri"/>
                <w:position w:val="1"/>
              </w:rPr>
            </w:pPr>
            <w:r w:rsidRPr="008E0469">
              <w:rPr>
                <w:rFonts w:ascii="Calibri" w:hAnsi="Calibri"/>
              </w:rPr>
              <w:t xml:space="preserve">Check the retrofitting of the train control devices in the vehicles with the safety objective of ‘establishing an initiation of contact after PZB emergency braking operations before </w:t>
            </w:r>
            <w:r w:rsidRPr="008E0469">
              <w:rPr>
                <w:rFonts w:ascii="Calibri" w:hAnsi="Calibri"/>
              </w:rPr>
              <w:t>starting up again’, and develop it further depending on the outcome.</w:t>
            </w:r>
          </w:p>
        </w:tc>
        <w:tc>
          <w:tcPr>
            <w:tcW w:w="3636"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4" w:line="235" w:lineRule="auto"/>
              <w:ind w:left="68" w:right="68"/>
              <w:jc w:val="both"/>
              <w:rPr>
                <w:rFonts w:ascii="Calibri" w:hAnsi="Calibri"/>
              </w:rPr>
            </w:pPr>
            <w:r w:rsidRPr="008E0469">
              <w:rPr>
                <w:rFonts w:ascii="Calibri" w:hAnsi="Calibri"/>
              </w:rPr>
              <w:t>To implement this safety recommendation, in the context of a request for information, selected railway undertakings and the VDV (Association of German Transport Undertakings) were asked t</w:t>
            </w:r>
            <w:r w:rsidRPr="008E0469">
              <w:rPr>
                <w:rFonts w:ascii="Calibri" w:hAnsi="Calibri"/>
              </w:rPr>
              <w:t>o state their views, including all undertakings involved in the accident as well as large railway undertakings and infrastructure managers.</w:t>
            </w:r>
          </w:p>
          <w:p w:rsidR="009F6E65" w:rsidRPr="008E0469" w:rsidRDefault="00D05136" w:rsidP="009F6E65">
            <w:pPr>
              <w:spacing w:before="20" w:line="220" w:lineRule="exact"/>
              <w:rPr>
                <w:rFonts w:ascii="Calibri" w:hAnsi="Calibri"/>
              </w:rPr>
            </w:pPr>
          </w:p>
          <w:p w:rsidR="009F6E65" w:rsidRPr="008E0469" w:rsidRDefault="00D05136" w:rsidP="009F6E65">
            <w:pPr>
              <w:spacing w:before="4" w:line="235" w:lineRule="auto"/>
              <w:ind w:left="102" w:right="67"/>
              <w:jc w:val="both"/>
              <w:rPr>
                <w:rFonts w:ascii="Calibri" w:hAnsi="Calibri"/>
              </w:rPr>
            </w:pPr>
            <w:r w:rsidRPr="008E0469">
              <w:rPr>
                <w:rFonts w:ascii="Calibri" w:hAnsi="Calibri"/>
              </w:rPr>
              <w:t>After classifying the responses, the EBA evaluated the results of this request for information. The result of the e</w:t>
            </w:r>
            <w:r w:rsidRPr="008E0469">
              <w:rPr>
                <w:rFonts w:ascii="Calibri" w:hAnsi="Calibri"/>
              </w:rPr>
              <w:t>xamination of the safety recommendation is that, against the background of the introduction of ETCS, retrofitting of the PZB for behaviour subsequent to an emergency braking operation is not sensible.</w:t>
            </w:r>
          </w:p>
        </w:tc>
        <w:tc>
          <w:tcPr>
            <w:tcW w:w="2352"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line="240" w:lineRule="exact"/>
              <w:ind w:left="102" w:right="74"/>
              <w:jc w:val="both"/>
              <w:rPr>
                <w:rFonts w:ascii="Calibri" w:eastAsia="Calibri" w:hAnsi="Calibri" w:cs="Calibri"/>
                <w:position w:val="1"/>
              </w:rPr>
            </w:pPr>
            <w:r w:rsidRPr="008E0469">
              <w:rPr>
                <w:rFonts w:ascii="Calibri" w:hAnsi="Calibri"/>
              </w:rPr>
              <w:t>The procedure has been closed.</w:t>
            </w:r>
          </w:p>
        </w:tc>
      </w:tr>
    </w:tbl>
    <w:p w:rsidR="009F6E65" w:rsidRPr="008E0469" w:rsidRDefault="00D05136">
      <w:pPr>
        <w:sectPr w:rsidR="009F6E65" w:rsidRPr="008E0469">
          <w:footerReference w:type="default" r:id="rId14"/>
          <w:pgSz w:w="11920" w:h="16840"/>
          <w:pgMar w:top="600" w:right="1200" w:bottom="280" w:left="1220" w:header="0" w:footer="735" w:gutter="0"/>
          <w:pgNumType w:start="10"/>
          <w:cols w:space="720"/>
        </w:sectPr>
      </w:pPr>
    </w:p>
    <w:p w:rsidR="009F6E65" w:rsidRPr="008E0469" w:rsidRDefault="00D05136">
      <w:pPr>
        <w:spacing w:before="1" w:line="120" w:lineRule="exact"/>
        <w:rPr>
          <w:sz w:val="13"/>
          <w:szCs w:val="13"/>
        </w:rPr>
      </w:pPr>
    </w:p>
    <w:p w:rsidR="009F6E65" w:rsidRPr="008E0469" w:rsidRDefault="00D05136" w:rsidP="009F6E65">
      <w:pPr>
        <w:spacing w:before="400"/>
        <w:ind w:left="220" w:right="348"/>
        <w:rPr>
          <w:rFonts w:eastAsia="Arial" w:cs="Arial"/>
          <w:szCs w:val="24"/>
        </w:rPr>
      </w:pPr>
      <w:r w:rsidRPr="008E0469">
        <w:rPr>
          <w:i/>
        </w:rPr>
        <w:t>Table 2: Safety recommendations from previous years where no changes have occurred in the reporting year</w:t>
      </w:r>
    </w:p>
    <w:tbl>
      <w:tblPr>
        <w:tblW w:w="0" w:type="auto"/>
        <w:tblInd w:w="136" w:type="dxa"/>
        <w:tblLayout w:type="fixed"/>
        <w:tblCellMar>
          <w:top w:w="85" w:type="dxa"/>
          <w:left w:w="85" w:type="dxa"/>
          <w:bottom w:w="85" w:type="dxa"/>
          <w:right w:w="85" w:type="dxa"/>
        </w:tblCellMar>
        <w:tblLook w:val="01E0" w:firstRow="1" w:lastRow="1" w:firstColumn="1" w:lastColumn="1" w:noHBand="0" w:noVBand="0"/>
      </w:tblPr>
      <w:tblGrid>
        <w:gridCol w:w="190"/>
        <w:gridCol w:w="3416"/>
        <w:gridCol w:w="3398"/>
        <w:gridCol w:w="2352"/>
      </w:tblGrid>
      <w:tr w:rsidR="00F3700C" w:rsidTr="009F6E65">
        <w:trPr>
          <w:trHeight w:val="20"/>
        </w:trPr>
        <w:tc>
          <w:tcPr>
            <w:tcW w:w="3484"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240" w:after="240"/>
              <w:ind w:left="601"/>
              <w:rPr>
                <w:rFonts w:ascii="Calibri" w:eastAsia="Calibri" w:hAnsi="Calibri" w:cs="Calibri"/>
                <w:szCs w:val="24"/>
              </w:rPr>
            </w:pPr>
            <w:r w:rsidRPr="008E0469">
              <w:rPr>
                <w:rFonts w:ascii="Calibri" w:hAnsi="Calibri"/>
                <w:b/>
                <w:spacing w:val="-1"/>
              </w:rPr>
              <w:t>Safety recommendation</w:t>
            </w:r>
          </w:p>
        </w:tc>
        <w:tc>
          <w:tcPr>
            <w:tcW w:w="3398"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240" w:after="240"/>
              <w:ind w:left="575"/>
              <w:rPr>
                <w:rFonts w:ascii="Calibri" w:eastAsia="Calibri" w:hAnsi="Calibri" w:cs="Calibri"/>
                <w:szCs w:val="24"/>
              </w:rPr>
            </w:pPr>
            <w:r w:rsidRPr="008E0469">
              <w:rPr>
                <w:rFonts w:ascii="Calibri" w:hAnsi="Calibri"/>
                <w:b/>
                <w:spacing w:val="-1"/>
              </w:rPr>
              <w:t>Safety measure</w:t>
            </w:r>
          </w:p>
        </w:tc>
        <w:tc>
          <w:tcPr>
            <w:tcW w:w="2352"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240" w:after="240"/>
              <w:ind w:left="285"/>
              <w:jc w:val="center"/>
              <w:rPr>
                <w:rFonts w:ascii="Calibri" w:eastAsia="Calibri" w:hAnsi="Calibri" w:cs="Calibri"/>
                <w:szCs w:val="24"/>
              </w:rPr>
            </w:pPr>
            <w:r w:rsidRPr="008E0469">
              <w:rPr>
                <w:rFonts w:ascii="Calibri" w:hAnsi="Calibri"/>
                <w:b/>
                <w:spacing w:val="-1"/>
              </w:rPr>
              <w:t>Implementation status</w:t>
            </w:r>
          </w:p>
        </w:tc>
      </w:tr>
      <w:tr w:rsidR="00F3700C" w:rsidTr="009F6E65">
        <w:trPr>
          <w:trHeight w:val="20"/>
        </w:trPr>
        <w:tc>
          <w:tcPr>
            <w:tcW w:w="9234" w:type="dxa"/>
            <w:gridSpan w:val="4"/>
            <w:tcBorders>
              <w:top w:val="nil"/>
              <w:left w:val="single" w:sz="5" w:space="0" w:color="000000"/>
              <w:bottom w:val="nil"/>
              <w:right w:val="single" w:sz="5" w:space="0" w:color="000000"/>
            </w:tcBorders>
          </w:tcPr>
          <w:p w:rsidR="009F6E65" w:rsidRPr="008E0469" w:rsidRDefault="00D05136">
            <w:pPr>
              <w:spacing w:before="4" w:line="240" w:lineRule="exact"/>
              <w:rPr>
                <w:szCs w:val="24"/>
              </w:rPr>
            </w:pPr>
          </w:p>
          <w:p w:rsidR="009F6E65" w:rsidRPr="008E0469" w:rsidRDefault="00D05136">
            <w:pPr>
              <w:ind w:left="774"/>
              <w:rPr>
                <w:rFonts w:ascii="Calibri" w:eastAsia="Calibri" w:hAnsi="Calibri" w:cs="Calibri"/>
              </w:rPr>
            </w:pPr>
            <w:r w:rsidRPr="008E0469">
              <w:rPr>
                <w:rFonts w:ascii="Calibri" w:hAnsi="Calibri"/>
                <w:b/>
                <w:spacing w:val="-1"/>
              </w:rPr>
              <w:t xml:space="preserve">Event: Accident on level crossing between Düsseldorf-Rath and </w:t>
            </w:r>
            <w:r w:rsidRPr="008E0469">
              <w:rPr>
                <w:rFonts w:ascii="Calibri" w:hAnsi="Calibri"/>
                <w:b/>
                <w:spacing w:val="-1"/>
              </w:rPr>
              <w:t>Düsseldorf-Eller on 19.12.2012</w:t>
            </w:r>
          </w:p>
        </w:tc>
      </w:tr>
      <w:tr w:rsidR="00F3700C" w:rsidTr="009F6E65">
        <w:trPr>
          <w:trHeight w:val="20"/>
        </w:trPr>
        <w:tc>
          <w:tcPr>
            <w:tcW w:w="3484"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line="240" w:lineRule="exact"/>
              <w:ind w:left="102" w:right="74"/>
              <w:jc w:val="both"/>
              <w:rPr>
                <w:rFonts w:ascii="Calibri" w:eastAsia="Calibri" w:hAnsi="Calibri" w:cs="Calibri"/>
              </w:rPr>
            </w:pPr>
            <w:r w:rsidRPr="008E0469">
              <w:rPr>
                <w:rFonts w:ascii="Calibri" w:hAnsi="Calibri"/>
                <w:position w:val="1"/>
              </w:rPr>
              <w:t>In the context of the planning and licensing of level crossing safety installations, the result of a risk assessment was that the application of the technical level crossing safety devices as per Section 11(6) should be made</w:t>
            </w:r>
            <w:r w:rsidRPr="008E0469">
              <w:rPr>
                <w:rFonts w:ascii="Calibri" w:hAnsi="Calibri"/>
                <w:position w:val="1"/>
              </w:rPr>
              <w:t xml:space="preserve"> more specific and be modified in order to minimise, as far as possible, the extent of damage caused by vehicles at a standstill in the level crossing danger zone.</w:t>
            </w:r>
          </w:p>
        </w:tc>
        <w:tc>
          <w:tcPr>
            <w:tcW w:w="3398"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4" w:line="235" w:lineRule="auto"/>
              <w:ind w:left="102" w:right="63"/>
              <w:jc w:val="both"/>
              <w:rPr>
                <w:rFonts w:ascii="Calibri" w:eastAsia="Calibri" w:hAnsi="Calibri" w:cs="Calibri"/>
              </w:rPr>
            </w:pPr>
            <w:r w:rsidRPr="008E0469">
              <w:rPr>
                <w:rFonts w:ascii="Calibri" w:hAnsi="Calibri"/>
              </w:rPr>
              <w:t>In a pilot project, the infrastructure manager has equipped a number of level crossings that</w:t>
            </w:r>
            <w:r w:rsidRPr="008E0469">
              <w:rPr>
                <w:rFonts w:ascii="Calibri" w:hAnsi="Calibri"/>
              </w:rPr>
              <w:t xml:space="preserve"> are operated by attendants and do not have a technical fallback level with 2000 Hz magnets (known as barrier indusis). In the event that a level-crossing attendant forgets to close the barriers (at the right time) or opens them at the wrong time, these ‘b</w:t>
            </w:r>
            <w:r w:rsidRPr="008E0469">
              <w:rPr>
                <w:rFonts w:ascii="Calibri" w:hAnsi="Calibri"/>
              </w:rPr>
              <w:t>arrier indusis’ bring about emergency braking of the approaching train. This solution has not met with approval everywhere because in the pilot project, at the beginning, unnecessary emergency braking operations also occurred.</w:t>
            </w:r>
          </w:p>
          <w:p w:rsidR="009F6E65" w:rsidRPr="008E0469" w:rsidRDefault="00D05136">
            <w:pPr>
              <w:spacing w:before="15" w:line="220" w:lineRule="exact"/>
              <w:rPr>
                <w:sz w:val="22"/>
                <w:szCs w:val="22"/>
              </w:rPr>
            </w:pPr>
          </w:p>
          <w:p w:rsidR="009F6E65" w:rsidRPr="008E0469" w:rsidRDefault="00D05136" w:rsidP="009F6E65">
            <w:pPr>
              <w:spacing w:line="240" w:lineRule="exact"/>
              <w:ind w:left="102" w:right="65"/>
              <w:jc w:val="both"/>
              <w:rPr>
                <w:rFonts w:ascii="Calibri" w:eastAsia="Calibri" w:hAnsi="Calibri" w:cs="Calibri"/>
              </w:rPr>
            </w:pPr>
            <w:r w:rsidRPr="008E0469">
              <w:rPr>
                <w:rFonts w:ascii="Calibri" w:hAnsi="Calibri"/>
              </w:rPr>
              <w:t>The question of whether such</w:t>
            </w:r>
            <w:r w:rsidRPr="008E0469">
              <w:rPr>
                <w:rFonts w:ascii="Calibri" w:hAnsi="Calibri"/>
              </w:rPr>
              <w:t xml:space="preserve"> a technology could also be used in conjunction with vehicles that have been left (and are to be detected - by whatever means) in the danger area of a level crossing will have to be discussed and assessed after the completion of the aforementioned pilot pr</w:t>
            </w:r>
            <w:r w:rsidRPr="008E0469">
              <w:rPr>
                <w:rFonts w:ascii="Calibri" w:hAnsi="Calibri"/>
              </w:rPr>
              <w:t>oject. In addition, the possibilities of detecting vehicles or persons in the danger area by radar or an infra-red interface are currently being investigated.</w:t>
            </w:r>
          </w:p>
        </w:tc>
        <w:tc>
          <w:tcPr>
            <w:tcW w:w="2352"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line="240" w:lineRule="exact"/>
              <w:ind w:left="102"/>
              <w:rPr>
                <w:rFonts w:ascii="Calibri" w:eastAsia="Calibri" w:hAnsi="Calibri" w:cs="Calibri"/>
              </w:rPr>
            </w:pPr>
            <w:r w:rsidRPr="008E0469">
              <w:rPr>
                <w:rFonts w:ascii="Calibri" w:hAnsi="Calibri"/>
                <w:position w:val="1"/>
              </w:rPr>
              <w:t>The procedure has not yet been concluded.</w:t>
            </w:r>
          </w:p>
        </w:tc>
      </w:tr>
      <w:tr w:rsidR="00F3700C" w:rsidTr="009F6E65">
        <w:trPr>
          <w:trHeight w:val="20"/>
        </w:trPr>
        <w:tc>
          <w:tcPr>
            <w:tcW w:w="68" w:type="dxa"/>
            <w:tcBorders>
              <w:top w:val="single" w:sz="5" w:space="0" w:color="000000"/>
              <w:left w:val="single" w:sz="5" w:space="0" w:color="000000"/>
              <w:bottom w:val="nil"/>
              <w:right w:val="single" w:sz="0" w:space="0" w:color="FEFFFF"/>
            </w:tcBorders>
          </w:tcPr>
          <w:p w:rsidR="009F6E65" w:rsidRPr="008E0469" w:rsidRDefault="00D05136"/>
        </w:tc>
        <w:tc>
          <w:tcPr>
            <w:tcW w:w="3416" w:type="dxa"/>
            <w:tcBorders>
              <w:top w:val="single" w:sz="5" w:space="0" w:color="000000"/>
              <w:left w:val="single" w:sz="0" w:space="0" w:color="FEFFFF"/>
              <w:bottom w:val="single" w:sz="0" w:space="0" w:color="FEFFFF"/>
              <w:right w:val="single" w:sz="5" w:space="0" w:color="000000"/>
            </w:tcBorders>
          </w:tcPr>
          <w:p w:rsidR="009F6E65" w:rsidRPr="008E0469" w:rsidRDefault="00D05136"/>
        </w:tc>
        <w:tc>
          <w:tcPr>
            <w:tcW w:w="3398" w:type="dxa"/>
            <w:tcBorders>
              <w:top w:val="single" w:sz="5" w:space="0" w:color="000000"/>
              <w:left w:val="single" w:sz="5" w:space="0" w:color="000000"/>
              <w:right w:val="single" w:sz="5" w:space="0" w:color="000000"/>
            </w:tcBorders>
          </w:tcPr>
          <w:p w:rsidR="009F6E65" w:rsidRPr="008E0469" w:rsidRDefault="00D05136">
            <w:pPr>
              <w:spacing w:before="1" w:line="240" w:lineRule="exact"/>
              <w:ind w:left="102" w:right="63"/>
              <w:jc w:val="both"/>
              <w:rPr>
                <w:rFonts w:ascii="Calibri" w:eastAsia="Calibri" w:hAnsi="Calibri" w:cs="Calibri"/>
              </w:rPr>
            </w:pPr>
          </w:p>
        </w:tc>
        <w:tc>
          <w:tcPr>
            <w:tcW w:w="2352" w:type="dxa"/>
            <w:tcBorders>
              <w:top w:val="single" w:sz="5" w:space="0" w:color="000000"/>
              <w:left w:val="single" w:sz="5" w:space="0" w:color="000000"/>
              <w:right w:val="single" w:sz="5" w:space="0" w:color="000000"/>
            </w:tcBorders>
          </w:tcPr>
          <w:p w:rsidR="009F6E65" w:rsidRPr="008E0469" w:rsidRDefault="00D05136"/>
        </w:tc>
      </w:tr>
      <w:tr w:rsidR="00F3700C" w:rsidTr="009F6E65">
        <w:trPr>
          <w:trHeight w:val="20"/>
        </w:trPr>
        <w:tc>
          <w:tcPr>
            <w:tcW w:w="9234" w:type="dxa"/>
            <w:gridSpan w:val="4"/>
            <w:tcBorders>
              <w:top w:val="nil"/>
              <w:left w:val="single" w:sz="5" w:space="0" w:color="000000"/>
              <w:bottom w:val="nil"/>
              <w:right w:val="single" w:sz="5" w:space="0" w:color="000000"/>
            </w:tcBorders>
            <w:vAlign w:val="center"/>
          </w:tcPr>
          <w:p w:rsidR="009F6E65" w:rsidRPr="008E0469" w:rsidRDefault="00D05136" w:rsidP="009F6E65">
            <w:pPr>
              <w:spacing w:before="240" w:after="240"/>
              <w:jc w:val="center"/>
              <w:rPr>
                <w:rFonts w:ascii="Calibri" w:eastAsia="Calibri" w:hAnsi="Calibri" w:cs="Calibri"/>
              </w:rPr>
            </w:pPr>
            <w:r w:rsidRPr="008E0469">
              <w:rPr>
                <w:rFonts w:ascii="Calibri" w:hAnsi="Calibri"/>
                <w:b/>
                <w:spacing w:val="-1"/>
              </w:rPr>
              <w:t xml:space="preserve">Event: Train derailments at Stuttgart Central </w:t>
            </w:r>
            <w:r w:rsidRPr="008E0469">
              <w:rPr>
                <w:rFonts w:ascii="Calibri" w:hAnsi="Calibri"/>
                <w:b/>
                <w:spacing w:val="-1"/>
              </w:rPr>
              <w:t>Station on 24.07.2012 and 29.09.2012</w:t>
            </w:r>
          </w:p>
        </w:tc>
      </w:tr>
      <w:tr w:rsidR="00F3700C" w:rsidTr="009F6E65">
        <w:trPr>
          <w:trHeight w:val="20"/>
        </w:trPr>
        <w:tc>
          <w:tcPr>
            <w:tcW w:w="3484"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pStyle w:val="ListParagraph"/>
              <w:numPr>
                <w:ilvl w:val="0"/>
                <w:numId w:val="9"/>
              </w:numPr>
              <w:spacing w:line="240" w:lineRule="exact"/>
              <w:ind w:right="71"/>
              <w:jc w:val="both"/>
              <w:rPr>
                <w:rFonts w:ascii="Calibri" w:eastAsia="Calibri" w:hAnsi="Calibri" w:cs="Calibri"/>
              </w:rPr>
            </w:pPr>
            <w:r w:rsidRPr="008E0469">
              <w:rPr>
                <w:rFonts w:ascii="Calibri" w:hAnsi="Calibri"/>
                <w:spacing w:val="-1"/>
                <w:position w:val="1"/>
              </w:rPr>
              <w:t>Revise Ril 800.0110 and 800.0120 and make them more specific, in order to regulate layouts outside of basic values and target values more closely.</w:t>
            </w:r>
          </w:p>
        </w:tc>
        <w:tc>
          <w:tcPr>
            <w:tcW w:w="3398"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 w:line="235" w:lineRule="auto"/>
              <w:ind w:left="102" w:right="67"/>
              <w:jc w:val="both"/>
              <w:rPr>
                <w:rFonts w:ascii="Calibri" w:eastAsia="Calibri" w:hAnsi="Calibri" w:cs="Calibri"/>
              </w:rPr>
            </w:pPr>
            <w:r w:rsidRPr="008E0469">
              <w:rPr>
                <w:rFonts w:ascii="Calibri" w:hAnsi="Calibri"/>
              </w:rPr>
              <w:t>On 01.12.2015, the Guideline Ril 800.0110 ‘Line layout’ was republished</w:t>
            </w:r>
            <w:r w:rsidRPr="008E0469">
              <w:rPr>
                <w:rFonts w:ascii="Calibri" w:hAnsi="Calibri"/>
              </w:rPr>
              <w:t xml:space="preserve"> following an editorial and substantive revision.</w:t>
            </w:r>
          </w:p>
          <w:p w:rsidR="009F6E65" w:rsidRPr="008E0469" w:rsidRDefault="00D05136">
            <w:pPr>
              <w:spacing w:before="1" w:line="240" w:lineRule="exact"/>
              <w:rPr>
                <w:szCs w:val="24"/>
              </w:rPr>
            </w:pPr>
          </w:p>
          <w:p w:rsidR="009F6E65" w:rsidRPr="008E0469" w:rsidRDefault="00D05136" w:rsidP="009F6E65">
            <w:pPr>
              <w:spacing w:line="235" w:lineRule="auto"/>
              <w:ind w:left="102" w:right="61"/>
              <w:jc w:val="both"/>
              <w:rPr>
                <w:rFonts w:ascii="Calibri" w:eastAsia="Calibri" w:hAnsi="Calibri" w:cs="Calibri"/>
              </w:rPr>
            </w:pPr>
            <w:r w:rsidRPr="008E0469">
              <w:rPr>
                <w:rFonts w:ascii="Calibri" w:hAnsi="Calibri"/>
              </w:rPr>
              <w:t>In detail: In section 9(4) ‘Avoidance of overriding of buffers’, this content was emphasised and reformulated. For the layout, comparison radii for the new speed ranges 25 km/h and 30 km/h were introduced,</w:t>
            </w:r>
            <w:r w:rsidRPr="008E0469">
              <w:rPr>
                <w:rFonts w:ascii="Calibri" w:hAnsi="Calibri"/>
              </w:rPr>
              <w:t xml:space="preserve"> with a distinction being made between circular curves, basket curves and s-curves The comparison radius is a geometric variable for the curvature difference in the case of a sudden discontinuity of curvature. In s-curves, in the case of a comparison radiu</w:t>
            </w:r>
            <w:r w:rsidRPr="008E0469">
              <w:rPr>
                <w:rFonts w:ascii="Calibri" w:hAnsi="Calibri"/>
              </w:rPr>
              <w:t>s r </w:t>
            </w:r>
            <w:r w:rsidRPr="008E0469">
              <w:rPr>
                <w:rFonts w:ascii="Calibri" w:hAnsi="Calibri"/>
                <w:position w:val="-3"/>
                <w:sz w:val="13"/>
              </w:rPr>
              <w:t>w </w:t>
            </w:r>
            <w:r w:rsidRPr="008E0469">
              <w:rPr>
                <w:rFonts w:ascii="Calibri" w:hAnsi="Calibri"/>
              </w:rPr>
              <w:t>&lt; 90 m, a straight section length of greater than 8 m and, for r </w:t>
            </w:r>
            <w:r w:rsidRPr="008E0469">
              <w:rPr>
                <w:rFonts w:ascii="Calibri" w:hAnsi="Calibri"/>
                <w:position w:val="-3"/>
                <w:sz w:val="13"/>
              </w:rPr>
              <w:t>w </w:t>
            </w:r>
            <w:r w:rsidRPr="008E0469">
              <w:rPr>
                <w:rFonts w:ascii="Calibri" w:hAnsi="Calibri"/>
              </w:rPr>
              <w:t>&lt;110 m, a length of greater than 6 m has to be complied with. The minimum length pursuant to TSI for newly planned stretches is likewise incorporated in the guideline.</w:t>
            </w:r>
          </w:p>
        </w:tc>
        <w:tc>
          <w:tcPr>
            <w:tcW w:w="2352"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line="240" w:lineRule="exact"/>
              <w:ind w:left="102"/>
              <w:rPr>
                <w:rFonts w:ascii="Calibri" w:eastAsia="Calibri" w:hAnsi="Calibri" w:cs="Calibri"/>
              </w:rPr>
            </w:pPr>
            <w:r w:rsidRPr="008E0469">
              <w:rPr>
                <w:rFonts w:ascii="Calibri" w:hAnsi="Calibri"/>
                <w:position w:val="1"/>
              </w:rPr>
              <w:t>The procedure h</w:t>
            </w:r>
            <w:r w:rsidRPr="008E0469">
              <w:rPr>
                <w:rFonts w:ascii="Calibri" w:hAnsi="Calibri"/>
                <w:position w:val="1"/>
              </w:rPr>
              <w:t>as thus been completed as far as this point is concerned.</w:t>
            </w:r>
          </w:p>
        </w:tc>
      </w:tr>
      <w:tr w:rsidR="00F3700C" w:rsidTr="009F6E65">
        <w:trPr>
          <w:trHeight w:val="20"/>
        </w:trPr>
        <w:tc>
          <w:tcPr>
            <w:tcW w:w="9234" w:type="dxa"/>
            <w:gridSpan w:val="4"/>
            <w:tcBorders>
              <w:top w:val="nil"/>
              <w:left w:val="single" w:sz="5" w:space="0" w:color="000000"/>
              <w:bottom w:val="nil"/>
              <w:right w:val="single" w:sz="5" w:space="0" w:color="000000"/>
            </w:tcBorders>
            <w:vAlign w:val="center"/>
          </w:tcPr>
          <w:p w:rsidR="009F6E65" w:rsidRPr="008E0469" w:rsidRDefault="00D05136" w:rsidP="009F6E65">
            <w:pPr>
              <w:spacing w:before="240" w:after="240"/>
              <w:jc w:val="center"/>
              <w:rPr>
                <w:rFonts w:ascii="Calibri" w:eastAsia="Calibri" w:hAnsi="Calibri" w:cs="Calibri"/>
              </w:rPr>
            </w:pPr>
            <w:r w:rsidRPr="008E0469">
              <w:rPr>
                <w:rFonts w:ascii="Calibri" w:hAnsi="Calibri"/>
                <w:b/>
                <w:spacing w:val="-1"/>
              </w:rPr>
              <w:t>Event: Train derailment between Gröbers and Großkugel on 11.02.2011</w:t>
            </w:r>
          </w:p>
        </w:tc>
      </w:tr>
      <w:tr w:rsidR="00F3700C" w:rsidTr="009F6E65">
        <w:trPr>
          <w:trHeight w:val="20"/>
        </w:trPr>
        <w:tc>
          <w:tcPr>
            <w:tcW w:w="3484"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line="240" w:lineRule="exact"/>
              <w:ind w:left="102" w:right="71"/>
              <w:jc w:val="both"/>
              <w:rPr>
                <w:rFonts w:ascii="Calibri" w:eastAsia="Calibri" w:hAnsi="Calibri" w:cs="Calibri"/>
              </w:rPr>
            </w:pPr>
            <w:r w:rsidRPr="008E0469">
              <w:rPr>
                <w:rFonts w:ascii="Calibri" w:hAnsi="Calibri"/>
                <w:position w:val="1"/>
              </w:rPr>
              <w:t>The guideline 821.2001 does not specify any value for the standard deviation of the complete signal of the longitudinal height, the cross level and the versine calculated over 250 m with an increment of 25 m, which, when reached, indicates that maintenance</w:t>
            </w:r>
            <w:r w:rsidRPr="008E0469">
              <w:rPr>
                <w:rFonts w:ascii="Calibri" w:hAnsi="Calibri"/>
                <w:position w:val="1"/>
              </w:rPr>
              <w:t xml:space="preserve"> work needs to be done. A revision should, therefore, take place so that for the standard deviation, SR </w:t>
            </w:r>
            <w:r w:rsidRPr="008E0469">
              <w:rPr>
                <w:rFonts w:ascii="Calibri" w:hAnsi="Calibri"/>
                <w:spacing w:val="-1"/>
                <w:w w:val="99"/>
                <w:position w:val="-3"/>
                <w:sz w:val="13"/>
              </w:rPr>
              <w:t xml:space="preserve">100 </w:t>
            </w:r>
            <w:r w:rsidRPr="008E0469">
              <w:rPr>
                <w:rFonts w:ascii="Calibri" w:hAnsi="Calibri"/>
                <w:position w:val="1"/>
              </w:rPr>
              <w:t xml:space="preserve">, SR </w:t>
            </w:r>
            <w:r w:rsidRPr="008E0469">
              <w:rPr>
                <w:rFonts w:ascii="Calibri" w:hAnsi="Calibri"/>
                <w:spacing w:val="-1"/>
                <w:position w:val="-3"/>
                <w:sz w:val="13"/>
              </w:rPr>
              <w:t xml:space="preserve">lim </w:t>
            </w:r>
            <w:r w:rsidRPr="008E0469">
              <w:rPr>
                <w:rFonts w:ascii="Calibri" w:hAnsi="Calibri"/>
                <w:position w:val="1"/>
              </w:rPr>
              <w:t xml:space="preserve">or limit values are likewise specified. [SR </w:t>
            </w:r>
            <w:r w:rsidRPr="008E0469">
              <w:rPr>
                <w:rFonts w:ascii="Calibri" w:hAnsi="Calibri"/>
                <w:spacing w:val="2"/>
                <w:position w:val="-3"/>
                <w:sz w:val="13"/>
              </w:rPr>
              <w:t xml:space="preserve">A, </w:t>
            </w:r>
            <w:r w:rsidRPr="008E0469">
              <w:rPr>
                <w:rFonts w:ascii="Calibri" w:hAnsi="Calibri"/>
                <w:position w:val="1"/>
              </w:rPr>
              <w:t xml:space="preserve">SR </w:t>
            </w:r>
            <w:r w:rsidRPr="008E0469">
              <w:rPr>
                <w:rFonts w:ascii="Calibri" w:hAnsi="Calibri"/>
                <w:spacing w:val="-1"/>
                <w:position w:val="-3"/>
                <w:sz w:val="13"/>
              </w:rPr>
              <w:t xml:space="preserve">100 </w:t>
            </w:r>
            <w:r w:rsidRPr="008E0469">
              <w:rPr>
                <w:rFonts w:ascii="Calibri" w:hAnsi="Calibri"/>
                <w:position w:val="1"/>
              </w:rPr>
              <w:t xml:space="preserve">and SR </w:t>
            </w:r>
            <w:r w:rsidRPr="008E0469">
              <w:rPr>
                <w:rFonts w:ascii="Calibri" w:hAnsi="Calibri"/>
                <w:spacing w:val="-1"/>
                <w:position w:val="-3"/>
                <w:sz w:val="13"/>
              </w:rPr>
              <w:t xml:space="preserve">lim </w:t>
            </w:r>
            <w:r w:rsidRPr="008E0469">
              <w:rPr>
                <w:rFonts w:ascii="Calibri" w:hAnsi="Calibri"/>
                <w:position w:val="1"/>
              </w:rPr>
              <w:t>are limit values for the determination of a track location error, which, w</w:t>
            </w:r>
            <w:r w:rsidRPr="008E0469">
              <w:rPr>
                <w:rFonts w:ascii="Calibri" w:hAnsi="Calibri"/>
                <w:position w:val="1"/>
              </w:rPr>
              <w:t>hen exceeded, necessitate particular measures.]</w:t>
            </w:r>
          </w:p>
        </w:tc>
        <w:tc>
          <w:tcPr>
            <w:tcW w:w="3398"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72"/>
              <w:jc w:val="both"/>
              <w:rPr>
                <w:rFonts w:ascii="Calibri" w:eastAsia="Calibri" w:hAnsi="Calibri" w:cs="Calibri"/>
              </w:rPr>
            </w:pPr>
            <w:r w:rsidRPr="008E0469">
              <w:rPr>
                <w:rFonts w:ascii="Calibri" w:hAnsi="Calibri"/>
              </w:rPr>
              <w:t>According to Ril 821.2001, 5 (10), the standard deviation merely serves as an additional aid to decision-making for the assessment of the quality of the track location. It concerns a statement about the avera</w:t>
            </w:r>
            <w:r w:rsidRPr="008E0469">
              <w:rPr>
                <w:rFonts w:ascii="Calibri" w:hAnsi="Calibri"/>
              </w:rPr>
              <w:t>ge track location quality and is used for the purposes of the planning of maintenance works in larger sections.</w:t>
            </w:r>
            <w:r w:rsidRPr="008E0469">
              <w:rPr>
                <w:rFonts w:ascii="Calibri" w:hAnsi="Calibri"/>
              </w:rPr>
              <w:t xml:space="preserve"> </w:t>
            </w:r>
            <w:r w:rsidRPr="008E0469">
              <w:rPr>
                <w:rFonts w:ascii="Calibri" w:hAnsi="Calibri"/>
              </w:rPr>
              <w:t xml:space="preserve">If the SR </w:t>
            </w:r>
            <w:r w:rsidRPr="008E0469">
              <w:rPr>
                <w:rFonts w:ascii="Calibri" w:hAnsi="Calibri"/>
                <w:w w:val="99"/>
                <w:position w:val="-3"/>
                <w:sz w:val="13"/>
              </w:rPr>
              <w:t xml:space="preserve">A </w:t>
            </w:r>
            <w:r w:rsidRPr="008E0469">
              <w:rPr>
                <w:rFonts w:ascii="Calibri" w:hAnsi="Calibri"/>
              </w:rPr>
              <w:t xml:space="preserve">value is exceeded, this must be examined on the basis of the local circumstances and maintenance measures may have to be initiated. </w:t>
            </w:r>
            <w:r w:rsidRPr="008E0469">
              <w:rPr>
                <w:rFonts w:ascii="Calibri" w:hAnsi="Calibri"/>
              </w:rPr>
              <w:t xml:space="preserve">An introduction of SR </w:t>
            </w:r>
            <w:r w:rsidRPr="008E0469">
              <w:rPr>
                <w:rFonts w:ascii="Calibri" w:hAnsi="Calibri"/>
                <w:spacing w:val="-1"/>
                <w:position w:val="-3"/>
                <w:sz w:val="13"/>
              </w:rPr>
              <w:t xml:space="preserve">100 </w:t>
            </w:r>
            <w:r w:rsidRPr="008E0469">
              <w:rPr>
                <w:rFonts w:ascii="Calibri" w:hAnsi="Calibri"/>
              </w:rPr>
              <w:t xml:space="preserve">or SR </w:t>
            </w:r>
            <w:r w:rsidRPr="008E0469">
              <w:rPr>
                <w:rFonts w:ascii="Calibri" w:hAnsi="Calibri"/>
                <w:spacing w:val="-1"/>
                <w:position w:val="-3"/>
                <w:sz w:val="13"/>
              </w:rPr>
              <w:t xml:space="preserve">lim </w:t>
            </w:r>
            <w:r w:rsidRPr="008E0469">
              <w:rPr>
                <w:rFonts w:ascii="Calibri" w:hAnsi="Calibri"/>
              </w:rPr>
              <w:t>is not considered to be necessary because in Germany the maintenance measures have for a long time depended on individual values and not on average values or the standard deviation. The consideration of the individual va</w:t>
            </w:r>
            <w:r w:rsidRPr="008E0469">
              <w:rPr>
                <w:rFonts w:ascii="Calibri" w:hAnsi="Calibri"/>
              </w:rPr>
              <w:t xml:space="preserve">lues is more important because, even in the event of individual cases where SR </w:t>
            </w:r>
            <w:r w:rsidRPr="008E0469">
              <w:rPr>
                <w:rFonts w:ascii="Calibri" w:hAnsi="Calibri"/>
                <w:spacing w:val="2"/>
                <w:position w:val="-3"/>
                <w:sz w:val="13"/>
              </w:rPr>
              <w:t xml:space="preserve">100 </w:t>
            </w:r>
            <w:r w:rsidRPr="008E0469">
              <w:rPr>
                <w:rFonts w:ascii="Calibri" w:hAnsi="Calibri"/>
              </w:rPr>
              <w:t xml:space="preserve">or SR </w:t>
            </w:r>
            <w:r w:rsidRPr="008E0469">
              <w:rPr>
                <w:rFonts w:ascii="Calibri" w:hAnsi="Calibri"/>
                <w:spacing w:val="-1"/>
                <w:position w:val="-3"/>
                <w:sz w:val="13"/>
              </w:rPr>
              <w:t>lim</w:t>
            </w:r>
            <w:r w:rsidRPr="008E0469">
              <w:rPr>
                <w:rFonts w:ascii="Calibri" w:hAnsi="Calibri"/>
                <w:spacing w:val="-1"/>
                <w:position w:val="-3"/>
                <w:sz w:val="13"/>
              </w:rPr>
              <w:t xml:space="preserve"> </w:t>
            </w:r>
            <w:r w:rsidRPr="008E0469">
              <w:rPr>
                <w:rFonts w:ascii="Calibri" w:hAnsi="Calibri"/>
              </w:rPr>
              <w:t>is exceeded, measures have to be taken. In the calculation of the average value or of the standard deviation, such individual cases where measured values exceed th</w:t>
            </w:r>
            <w:r w:rsidRPr="008E0469">
              <w:rPr>
                <w:rFonts w:ascii="Calibri" w:hAnsi="Calibri"/>
              </w:rPr>
              <w:t>e above limits can no longer be ascertained.</w:t>
            </w:r>
          </w:p>
        </w:tc>
        <w:tc>
          <w:tcPr>
            <w:tcW w:w="2352"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line="240" w:lineRule="exact"/>
              <w:ind w:left="102" w:right="72"/>
              <w:jc w:val="both"/>
              <w:rPr>
                <w:rFonts w:ascii="Calibri" w:eastAsia="Calibri" w:hAnsi="Calibri" w:cs="Calibri"/>
              </w:rPr>
            </w:pPr>
            <w:r w:rsidRPr="008E0469">
              <w:rPr>
                <w:rFonts w:ascii="Calibri" w:hAnsi="Calibri"/>
                <w:position w:val="1"/>
              </w:rPr>
              <w:t>This safety recommendation has not been implemented. The procedure has thus been closed.</w:t>
            </w:r>
          </w:p>
        </w:tc>
      </w:tr>
    </w:tbl>
    <w:p w:rsidR="009F6E65" w:rsidRPr="008E0469" w:rsidRDefault="00D05136">
      <w:pPr>
        <w:spacing w:line="200" w:lineRule="exact"/>
      </w:pPr>
    </w:p>
    <w:p w:rsidR="009F6E65" w:rsidRPr="008E0469" w:rsidRDefault="00D05136" w:rsidP="009F6E65">
      <w:pPr>
        <w:pStyle w:val="Heading2"/>
        <w:rPr>
          <w:rFonts w:eastAsia="Arial"/>
        </w:rPr>
      </w:pPr>
      <w:bookmarkStart w:id="18" w:name="_Toc467669064"/>
      <w:bookmarkStart w:id="19" w:name="_Toc471208501"/>
      <w:r w:rsidRPr="008E0469">
        <w:t>Measures implemented without reference to safety recommendations</w:t>
      </w:r>
      <w:bookmarkEnd w:id="18"/>
      <w:bookmarkEnd w:id="19"/>
    </w:p>
    <w:p w:rsidR="009F6E65" w:rsidRPr="008E0469" w:rsidRDefault="00D05136">
      <w:pPr>
        <w:spacing w:before="16" w:line="260" w:lineRule="exact"/>
        <w:rPr>
          <w:sz w:val="26"/>
          <w:szCs w:val="26"/>
        </w:rPr>
      </w:pPr>
    </w:p>
    <w:p w:rsidR="009F6E65" w:rsidRPr="008E0469" w:rsidRDefault="00D05136" w:rsidP="009F6E65">
      <w:pPr>
        <w:ind w:left="220" w:right="173"/>
        <w:jc w:val="both"/>
        <w:rPr>
          <w:rFonts w:eastAsia="Arial" w:cs="Arial"/>
          <w:sz w:val="22"/>
          <w:szCs w:val="22"/>
        </w:rPr>
      </w:pPr>
      <w:r w:rsidRPr="008E0469">
        <w:t>No safety measures in the form of general orders were issued in 2015. To comply with the statutory railway-related provisions in individual cases, administrative proceedings which related to an organisational or technical/operational improvement in the com</w:t>
      </w:r>
      <w:r w:rsidRPr="008E0469">
        <w:t xml:space="preserve">panies’ safety organisation were also carried out in 2015. The EBA also published technical notices on various cases. These are permanently available for download from the internet: </w:t>
      </w:r>
      <w:hyperlink r:id="rId15" w:history="1">
        <w:r w:rsidRPr="008E0469">
          <w:rPr>
            <w:color w:val="0000FF"/>
            <w:spacing w:val="-1"/>
            <w:sz w:val="22"/>
            <w:u w:val="single" w:color="0000FF"/>
          </w:rPr>
          <w:t>http://www.eba.bund.de/DE/SubNavi/Veroeffentlichungen/FM/Archiv/2015/archiv_fm_2</w:t>
        </w:r>
      </w:hyperlink>
      <w:hyperlink r:id="rId16" w:history="1">
        <w:r w:rsidRPr="008E0469">
          <w:rPr>
            <w:color w:val="0000FF"/>
            <w:spacing w:val="-1"/>
            <w:sz w:val="22"/>
            <w:u w:val="single" w:color="0000FF"/>
          </w:rPr>
          <w:t>015_node.html</w:t>
        </w:r>
      </w:hyperlink>
    </w:p>
    <w:p w:rsidR="009F6E65" w:rsidRPr="008E0469" w:rsidRDefault="00D05136" w:rsidP="009F6E65">
      <w:pPr>
        <w:pageBreakBefore/>
        <w:spacing w:before="29"/>
        <w:ind w:left="220" w:right="174"/>
        <w:rPr>
          <w:rFonts w:eastAsia="Arial" w:cs="Arial"/>
          <w:szCs w:val="24"/>
        </w:rPr>
      </w:pPr>
      <w:r w:rsidRPr="008E0469">
        <w:t>By way of exampl</w:t>
      </w:r>
      <w:r w:rsidRPr="008E0469">
        <w:t>e, the following defects and related remedial measures can be listed:</w:t>
      </w:r>
    </w:p>
    <w:tbl>
      <w:tblPr>
        <w:tblW w:w="0" w:type="auto"/>
        <w:tblInd w:w="100" w:type="dxa"/>
        <w:tblLayout w:type="fixed"/>
        <w:tblCellMar>
          <w:top w:w="85" w:type="dxa"/>
          <w:left w:w="85" w:type="dxa"/>
          <w:bottom w:w="85" w:type="dxa"/>
          <w:right w:w="85" w:type="dxa"/>
        </w:tblCellMar>
        <w:tblLook w:val="01E0" w:firstRow="1" w:lastRow="1" w:firstColumn="1" w:lastColumn="1" w:noHBand="0" w:noVBand="0"/>
      </w:tblPr>
      <w:tblGrid>
        <w:gridCol w:w="19"/>
        <w:gridCol w:w="171"/>
        <w:gridCol w:w="2773"/>
        <w:gridCol w:w="641"/>
        <w:gridCol w:w="2761"/>
        <w:gridCol w:w="3119"/>
      </w:tblGrid>
      <w:tr w:rsidR="00F3700C" w:rsidTr="000E7760">
        <w:trPr>
          <w:gridBefore w:val="1"/>
          <w:wBefore w:w="19" w:type="dxa"/>
          <w:trHeight w:val="20"/>
        </w:trPr>
        <w:tc>
          <w:tcPr>
            <w:tcW w:w="2865"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4"/>
              <w:rPr>
                <w:rFonts w:asciiTheme="minorHAnsi" w:hAnsiTheme="minorHAnsi"/>
                <w:sz w:val="11"/>
                <w:szCs w:val="11"/>
              </w:rPr>
            </w:pPr>
          </w:p>
          <w:p w:rsidR="009F6E65" w:rsidRPr="008E0469" w:rsidRDefault="00D05136" w:rsidP="009F6E65">
            <w:pPr>
              <w:ind w:left="453"/>
              <w:rPr>
                <w:rFonts w:asciiTheme="minorHAnsi" w:eastAsia="Arial" w:hAnsiTheme="minorHAnsi" w:cs="Arial"/>
                <w:sz w:val="22"/>
                <w:szCs w:val="22"/>
              </w:rPr>
            </w:pPr>
            <w:r w:rsidRPr="008E0469">
              <w:rPr>
                <w:rFonts w:asciiTheme="minorHAnsi" w:hAnsiTheme="minorHAnsi"/>
                <w:b/>
                <w:spacing w:val="-1"/>
                <w:sz w:val="22"/>
              </w:rPr>
              <w:t>Area concerned</w:t>
            </w:r>
          </w:p>
        </w:tc>
        <w:tc>
          <w:tcPr>
            <w:tcW w:w="3402"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4"/>
              <w:rPr>
                <w:rFonts w:asciiTheme="minorHAnsi" w:hAnsiTheme="minorHAnsi"/>
                <w:sz w:val="11"/>
                <w:szCs w:val="11"/>
              </w:rPr>
            </w:pPr>
          </w:p>
          <w:p w:rsidR="009F6E65" w:rsidRPr="008E0469" w:rsidRDefault="00D05136" w:rsidP="009F6E65">
            <w:pPr>
              <w:ind w:left="522"/>
              <w:rPr>
                <w:rFonts w:asciiTheme="minorHAnsi" w:eastAsia="Arial" w:hAnsiTheme="minorHAnsi" w:cs="Arial"/>
                <w:sz w:val="22"/>
                <w:szCs w:val="22"/>
              </w:rPr>
            </w:pPr>
            <w:r w:rsidRPr="008E0469">
              <w:rPr>
                <w:rFonts w:asciiTheme="minorHAnsi" w:hAnsiTheme="minorHAnsi"/>
                <w:b/>
                <w:spacing w:val="-6"/>
                <w:sz w:val="22"/>
              </w:rPr>
              <w:t>Trigger moment</w:t>
            </w:r>
          </w:p>
        </w:tc>
        <w:tc>
          <w:tcPr>
            <w:tcW w:w="3119"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4"/>
              <w:rPr>
                <w:rFonts w:asciiTheme="minorHAnsi" w:hAnsiTheme="minorHAnsi"/>
                <w:sz w:val="11"/>
                <w:szCs w:val="11"/>
              </w:rPr>
            </w:pPr>
          </w:p>
          <w:p w:rsidR="009F6E65" w:rsidRPr="008E0469" w:rsidRDefault="00D05136" w:rsidP="009F6E65">
            <w:pPr>
              <w:ind w:left="918"/>
              <w:rPr>
                <w:rFonts w:asciiTheme="minorHAnsi" w:eastAsia="Arial" w:hAnsiTheme="minorHAnsi" w:cs="Arial"/>
                <w:sz w:val="22"/>
                <w:szCs w:val="22"/>
              </w:rPr>
            </w:pPr>
            <w:r w:rsidRPr="008E0469">
              <w:rPr>
                <w:rFonts w:asciiTheme="minorHAnsi" w:hAnsiTheme="minorHAnsi"/>
                <w:b/>
                <w:spacing w:val="1"/>
                <w:sz w:val="22"/>
              </w:rPr>
              <w:t>Action</w:t>
            </w:r>
          </w:p>
        </w:tc>
      </w:tr>
      <w:tr w:rsidR="00F3700C" w:rsidTr="000E7760">
        <w:trPr>
          <w:gridBefore w:val="1"/>
          <w:wBefore w:w="19" w:type="dxa"/>
          <w:trHeight w:val="20"/>
        </w:trPr>
        <w:tc>
          <w:tcPr>
            <w:tcW w:w="2865"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Pr>
                <w:rFonts w:asciiTheme="minorHAnsi" w:eastAsia="Arial" w:hAnsiTheme="minorHAnsi" w:cs="Arial"/>
              </w:rPr>
            </w:pPr>
            <w:r w:rsidRPr="008E0469">
              <w:rPr>
                <w:rFonts w:asciiTheme="minorHAnsi" w:hAnsiTheme="minorHAnsi"/>
              </w:rPr>
              <w:t>Infrastructure: permanent way</w:t>
            </w:r>
          </w:p>
        </w:tc>
        <w:tc>
          <w:tcPr>
            <w:tcW w:w="3402"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after="240"/>
              <w:ind w:left="102" w:right="71"/>
              <w:jc w:val="both"/>
              <w:rPr>
                <w:rFonts w:asciiTheme="minorHAnsi" w:eastAsia="Arial" w:hAnsiTheme="minorHAnsi" w:cs="Arial"/>
              </w:rPr>
            </w:pPr>
            <w:r w:rsidRPr="008E0469">
              <w:rPr>
                <w:rFonts w:asciiTheme="minorHAnsi" w:hAnsiTheme="minorHAnsi"/>
              </w:rPr>
              <w:t xml:space="preserve">In the context of supervisory measures, defects were found in the field of track guidance on DKW 49/54-190-1:9 </w:t>
            </w:r>
            <w:r w:rsidRPr="008E0469">
              <w:rPr>
                <w:rFonts w:asciiTheme="minorHAnsi" w:hAnsiTheme="minorHAnsi"/>
              </w:rPr>
              <w:t>double diamond crossings on old wooden sleepers. The cause was a biological degradation of the wooden sleepers and a loosening of the sleeper bolts, which resulted in fractures of coupling rods.</w:t>
            </w:r>
          </w:p>
        </w:tc>
        <w:tc>
          <w:tcPr>
            <w:tcW w:w="3119"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71"/>
              <w:jc w:val="both"/>
              <w:rPr>
                <w:rFonts w:asciiTheme="minorHAnsi" w:eastAsia="Arial" w:hAnsiTheme="minorHAnsi" w:cs="Arial"/>
              </w:rPr>
            </w:pPr>
            <w:r w:rsidRPr="008E0469">
              <w:rPr>
                <w:rFonts w:asciiTheme="minorHAnsi" w:hAnsiTheme="minorHAnsi"/>
              </w:rPr>
              <w:t xml:space="preserve">The infrastructure manager concerned retrofitted what are </w:t>
            </w:r>
            <w:r w:rsidRPr="008E0469">
              <w:rPr>
                <w:rFonts w:asciiTheme="minorHAnsi" w:hAnsiTheme="minorHAnsi"/>
              </w:rPr>
              <w:t>known as track-holding plates, in consultation with the EBA. This is set out in the Technical Notes TM 4-2015-10462.</w:t>
            </w:r>
          </w:p>
        </w:tc>
      </w:tr>
      <w:tr w:rsidR="00F3700C" w:rsidTr="000E7760">
        <w:trPr>
          <w:gridBefore w:val="1"/>
          <w:wBefore w:w="19" w:type="dxa"/>
          <w:trHeight w:val="20"/>
        </w:trPr>
        <w:tc>
          <w:tcPr>
            <w:tcW w:w="2865"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Pr>
                <w:rFonts w:asciiTheme="minorHAnsi" w:eastAsia="Arial" w:hAnsiTheme="minorHAnsi" w:cs="Arial"/>
              </w:rPr>
            </w:pPr>
            <w:r w:rsidRPr="008E0469">
              <w:rPr>
                <w:rFonts w:asciiTheme="minorHAnsi" w:hAnsiTheme="minorHAnsi"/>
              </w:rPr>
              <w:t>Infrastructure: permanent way</w:t>
            </w:r>
          </w:p>
        </w:tc>
        <w:tc>
          <w:tcPr>
            <w:tcW w:w="3402"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after="240"/>
              <w:ind w:left="102" w:right="75"/>
              <w:jc w:val="both"/>
              <w:rPr>
                <w:rFonts w:asciiTheme="minorHAnsi" w:eastAsia="Arial" w:hAnsiTheme="minorHAnsi" w:cs="Arial"/>
              </w:rPr>
            </w:pPr>
            <w:r w:rsidRPr="008E0469">
              <w:rPr>
                <w:rFonts w:asciiTheme="minorHAnsi" w:hAnsiTheme="minorHAnsi"/>
                <w:spacing w:val="-1"/>
              </w:rPr>
              <w:t>In the case of shock absorbers of the Liakustik design, detachments occurred on the shock absorber plates on</w:t>
            </w:r>
            <w:r w:rsidRPr="008E0469">
              <w:rPr>
                <w:rFonts w:asciiTheme="minorHAnsi" w:hAnsiTheme="minorHAnsi"/>
                <w:spacing w:val="-1"/>
              </w:rPr>
              <w:t xml:space="preserve"> the newly built Cologne-Frankfurt line; as a consequence of this, collision of absorber parts with an ICE train.</w:t>
            </w:r>
          </w:p>
        </w:tc>
        <w:tc>
          <w:tcPr>
            <w:tcW w:w="3119"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68"/>
              <w:jc w:val="both"/>
              <w:rPr>
                <w:rFonts w:asciiTheme="minorHAnsi" w:eastAsia="Arial" w:hAnsiTheme="minorHAnsi" w:cs="Arial"/>
              </w:rPr>
            </w:pPr>
            <w:r w:rsidRPr="008E0469">
              <w:rPr>
                <w:rFonts w:asciiTheme="minorHAnsi" w:hAnsiTheme="minorHAnsi"/>
              </w:rPr>
              <w:t xml:space="preserve">The undertaking concerned introduced special assessment criteria for inspection/maintenance of the Liakustik shock absorbers by way of </w:t>
            </w:r>
            <w:r w:rsidRPr="008E0469">
              <w:rPr>
                <w:rFonts w:asciiTheme="minorHAnsi" w:hAnsiTheme="minorHAnsi"/>
              </w:rPr>
              <w:t>Technical Note TM 1-2015-10835.</w:t>
            </w:r>
          </w:p>
        </w:tc>
      </w:tr>
      <w:tr w:rsidR="00F3700C" w:rsidTr="000E7760">
        <w:trPr>
          <w:gridBefore w:val="1"/>
          <w:wBefore w:w="19" w:type="dxa"/>
          <w:trHeight w:val="20"/>
        </w:trPr>
        <w:tc>
          <w:tcPr>
            <w:tcW w:w="2865"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Pr>
                <w:rFonts w:asciiTheme="minorHAnsi" w:eastAsia="Arial" w:hAnsiTheme="minorHAnsi" w:cs="Arial"/>
              </w:rPr>
            </w:pPr>
            <w:r w:rsidRPr="008E0469">
              <w:rPr>
                <w:rFonts w:asciiTheme="minorHAnsi" w:hAnsiTheme="minorHAnsi"/>
              </w:rPr>
              <w:t>Infrastructure: permanent way</w:t>
            </w:r>
          </w:p>
        </w:tc>
        <w:tc>
          <w:tcPr>
            <w:tcW w:w="3402"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after="240"/>
              <w:ind w:left="102" w:right="74"/>
              <w:jc w:val="both"/>
              <w:rPr>
                <w:rFonts w:asciiTheme="minorHAnsi" w:eastAsia="Arial" w:hAnsiTheme="minorHAnsi" w:cs="Arial"/>
              </w:rPr>
            </w:pPr>
            <w:r w:rsidRPr="008E0469">
              <w:rPr>
                <w:rFonts w:asciiTheme="minorHAnsi" w:hAnsiTheme="minorHAnsi"/>
                <w:spacing w:val="-1"/>
              </w:rPr>
              <w:t>On the high-speed line between Würzburg and Hanover, so-called ‘white spots’ occurred a number of times in the Hanover area on account of pulverised stone in the ballast permanent way. This led</w:t>
            </w:r>
            <w:r w:rsidRPr="008E0469">
              <w:rPr>
                <w:rFonts w:asciiTheme="minorHAnsi" w:hAnsiTheme="minorHAnsi"/>
                <w:spacing w:val="-1"/>
              </w:rPr>
              <w:t xml:space="preserve"> to a reduction in the resistance to lateral displacement of the sleepers as a consequence of worn ballast and hollow areas under the sleepers, and consequently to the occurrence of track deformations given the high rail temperatures in August 2015.</w:t>
            </w:r>
          </w:p>
        </w:tc>
        <w:tc>
          <w:tcPr>
            <w:tcW w:w="3119"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74"/>
              <w:jc w:val="both"/>
              <w:rPr>
                <w:rFonts w:asciiTheme="minorHAnsi" w:eastAsia="Arial" w:hAnsiTheme="minorHAnsi" w:cs="Arial"/>
              </w:rPr>
            </w:pPr>
            <w:r w:rsidRPr="008E0469">
              <w:rPr>
                <w:rFonts w:asciiTheme="minorHAnsi" w:hAnsiTheme="minorHAnsi"/>
              </w:rPr>
              <w:t>Approx</w:t>
            </w:r>
            <w:r w:rsidRPr="008E0469">
              <w:rPr>
                <w:rFonts w:asciiTheme="minorHAnsi" w:hAnsiTheme="minorHAnsi"/>
              </w:rPr>
              <w:t xml:space="preserve">. 20 km in total of the line was closed for the worst affected sections to be repaired. In addition, speed restrictions were established depending on the state of wear of the ballast and the continuously measured temperature of the rails; this is provided </w:t>
            </w:r>
            <w:r w:rsidRPr="008E0469">
              <w:rPr>
                <w:rFonts w:asciiTheme="minorHAnsi" w:hAnsiTheme="minorHAnsi"/>
              </w:rPr>
              <w:t>for in Technical Note TM 3-2016-10262.</w:t>
            </w:r>
          </w:p>
        </w:tc>
      </w:tr>
      <w:tr w:rsidR="00F3700C" w:rsidTr="000E7760">
        <w:trPr>
          <w:trHeight w:val="20"/>
        </w:trPr>
        <w:tc>
          <w:tcPr>
            <w:tcW w:w="2871" w:type="dxa"/>
            <w:gridSpan w:val="3"/>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4"/>
              <w:ind w:left="102" w:right="64"/>
              <w:rPr>
                <w:rFonts w:asciiTheme="minorHAnsi" w:eastAsia="Arial" w:hAnsiTheme="minorHAnsi" w:cs="Arial"/>
              </w:rPr>
            </w:pPr>
            <w:r w:rsidRPr="008E0469">
              <w:rPr>
                <w:rFonts w:asciiTheme="minorHAnsi" w:hAnsiTheme="minorHAnsi"/>
              </w:rPr>
              <w:t>Infrastructure: Control and safety technology: control system</w:t>
            </w:r>
          </w:p>
        </w:tc>
        <w:tc>
          <w:tcPr>
            <w:tcW w:w="3402"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4" w:after="240"/>
              <w:ind w:left="102" w:right="68"/>
              <w:jc w:val="both"/>
              <w:rPr>
                <w:rFonts w:asciiTheme="minorHAnsi" w:eastAsia="Arial" w:hAnsiTheme="minorHAnsi" w:cs="Arial"/>
              </w:rPr>
            </w:pPr>
            <w:r w:rsidRPr="008E0469">
              <w:rPr>
                <w:rFonts w:asciiTheme="minorHAnsi" w:hAnsiTheme="minorHAnsi"/>
                <w:spacing w:val="-1"/>
              </w:rPr>
              <w:t>Tests during the commissioning of control systems revealed a failure of the POC02 (Point Object Controller for the control and monitoring of points) by wh</w:t>
            </w:r>
            <w:r w:rsidRPr="008E0469">
              <w:rPr>
                <w:rFonts w:asciiTheme="minorHAnsi" w:hAnsiTheme="minorHAnsi"/>
                <w:spacing w:val="-1"/>
              </w:rPr>
              <w:t>ich a forced-open point was wrongly signalled as a loss of position of the point.</w:t>
            </w:r>
          </w:p>
        </w:tc>
        <w:tc>
          <w:tcPr>
            <w:tcW w:w="3119"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after="240"/>
              <w:ind w:left="102" w:right="68"/>
              <w:jc w:val="both"/>
              <w:rPr>
                <w:rFonts w:asciiTheme="minorHAnsi" w:eastAsia="Arial" w:hAnsiTheme="minorHAnsi" w:cs="Arial"/>
              </w:rPr>
            </w:pPr>
            <w:r w:rsidRPr="008E0469">
              <w:rPr>
                <w:rFonts w:asciiTheme="minorHAnsi" w:hAnsiTheme="minorHAnsi"/>
              </w:rPr>
              <w:t>The type approvals issued for the two variants POC01 and POC02 on 29.06.2015 contained ancillary provisions according to which the manufacturer presents a retrofitting plan t</w:t>
            </w:r>
            <w:r w:rsidRPr="008E0469">
              <w:rPr>
                <w:rFonts w:asciiTheme="minorHAnsi" w:hAnsiTheme="minorHAnsi"/>
              </w:rPr>
              <w:t>o the EBA within three months. As a consequence, in the meantime all points controllers concerned that are in use have been able to be successfully replaced with new, error-free versions within a year.</w:t>
            </w:r>
          </w:p>
        </w:tc>
      </w:tr>
      <w:tr w:rsidR="00F3700C" w:rsidTr="000E7760">
        <w:trPr>
          <w:trHeight w:val="20"/>
        </w:trPr>
        <w:tc>
          <w:tcPr>
            <w:tcW w:w="2871" w:type="dxa"/>
            <w:gridSpan w:val="3"/>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Pr>
                <w:rFonts w:asciiTheme="minorHAnsi" w:eastAsia="Arial" w:hAnsiTheme="minorHAnsi" w:cs="Arial"/>
              </w:rPr>
            </w:pPr>
            <w:r w:rsidRPr="008E0469">
              <w:rPr>
                <w:rFonts w:asciiTheme="minorHAnsi" w:hAnsiTheme="minorHAnsi"/>
              </w:rPr>
              <w:t xml:space="preserve">Infrastructure: Control and safety technology: </w:t>
            </w:r>
            <w:r w:rsidRPr="008E0469">
              <w:rPr>
                <w:rFonts w:asciiTheme="minorHAnsi" w:hAnsiTheme="minorHAnsi"/>
              </w:rPr>
              <w:t>control system</w:t>
            </w:r>
          </w:p>
        </w:tc>
        <w:tc>
          <w:tcPr>
            <w:tcW w:w="3402"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after="240"/>
              <w:ind w:left="102" w:right="76"/>
              <w:jc w:val="both"/>
              <w:rPr>
                <w:rFonts w:asciiTheme="minorHAnsi" w:eastAsia="Arial" w:hAnsiTheme="minorHAnsi" w:cs="Arial"/>
              </w:rPr>
            </w:pPr>
            <w:r w:rsidRPr="008E0469">
              <w:rPr>
                <w:rFonts w:asciiTheme="minorHAnsi" w:hAnsiTheme="minorHAnsi"/>
                <w:spacing w:val="-1"/>
              </w:rPr>
              <w:t>Laboratory tests for a new software version revealed an error in the system software with an effect on the layout of a level crossing at the safety distance. The level crossing safety mechanism was not switched on again, but the entry signal</w:t>
            </w:r>
            <w:r w:rsidRPr="008E0469">
              <w:rPr>
                <w:rFonts w:asciiTheme="minorHAnsi" w:hAnsiTheme="minorHAnsi"/>
                <w:spacing w:val="-1"/>
              </w:rPr>
              <w:t xml:space="preserve"> nevertheless came into the drive position as the level crossing was only situated in the overlap of the safety distance. This was able to lead to danger if a following train slips through on the exit signal and travels into the opened level crossing.</w:t>
            </w:r>
          </w:p>
        </w:tc>
        <w:tc>
          <w:tcPr>
            <w:tcW w:w="3119"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after="240"/>
              <w:ind w:left="102" w:right="74"/>
              <w:jc w:val="both"/>
              <w:rPr>
                <w:rFonts w:asciiTheme="minorHAnsi" w:eastAsia="Arial" w:hAnsiTheme="minorHAnsi" w:cs="Arial"/>
              </w:rPr>
            </w:pPr>
            <w:r w:rsidRPr="008E0469">
              <w:rPr>
                <w:rFonts w:asciiTheme="minorHAnsi" w:hAnsiTheme="minorHAnsi"/>
                <w:spacing w:val="-1"/>
              </w:rPr>
              <w:t>Nati</w:t>
            </w:r>
            <w:r w:rsidRPr="008E0469">
              <w:rPr>
                <w:rFonts w:asciiTheme="minorHAnsi" w:hAnsiTheme="minorHAnsi"/>
                <w:spacing w:val="-1"/>
              </w:rPr>
              <w:t>onwide, six signals were affected by the defect. In a risk assessment, the risk increased by the defect was assessed and appropriate measures were derived. Immediate operational measures were not necessary. Route logic software from which the error had bee</w:t>
            </w:r>
            <w:r w:rsidRPr="008E0469">
              <w:rPr>
                <w:rFonts w:asciiTheme="minorHAnsi" w:hAnsiTheme="minorHAnsi"/>
                <w:spacing w:val="-1"/>
              </w:rPr>
              <w:t>n removed was approved by the EBA in October 2015. The replacement of the software in the control systems affected is taking place in accordance with a timetable agreed with the infrastructure manager concerned.</w:t>
            </w:r>
          </w:p>
        </w:tc>
      </w:tr>
      <w:tr w:rsidR="00F3700C" w:rsidTr="000E7760">
        <w:trPr>
          <w:trHeight w:val="20"/>
        </w:trPr>
        <w:tc>
          <w:tcPr>
            <w:tcW w:w="2871" w:type="dxa"/>
            <w:gridSpan w:val="3"/>
            <w:tcBorders>
              <w:top w:val="single" w:sz="5" w:space="0" w:color="000000"/>
              <w:left w:val="single" w:sz="5" w:space="0" w:color="000000"/>
              <w:right w:val="single" w:sz="5" w:space="0" w:color="000000"/>
            </w:tcBorders>
          </w:tcPr>
          <w:p w:rsidR="009F6E65" w:rsidRPr="008E0469" w:rsidRDefault="00D05136" w:rsidP="009F6E65">
            <w:pPr>
              <w:ind w:left="102"/>
              <w:rPr>
                <w:rFonts w:asciiTheme="minorHAnsi" w:eastAsia="Arial" w:hAnsiTheme="minorHAnsi" w:cs="Arial"/>
              </w:rPr>
            </w:pPr>
            <w:r w:rsidRPr="008E0469">
              <w:rPr>
                <w:rFonts w:asciiTheme="minorHAnsi" w:hAnsiTheme="minorHAnsi"/>
              </w:rPr>
              <w:t>Infrastructure: Control and safety technolo</w:t>
            </w:r>
            <w:r w:rsidRPr="008E0469">
              <w:rPr>
                <w:rFonts w:asciiTheme="minorHAnsi" w:hAnsiTheme="minorHAnsi"/>
              </w:rPr>
              <w:t>gy: level crossings</w:t>
            </w:r>
          </w:p>
        </w:tc>
        <w:tc>
          <w:tcPr>
            <w:tcW w:w="3402" w:type="dxa"/>
            <w:gridSpan w:val="2"/>
            <w:tcBorders>
              <w:top w:val="single" w:sz="5" w:space="0" w:color="000000"/>
              <w:left w:val="single" w:sz="5" w:space="0" w:color="000000"/>
              <w:right w:val="single" w:sz="5" w:space="0" w:color="000000"/>
            </w:tcBorders>
          </w:tcPr>
          <w:p w:rsidR="009F6E65" w:rsidRPr="008E0469" w:rsidRDefault="00D05136" w:rsidP="009F6E65">
            <w:pPr>
              <w:ind w:left="102" w:right="-108"/>
              <w:rPr>
                <w:rFonts w:asciiTheme="minorHAnsi" w:eastAsia="Arial" w:hAnsiTheme="minorHAnsi" w:cs="Arial"/>
              </w:rPr>
            </w:pPr>
            <w:r w:rsidRPr="008E0469">
              <w:rPr>
                <w:rFonts w:asciiTheme="minorHAnsi" w:hAnsiTheme="minorHAnsi"/>
                <w:spacing w:val="-1"/>
              </w:rPr>
              <w:t xml:space="preserve">On a remotely monitored RBÜT (computer-controlled level crossing safety technology) installation with vehicle sensors of the FSP design, there occurred a ‘dark trip’, i.e. the level crossing was entered when the level crossing security </w:t>
            </w:r>
            <w:r w:rsidRPr="008E0469">
              <w:rPr>
                <w:rFonts w:asciiTheme="minorHAnsi" w:hAnsiTheme="minorHAnsi"/>
                <w:spacing w:val="-1"/>
              </w:rPr>
              <w:t>system was switched off. The dark trip occurred after, in the preceding train journey, the vehicle sensors for the switch-on detection were driven over with the electromagnetic rail brake activated.</w:t>
            </w:r>
          </w:p>
        </w:tc>
        <w:tc>
          <w:tcPr>
            <w:tcW w:w="3119" w:type="dxa"/>
            <w:tcBorders>
              <w:top w:val="single" w:sz="5" w:space="0" w:color="000000"/>
              <w:left w:val="single" w:sz="5" w:space="0" w:color="000000"/>
              <w:right w:val="single" w:sz="5" w:space="0" w:color="000000"/>
            </w:tcBorders>
          </w:tcPr>
          <w:p w:rsidR="009F6E65" w:rsidRPr="008E0469" w:rsidRDefault="00D05136" w:rsidP="009F6E65">
            <w:pPr>
              <w:spacing w:before="4"/>
              <w:ind w:left="102" w:right="67"/>
              <w:jc w:val="both"/>
              <w:rPr>
                <w:rFonts w:asciiTheme="minorHAnsi" w:eastAsia="Arial" w:hAnsiTheme="minorHAnsi" w:cs="Arial"/>
              </w:rPr>
            </w:pPr>
            <w:r w:rsidRPr="008E0469">
              <w:rPr>
                <w:rFonts w:asciiTheme="minorHAnsi" w:hAnsiTheme="minorHAnsi"/>
              </w:rPr>
              <w:t>Immediately after the dark trip, the infrastructure manag</w:t>
            </w:r>
            <w:r w:rsidRPr="008E0469">
              <w:rPr>
                <w:rFonts w:asciiTheme="minorHAnsi" w:hAnsiTheme="minorHAnsi"/>
              </w:rPr>
              <w:t>er concerned introduced securing of the level crossing by attendants.</w:t>
            </w:r>
          </w:p>
          <w:p w:rsidR="009F6E65" w:rsidRPr="008E0469" w:rsidRDefault="00D05136" w:rsidP="009F6E65">
            <w:pPr>
              <w:spacing w:before="17"/>
              <w:rPr>
                <w:rFonts w:asciiTheme="minorHAnsi" w:hAnsiTheme="minorHAnsi"/>
                <w:sz w:val="22"/>
                <w:szCs w:val="22"/>
              </w:rPr>
            </w:pPr>
          </w:p>
          <w:p w:rsidR="009F6E65" w:rsidRPr="008E0469" w:rsidRDefault="00D05136" w:rsidP="009F6E65">
            <w:pPr>
              <w:ind w:left="102" w:right="66"/>
              <w:jc w:val="both"/>
              <w:rPr>
                <w:rFonts w:asciiTheme="minorHAnsi" w:eastAsia="Arial" w:hAnsiTheme="minorHAnsi" w:cs="Arial"/>
              </w:rPr>
            </w:pPr>
            <w:r w:rsidRPr="008E0469">
              <w:rPr>
                <w:rFonts w:asciiTheme="minorHAnsi" w:hAnsiTheme="minorHAnsi"/>
              </w:rPr>
              <w:t>As an immediate measure, the infrastructure manager examined the condition of the permanent way, put it in an optimal condition and replaced key assemblies of the installation on a preventative basis. The error was not able to be reproduced in any of the t</w:t>
            </w:r>
            <w:r w:rsidRPr="008E0469">
              <w:rPr>
                <w:rFonts w:asciiTheme="minorHAnsi" w:hAnsiTheme="minorHAnsi"/>
              </w:rPr>
              <w:t>ests on the installation that were carried out afterwards. It is currently assumed that the dark trip which occurred cannot be exclusively ascribed to one cause. In order that the monitoring of the installation can be terminated without a clear detection o</w:t>
            </w:r>
            <w:r w:rsidRPr="008E0469">
              <w:rPr>
                <w:rFonts w:asciiTheme="minorHAnsi" w:hAnsiTheme="minorHAnsi"/>
              </w:rPr>
              <w:t>f the cause, the installation should be reconfigured to wheel sensors.</w:t>
            </w:r>
          </w:p>
        </w:tc>
      </w:tr>
      <w:tr w:rsidR="00F3700C" w:rsidTr="000E7760">
        <w:trPr>
          <w:trHeight w:val="20"/>
        </w:trPr>
        <w:tc>
          <w:tcPr>
            <w:tcW w:w="2871" w:type="dxa"/>
            <w:gridSpan w:val="3"/>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67"/>
              <w:jc w:val="both"/>
              <w:rPr>
                <w:rFonts w:asciiTheme="minorHAnsi" w:eastAsia="Arial" w:hAnsiTheme="minorHAnsi" w:cs="Arial"/>
              </w:rPr>
            </w:pPr>
            <w:r w:rsidRPr="008E0469">
              <w:rPr>
                <w:rFonts w:asciiTheme="minorHAnsi" w:hAnsiTheme="minorHAnsi"/>
              </w:rPr>
              <w:t>Infrastructure and rolling stock: Compatibility of the sanding of traction vehicles with the ability of the track circuit to function</w:t>
            </w:r>
          </w:p>
        </w:tc>
        <w:tc>
          <w:tcPr>
            <w:tcW w:w="3402"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75"/>
              <w:jc w:val="both"/>
              <w:rPr>
                <w:rFonts w:asciiTheme="minorHAnsi" w:eastAsia="Arial" w:hAnsiTheme="minorHAnsi" w:cs="Arial"/>
              </w:rPr>
            </w:pPr>
            <w:r w:rsidRPr="008E0469">
              <w:rPr>
                <w:rFonts w:asciiTheme="minorHAnsi" w:hAnsiTheme="minorHAnsi"/>
              </w:rPr>
              <w:t>Following the events in 2013 and 2014 (see also th</w:t>
            </w:r>
            <w:r w:rsidRPr="008E0469">
              <w:rPr>
                <w:rFonts w:asciiTheme="minorHAnsi" w:hAnsiTheme="minorHAnsi"/>
              </w:rPr>
              <w:t>e reports of the previous years), further dangerous events occurred in Itzehoe. The analysis resulted in the following findings: Further constellations were identified which, in the event of intense sanding shortly before stopping, lead to insulation effec</w:t>
            </w:r>
            <w:r w:rsidRPr="008E0469">
              <w:rPr>
                <w:rFonts w:asciiTheme="minorHAnsi" w:hAnsiTheme="minorHAnsi"/>
              </w:rPr>
              <w:t>ts of the track circuits and which are not covered by the existing sets of rules.</w:t>
            </w:r>
          </w:p>
        </w:tc>
        <w:tc>
          <w:tcPr>
            <w:tcW w:w="3119" w:type="dxa"/>
            <w:vMerge w:val="restart"/>
            <w:tcBorders>
              <w:top w:val="single" w:sz="5" w:space="0" w:color="000000"/>
              <w:left w:val="single" w:sz="5" w:space="0" w:color="000000"/>
              <w:right w:val="single" w:sz="5" w:space="0" w:color="000000"/>
            </w:tcBorders>
          </w:tcPr>
          <w:p w:rsidR="009F6E65" w:rsidRPr="008E0469" w:rsidRDefault="00D05136" w:rsidP="009F6E65">
            <w:pPr>
              <w:ind w:left="102" w:right="71"/>
              <w:jc w:val="both"/>
              <w:rPr>
                <w:rFonts w:asciiTheme="minorHAnsi" w:eastAsia="Arial" w:hAnsiTheme="minorHAnsi" w:cs="Arial"/>
              </w:rPr>
            </w:pPr>
            <w:r w:rsidRPr="008E0469">
              <w:rPr>
                <w:rFonts w:asciiTheme="minorHAnsi" w:hAnsiTheme="minorHAnsi"/>
                <w:spacing w:val="-1"/>
              </w:rPr>
              <w:t>A working group in the sector has drafted a set of technical rules (supplementary regulation B011 relating to braking technology) which reduces the amounts of sand applied by</w:t>
            </w:r>
            <w:r w:rsidRPr="008E0469">
              <w:rPr>
                <w:rFonts w:asciiTheme="minorHAnsi" w:hAnsiTheme="minorHAnsi"/>
                <w:spacing w:val="-1"/>
              </w:rPr>
              <w:t xml:space="preserve"> vehicles and is intended to prevent or actively signal sanding in the lower speed range. Owing to the cost of retrofitting to existing rolling stock, the introduction of this set of rules was controversial. Until the decision was taken to produce a draft </w:t>
            </w:r>
            <w:r w:rsidRPr="008E0469">
              <w:rPr>
                <w:rFonts w:asciiTheme="minorHAnsi" w:hAnsiTheme="minorHAnsi"/>
                <w:spacing w:val="-1"/>
              </w:rPr>
              <w:t xml:space="preserve">with the above-described solution (this occurred in 2016), the operational measures and maintenance measures introduced that were the responsibility of the rolling stock managers for the control and limitation of the quantities of sand applied in order to </w:t>
            </w:r>
            <w:r w:rsidRPr="008E0469">
              <w:rPr>
                <w:rFonts w:asciiTheme="minorHAnsi" w:hAnsiTheme="minorHAnsi"/>
                <w:spacing w:val="-1"/>
              </w:rPr>
              <w:t>ensure safety had to be retained.</w:t>
            </w:r>
          </w:p>
          <w:p w:rsidR="009F6E65" w:rsidRPr="008E0469" w:rsidRDefault="00D05136" w:rsidP="009F6E65">
            <w:pPr>
              <w:spacing w:before="11"/>
              <w:rPr>
                <w:rFonts w:asciiTheme="minorHAnsi" w:hAnsiTheme="minorHAnsi"/>
                <w:sz w:val="22"/>
                <w:szCs w:val="22"/>
              </w:rPr>
            </w:pPr>
          </w:p>
          <w:p w:rsidR="009F6E65" w:rsidRPr="008E0469" w:rsidRDefault="00D05136" w:rsidP="009F6E65">
            <w:pPr>
              <w:ind w:left="102" w:right="71"/>
              <w:jc w:val="both"/>
              <w:rPr>
                <w:rFonts w:asciiTheme="minorHAnsi" w:hAnsiTheme="minorHAnsi"/>
              </w:rPr>
            </w:pPr>
            <w:r w:rsidRPr="008E0469">
              <w:rPr>
                <w:rFonts w:asciiTheme="minorHAnsi" w:hAnsiTheme="minorHAnsi"/>
                <w:spacing w:val="-1"/>
              </w:rPr>
              <w:t xml:space="preserve">It also became evident that the sand quantity rules in the interface paper relating to the TSI ZZS are not sufficient for the complete avoidance of incorrectly timed indications that the track is clear. However, owing to </w:t>
            </w:r>
            <w:r w:rsidRPr="008E0469">
              <w:rPr>
                <w:rFonts w:asciiTheme="minorHAnsi" w:hAnsiTheme="minorHAnsi"/>
                <w:spacing w:val="-1"/>
              </w:rPr>
              <w:t>the conflict with the TSI, a stricter set of rules as to sand quantity is problematic, with the consequence that an adjustment to the TSI is requested.</w:t>
            </w:r>
          </w:p>
        </w:tc>
      </w:tr>
      <w:tr w:rsidR="00F3700C" w:rsidTr="000E7760">
        <w:trPr>
          <w:trHeight w:val="20"/>
        </w:trPr>
        <w:tc>
          <w:tcPr>
            <w:tcW w:w="98" w:type="dxa"/>
            <w:gridSpan w:val="2"/>
            <w:tcBorders>
              <w:top w:val="single" w:sz="5" w:space="0" w:color="000000"/>
              <w:left w:val="single" w:sz="5" w:space="0" w:color="000000"/>
              <w:bottom w:val="nil"/>
              <w:right w:val="single" w:sz="0" w:space="0" w:color="FEFFFF"/>
            </w:tcBorders>
          </w:tcPr>
          <w:p w:rsidR="009F6E65" w:rsidRPr="008E0469" w:rsidRDefault="00D05136" w:rsidP="009F6E65">
            <w:pPr>
              <w:rPr>
                <w:rFonts w:asciiTheme="minorHAnsi" w:hAnsiTheme="minorHAnsi"/>
              </w:rPr>
            </w:pPr>
          </w:p>
        </w:tc>
        <w:tc>
          <w:tcPr>
            <w:tcW w:w="2773" w:type="dxa"/>
            <w:tcBorders>
              <w:top w:val="single" w:sz="5" w:space="0" w:color="000000"/>
              <w:left w:val="single" w:sz="0" w:space="0" w:color="FEFFFF"/>
              <w:bottom w:val="single" w:sz="0" w:space="0" w:color="FEFFFF"/>
              <w:right w:val="single" w:sz="5" w:space="0" w:color="000000"/>
            </w:tcBorders>
          </w:tcPr>
          <w:p w:rsidR="009F6E65" w:rsidRPr="008E0469" w:rsidRDefault="00D05136" w:rsidP="009F6E65">
            <w:pPr>
              <w:rPr>
                <w:rFonts w:asciiTheme="minorHAnsi" w:hAnsiTheme="minorHAnsi"/>
              </w:rPr>
            </w:pPr>
          </w:p>
        </w:tc>
        <w:tc>
          <w:tcPr>
            <w:tcW w:w="641" w:type="dxa"/>
            <w:tcBorders>
              <w:top w:val="single" w:sz="5" w:space="0" w:color="000000"/>
              <w:left w:val="single" w:sz="5" w:space="0" w:color="000000"/>
              <w:bottom w:val="single" w:sz="0" w:space="0" w:color="FEFFFF"/>
              <w:right w:val="single" w:sz="0" w:space="0" w:color="FEFFFF"/>
            </w:tcBorders>
          </w:tcPr>
          <w:p w:rsidR="009F6E65" w:rsidRPr="008E0469" w:rsidRDefault="00D05136" w:rsidP="009F6E65">
            <w:pPr>
              <w:rPr>
                <w:rFonts w:asciiTheme="minorHAnsi" w:hAnsiTheme="minorHAnsi"/>
              </w:rPr>
            </w:pPr>
          </w:p>
        </w:tc>
        <w:tc>
          <w:tcPr>
            <w:tcW w:w="2761" w:type="dxa"/>
            <w:tcBorders>
              <w:top w:val="single" w:sz="5" w:space="0" w:color="000000"/>
              <w:left w:val="single" w:sz="0" w:space="0" w:color="FEFFFF"/>
              <w:bottom w:val="nil"/>
              <w:right w:val="single" w:sz="5" w:space="0" w:color="000000"/>
            </w:tcBorders>
          </w:tcPr>
          <w:p w:rsidR="009F6E65" w:rsidRPr="008E0469" w:rsidRDefault="00D05136" w:rsidP="009F6E65">
            <w:pPr>
              <w:rPr>
                <w:rFonts w:asciiTheme="minorHAnsi" w:hAnsiTheme="minorHAnsi"/>
              </w:rPr>
            </w:pPr>
          </w:p>
        </w:tc>
        <w:tc>
          <w:tcPr>
            <w:tcW w:w="3119" w:type="dxa"/>
            <w:vMerge/>
            <w:tcBorders>
              <w:left w:val="single" w:sz="5" w:space="0" w:color="000000"/>
              <w:right w:val="single" w:sz="5" w:space="0" w:color="000000"/>
            </w:tcBorders>
          </w:tcPr>
          <w:p w:rsidR="009F6E65" w:rsidRPr="008E0469" w:rsidRDefault="00D05136" w:rsidP="009F6E65">
            <w:pPr>
              <w:spacing w:before="4"/>
              <w:ind w:left="102" w:right="67"/>
              <w:jc w:val="both"/>
              <w:rPr>
                <w:rFonts w:asciiTheme="minorHAnsi" w:eastAsia="Arial" w:hAnsiTheme="minorHAnsi" w:cs="Arial"/>
              </w:rPr>
            </w:pPr>
          </w:p>
        </w:tc>
      </w:tr>
      <w:tr w:rsidR="00F3700C" w:rsidTr="000E7760">
        <w:trPr>
          <w:trHeight w:val="20"/>
        </w:trPr>
        <w:tc>
          <w:tcPr>
            <w:tcW w:w="2871" w:type="dxa"/>
            <w:gridSpan w:val="3"/>
            <w:tcBorders>
              <w:top w:val="single" w:sz="0" w:space="0" w:color="FEFFFF"/>
              <w:left w:val="single" w:sz="5" w:space="0" w:color="000000"/>
              <w:bottom w:val="single" w:sz="5" w:space="0" w:color="000000"/>
              <w:right w:val="single" w:sz="5" w:space="0" w:color="000000"/>
            </w:tcBorders>
          </w:tcPr>
          <w:p w:rsidR="009F6E65" w:rsidRPr="008E0469" w:rsidRDefault="00D05136" w:rsidP="009F6E65">
            <w:pPr>
              <w:rPr>
                <w:rFonts w:asciiTheme="minorHAnsi" w:hAnsiTheme="minorHAnsi"/>
              </w:rPr>
            </w:pPr>
          </w:p>
        </w:tc>
        <w:tc>
          <w:tcPr>
            <w:tcW w:w="3402" w:type="dxa"/>
            <w:gridSpan w:val="2"/>
            <w:tcBorders>
              <w:top w:val="nil"/>
              <w:left w:val="single" w:sz="5" w:space="0" w:color="000000"/>
              <w:bottom w:val="single" w:sz="5" w:space="0" w:color="000000"/>
              <w:right w:val="single" w:sz="5" w:space="0" w:color="000000"/>
            </w:tcBorders>
          </w:tcPr>
          <w:p w:rsidR="009F6E65" w:rsidRPr="008E0469" w:rsidRDefault="00D05136" w:rsidP="009F6E65">
            <w:pPr>
              <w:rPr>
                <w:rFonts w:asciiTheme="minorHAnsi" w:hAnsiTheme="minorHAnsi"/>
              </w:rPr>
            </w:pPr>
          </w:p>
        </w:tc>
        <w:tc>
          <w:tcPr>
            <w:tcW w:w="3119" w:type="dxa"/>
            <w:vMerge/>
            <w:tcBorders>
              <w:left w:val="single" w:sz="5" w:space="0" w:color="000000"/>
              <w:bottom w:val="single" w:sz="5" w:space="0" w:color="000000"/>
              <w:right w:val="single" w:sz="5" w:space="0" w:color="000000"/>
            </w:tcBorders>
          </w:tcPr>
          <w:p w:rsidR="009F6E65" w:rsidRPr="008E0469" w:rsidRDefault="00D05136" w:rsidP="009F6E65">
            <w:pPr>
              <w:rPr>
                <w:rFonts w:asciiTheme="minorHAnsi" w:hAnsiTheme="minorHAnsi"/>
              </w:rPr>
            </w:pPr>
          </w:p>
        </w:tc>
      </w:tr>
      <w:tr w:rsidR="00F3700C" w:rsidTr="000E7760">
        <w:trPr>
          <w:trHeight w:val="20"/>
        </w:trPr>
        <w:tc>
          <w:tcPr>
            <w:tcW w:w="2871" w:type="dxa"/>
            <w:gridSpan w:val="3"/>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Pr>
                <w:rFonts w:asciiTheme="minorHAnsi" w:eastAsia="Arial" w:hAnsiTheme="minorHAnsi" w:cs="Arial"/>
              </w:rPr>
            </w:pPr>
            <w:r w:rsidRPr="008E0469">
              <w:rPr>
                <w:rFonts w:asciiTheme="minorHAnsi" w:hAnsiTheme="minorHAnsi"/>
                <w:spacing w:val="1"/>
              </w:rPr>
              <w:t>Rolling stock: Wheelset</w:t>
            </w:r>
          </w:p>
        </w:tc>
        <w:tc>
          <w:tcPr>
            <w:tcW w:w="3402"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72"/>
              <w:jc w:val="both"/>
              <w:rPr>
                <w:rFonts w:asciiTheme="minorHAnsi" w:eastAsia="Arial" w:hAnsiTheme="minorHAnsi" w:cs="Arial"/>
              </w:rPr>
            </w:pPr>
            <w:r w:rsidRPr="008E0469">
              <w:rPr>
                <w:rFonts w:asciiTheme="minorHAnsi" w:hAnsiTheme="minorHAnsi"/>
              </w:rPr>
              <w:t xml:space="preserve">In the wheelset field, various events (axle breakage, wheel </w:t>
            </w:r>
            <w:r w:rsidRPr="008E0469">
              <w:rPr>
                <w:rFonts w:asciiTheme="minorHAnsi" w:hAnsiTheme="minorHAnsi"/>
              </w:rPr>
              <w:t>distortions and displacements) occurred which indicate higher loads than were originally presumed.</w:t>
            </w:r>
          </w:p>
        </w:tc>
        <w:tc>
          <w:tcPr>
            <w:tcW w:w="3119"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70"/>
              <w:jc w:val="both"/>
              <w:rPr>
                <w:rFonts w:asciiTheme="minorHAnsi" w:eastAsia="Arial" w:hAnsiTheme="minorHAnsi" w:cs="Arial"/>
              </w:rPr>
            </w:pPr>
            <w:r w:rsidRPr="008E0469">
              <w:rPr>
                <w:rFonts w:asciiTheme="minorHAnsi" w:hAnsiTheme="minorHAnsi"/>
              </w:rPr>
              <w:t xml:space="preserve">The undertakings concerned were asked to check the strength verification for the axle or the press fit in relation to current rules and, where necessary, to </w:t>
            </w:r>
            <w:r w:rsidRPr="008E0469">
              <w:rPr>
                <w:rFonts w:asciiTheme="minorHAnsi" w:hAnsiTheme="minorHAnsi"/>
              </w:rPr>
              <w:t>derive appropriate measures from the results.</w:t>
            </w:r>
          </w:p>
        </w:tc>
      </w:tr>
      <w:tr w:rsidR="00F3700C" w:rsidTr="000E7760">
        <w:trPr>
          <w:trHeight w:val="20"/>
        </w:trPr>
        <w:tc>
          <w:tcPr>
            <w:tcW w:w="2871" w:type="dxa"/>
            <w:gridSpan w:val="3"/>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Pr>
                <w:rFonts w:asciiTheme="minorHAnsi" w:eastAsia="Arial" w:hAnsiTheme="minorHAnsi" w:cs="Arial"/>
              </w:rPr>
            </w:pPr>
            <w:r w:rsidRPr="008E0469">
              <w:rPr>
                <w:rFonts w:asciiTheme="minorHAnsi" w:hAnsiTheme="minorHAnsi"/>
              </w:rPr>
              <w:t>Infrastructure: Railway stations</w:t>
            </w:r>
          </w:p>
        </w:tc>
        <w:tc>
          <w:tcPr>
            <w:tcW w:w="3402"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75"/>
              <w:jc w:val="both"/>
              <w:rPr>
                <w:rFonts w:asciiTheme="minorHAnsi" w:eastAsia="Arial" w:hAnsiTheme="minorHAnsi" w:cs="Arial"/>
              </w:rPr>
            </w:pPr>
            <w:r w:rsidRPr="008E0469">
              <w:rPr>
                <w:rFonts w:asciiTheme="minorHAnsi" w:hAnsiTheme="minorHAnsi"/>
              </w:rPr>
              <w:t>In the course of the supervision, defects that had not been detected in relation to railway stations were identified, e.g. missing railings, tripping hazards.</w:t>
            </w:r>
          </w:p>
        </w:tc>
        <w:tc>
          <w:tcPr>
            <w:tcW w:w="3119"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ind w:left="102" w:right="75"/>
              <w:jc w:val="both"/>
              <w:rPr>
                <w:rFonts w:asciiTheme="minorHAnsi" w:eastAsia="Arial" w:hAnsiTheme="minorHAnsi" w:cs="Arial"/>
              </w:rPr>
            </w:pPr>
            <w:r w:rsidRPr="008E0469">
              <w:rPr>
                <w:rFonts w:asciiTheme="minorHAnsi" w:hAnsiTheme="minorHAnsi"/>
              </w:rPr>
              <w:t xml:space="preserve">The </w:t>
            </w:r>
            <w:r w:rsidRPr="008E0469">
              <w:rPr>
                <w:rFonts w:asciiTheme="minorHAnsi" w:hAnsiTheme="minorHAnsi"/>
              </w:rPr>
              <w:t>infrastructure manager has developed and introduced a binding examination protocol. In addition, external service providers were trained and the communication of information to such service providers was improved.</w:t>
            </w:r>
          </w:p>
        </w:tc>
      </w:tr>
    </w:tbl>
    <w:p w:rsidR="009F6E65" w:rsidRPr="008E0469" w:rsidRDefault="00D05136" w:rsidP="009F6E65">
      <w:pPr>
        <w:pStyle w:val="Heading1"/>
        <w:pageBreakBefore/>
        <w:rPr>
          <w:rFonts w:eastAsia="Arial"/>
        </w:rPr>
      </w:pPr>
      <w:bookmarkStart w:id="20" w:name="_Toc467669065"/>
      <w:bookmarkStart w:id="21" w:name="_Toc471208502"/>
      <w:r w:rsidRPr="008E0469">
        <w:t>Supervision</w:t>
      </w:r>
      <w:bookmarkEnd w:id="20"/>
      <w:bookmarkEnd w:id="21"/>
    </w:p>
    <w:p w:rsidR="009F6E65" w:rsidRPr="008E0469" w:rsidRDefault="00D05136" w:rsidP="009F6E65">
      <w:pPr>
        <w:keepNext/>
        <w:spacing w:before="6" w:line="100" w:lineRule="exact"/>
        <w:rPr>
          <w:sz w:val="10"/>
          <w:szCs w:val="10"/>
        </w:rPr>
      </w:pPr>
    </w:p>
    <w:p w:rsidR="009F6E65" w:rsidRPr="008E0469" w:rsidRDefault="00D05136" w:rsidP="009F6E65">
      <w:pPr>
        <w:keepNext/>
        <w:spacing w:line="200" w:lineRule="exact"/>
      </w:pPr>
    </w:p>
    <w:p w:rsidR="009F6E65" w:rsidRPr="008E0469" w:rsidRDefault="00D05136" w:rsidP="009F6E65">
      <w:pPr>
        <w:keepNext/>
        <w:spacing w:line="200" w:lineRule="exact"/>
      </w:pPr>
    </w:p>
    <w:p w:rsidR="009F6E65" w:rsidRPr="008E0469" w:rsidRDefault="00D05136" w:rsidP="009F6E65">
      <w:pPr>
        <w:pStyle w:val="Heading2"/>
        <w:rPr>
          <w:rFonts w:eastAsia="Arial"/>
        </w:rPr>
      </w:pPr>
      <w:bookmarkStart w:id="22" w:name="_Toc467669066"/>
      <w:bookmarkStart w:id="23" w:name="_Toc471208503"/>
      <w:r w:rsidRPr="008E0469">
        <w:t>Strategy and plan(s)</w:t>
      </w:r>
      <w:bookmarkEnd w:id="22"/>
      <w:bookmarkEnd w:id="23"/>
    </w:p>
    <w:p w:rsidR="009F6E65" w:rsidRPr="008E0469" w:rsidRDefault="00D05136" w:rsidP="009F6E65">
      <w:pPr>
        <w:keepNext/>
        <w:spacing w:before="16" w:line="260" w:lineRule="exact"/>
        <w:rPr>
          <w:sz w:val="26"/>
          <w:szCs w:val="26"/>
        </w:rPr>
      </w:pPr>
    </w:p>
    <w:p w:rsidR="009F6E65" w:rsidRPr="008E0469" w:rsidRDefault="00D05136" w:rsidP="009F6E65">
      <w:pPr>
        <w:keepNext/>
        <w:ind w:left="120" w:right="73"/>
        <w:jc w:val="both"/>
        <w:rPr>
          <w:rFonts w:eastAsia="Arial" w:cs="Arial"/>
          <w:szCs w:val="24"/>
        </w:rPr>
      </w:pPr>
      <w:r w:rsidRPr="008E0469">
        <w:t xml:space="preserve">The </w:t>
      </w:r>
      <w:r w:rsidRPr="008E0469">
        <w:t>EBA carries out regular supervision of railway undertakings and infrastructure managers, and of the bodies responsible for the maintenance of other types of vehicles such as freight wagons. The purpose of this supervision is to find out information about t</w:t>
      </w:r>
      <w:r w:rsidRPr="008E0469">
        <w:t>he effectiveness of the safety management system and the fulfilment of the railways’ responsibility for safety. To this end, the EBA conducts process and product audits (inspections) and, in doing so, also uses information from other sources, such as for e</w:t>
      </w:r>
      <w:r w:rsidRPr="008E0469">
        <w:t>xample the Federal Railway Accident Investigation Office. The EBA’s supervision work serves the purpose of maintaining the existing safety level within the scope of its legal responsibilities. The circle of undertakings concerned is permanently recorded, b</w:t>
      </w:r>
      <w:r w:rsidRPr="008E0469">
        <w:t>ased on the legal requirements. The undertakings are informed of the scope and timing routine of the supervision, but unannounced audits by the EBA also make up a significant element of the supervision.</w:t>
      </w:r>
    </w:p>
    <w:p w:rsidR="009F6E65" w:rsidRPr="008E0469" w:rsidRDefault="00D05136">
      <w:pPr>
        <w:spacing w:before="16" w:line="260" w:lineRule="exact"/>
        <w:rPr>
          <w:sz w:val="26"/>
          <w:szCs w:val="26"/>
        </w:rPr>
      </w:pPr>
    </w:p>
    <w:p w:rsidR="009F6E65" w:rsidRPr="008E0469" w:rsidRDefault="00D05136">
      <w:pPr>
        <w:ind w:left="120" w:right="75"/>
        <w:jc w:val="both"/>
        <w:rPr>
          <w:rFonts w:eastAsia="Arial" w:cs="Arial"/>
          <w:szCs w:val="24"/>
        </w:rPr>
      </w:pPr>
      <w:r w:rsidRPr="008E0469">
        <w:t>On the basis of Regulation (EU) No 1077/2012 on a co</w:t>
      </w:r>
      <w:r w:rsidRPr="008E0469">
        <w:t>mmon safety method for supervision by NSAs and of general administrative law, the EBA configures its supervisory procedures in accordance with the following basic criteria:</w:t>
      </w:r>
    </w:p>
    <w:p w:rsidR="009F6E65" w:rsidRPr="008E0469" w:rsidRDefault="00D05136" w:rsidP="009F6E65">
      <w:pPr>
        <w:pStyle w:val="ListParagraph"/>
        <w:numPr>
          <w:ilvl w:val="0"/>
          <w:numId w:val="11"/>
        </w:numPr>
        <w:spacing w:before="17"/>
        <w:ind w:right="6527"/>
        <w:jc w:val="both"/>
        <w:rPr>
          <w:rFonts w:eastAsia="Arial" w:cs="Arial"/>
          <w:szCs w:val="24"/>
        </w:rPr>
      </w:pPr>
      <w:r w:rsidRPr="008E0469">
        <w:t>proportionality,</w:t>
      </w:r>
    </w:p>
    <w:p w:rsidR="009F6E65" w:rsidRPr="008E0469" w:rsidRDefault="00D05136" w:rsidP="00AD29A7">
      <w:pPr>
        <w:pStyle w:val="ListParagraph"/>
        <w:numPr>
          <w:ilvl w:val="0"/>
          <w:numId w:val="11"/>
        </w:numPr>
        <w:spacing w:before="15"/>
        <w:ind w:right="3893"/>
        <w:jc w:val="both"/>
        <w:rPr>
          <w:rFonts w:eastAsia="Arial" w:cs="Arial"/>
          <w:szCs w:val="24"/>
        </w:rPr>
      </w:pPr>
      <w:r w:rsidRPr="008E0469">
        <w:t>consistency,</w:t>
      </w:r>
    </w:p>
    <w:p w:rsidR="009F6E65" w:rsidRPr="008E0469" w:rsidRDefault="00D05136" w:rsidP="00AD29A7">
      <w:pPr>
        <w:pStyle w:val="ListParagraph"/>
        <w:numPr>
          <w:ilvl w:val="0"/>
          <w:numId w:val="11"/>
        </w:numPr>
        <w:spacing w:before="13"/>
        <w:ind w:right="3893"/>
        <w:jc w:val="both"/>
        <w:rPr>
          <w:rFonts w:eastAsia="Arial" w:cs="Arial"/>
          <w:szCs w:val="24"/>
        </w:rPr>
      </w:pPr>
      <w:r w:rsidRPr="008E0469">
        <w:t>fitness for purpose,</w:t>
      </w:r>
    </w:p>
    <w:p w:rsidR="009F6E65" w:rsidRPr="008E0469" w:rsidRDefault="00D05136" w:rsidP="00AD29A7">
      <w:pPr>
        <w:pStyle w:val="ListParagraph"/>
        <w:numPr>
          <w:ilvl w:val="0"/>
          <w:numId w:val="11"/>
        </w:numPr>
        <w:spacing w:before="15"/>
        <w:ind w:right="4035"/>
        <w:jc w:val="both"/>
        <w:rPr>
          <w:rFonts w:eastAsia="Arial" w:cs="Arial"/>
          <w:szCs w:val="24"/>
        </w:rPr>
      </w:pPr>
      <w:r w:rsidRPr="008E0469">
        <w:t>transparency,</w:t>
      </w:r>
    </w:p>
    <w:p w:rsidR="009F6E65" w:rsidRPr="008E0469" w:rsidRDefault="00D05136" w:rsidP="009F6E65">
      <w:pPr>
        <w:pStyle w:val="ListParagraph"/>
        <w:numPr>
          <w:ilvl w:val="0"/>
          <w:numId w:val="11"/>
        </w:numPr>
        <w:spacing w:before="15"/>
        <w:ind w:right="6020"/>
        <w:jc w:val="both"/>
        <w:rPr>
          <w:rFonts w:eastAsia="Arial" w:cs="Arial"/>
          <w:szCs w:val="24"/>
        </w:rPr>
      </w:pPr>
      <w:r w:rsidRPr="008E0469">
        <w:t>accountability and</w:t>
      </w:r>
    </w:p>
    <w:p w:rsidR="009F6E65" w:rsidRPr="008E0469" w:rsidRDefault="00D05136" w:rsidP="009F6E65">
      <w:pPr>
        <w:pStyle w:val="ListParagraph"/>
        <w:numPr>
          <w:ilvl w:val="0"/>
          <w:numId w:val="11"/>
        </w:numPr>
        <w:spacing w:before="13"/>
        <w:ind w:right="7339"/>
        <w:jc w:val="both"/>
        <w:rPr>
          <w:rFonts w:eastAsia="Arial" w:cs="Arial"/>
          <w:szCs w:val="24"/>
        </w:rPr>
      </w:pPr>
      <w:r w:rsidRPr="008E0469">
        <w:t>cooperation.</w:t>
      </w:r>
    </w:p>
    <w:p w:rsidR="009F6E65" w:rsidRPr="008E0469" w:rsidRDefault="00D05136">
      <w:pPr>
        <w:spacing w:before="15" w:line="260" w:lineRule="exact"/>
        <w:rPr>
          <w:sz w:val="26"/>
          <w:szCs w:val="26"/>
        </w:rPr>
      </w:pPr>
    </w:p>
    <w:p w:rsidR="009F6E65" w:rsidRPr="008E0469" w:rsidRDefault="00D05136" w:rsidP="009F6E65">
      <w:pPr>
        <w:ind w:left="120" w:right="75"/>
        <w:jc w:val="both"/>
        <w:rPr>
          <w:rFonts w:eastAsia="Arial" w:cs="Arial"/>
          <w:szCs w:val="24"/>
        </w:rPr>
      </w:pPr>
      <w:r w:rsidRPr="008E0469">
        <w:t xml:space="preserve">The supervision comprises systematic checking whether the railways consistently comply with the requirements that apply for the granting of a safety certificate or safety authorisation - defined in Annex II to Regulations (EU) No 1158/2010 </w:t>
      </w:r>
      <w:r w:rsidRPr="008E0469">
        <w:t>for railway undertakings and, as applicable, 1169/2010 for infrastructure managers. Checks are also made as to whether the undertaking's processes and procedures contributing to a process of continuous improvement are being continued, if necessary, and whe</w:t>
      </w:r>
      <w:r w:rsidRPr="008E0469">
        <w:t>ther the railways are applying the provisions of Regulation (EU) No 1078/2012 on a common safety method for internal monitoring to be applied by railway undertakings.</w:t>
      </w:r>
    </w:p>
    <w:p w:rsidR="009F6E65" w:rsidRPr="008E0469" w:rsidRDefault="00D05136">
      <w:pPr>
        <w:spacing w:before="16" w:line="260" w:lineRule="exact"/>
        <w:rPr>
          <w:sz w:val="26"/>
          <w:szCs w:val="26"/>
        </w:rPr>
      </w:pPr>
    </w:p>
    <w:p w:rsidR="009F6E65" w:rsidRPr="008E0469" w:rsidRDefault="00D05136">
      <w:pPr>
        <w:ind w:left="120" w:right="73"/>
        <w:jc w:val="both"/>
        <w:rPr>
          <w:rFonts w:eastAsia="Arial" w:cs="Arial"/>
          <w:szCs w:val="24"/>
        </w:rPr>
      </w:pPr>
      <w:r w:rsidRPr="008E0469">
        <w:t>Supervision in the field of vehicles, operations and dangerous goods focuses on the prov</w:t>
      </w:r>
      <w:r w:rsidRPr="008E0469">
        <w:t xml:space="preserve">ision of safe railway transport services on a permanent way safely operated for this purpose. The focus here is on safe organisation of the business activities of the railway undertakings and infrastructure undertakings in railway operations and technical </w:t>
      </w:r>
      <w:r w:rsidRPr="008E0469">
        <w:t>matters, plus compliance with general or special legal obligations on the undertakings. The strategy of preventive supervision by process audits of the maturity of the safety management systems, and of supervision of the undertakings’ ‘safe journey’ produc</w:t>
      </w:r>
      <w:r w:rsidRPr="008E0469">
        <w:t>t remains unaltered on the basis of the approaches introduced. In this context, it is evident in the case of many undertakings that a functioning safety management itself regulates itself, in the event that deviations from the targets set occur, with the a</w:t>
      </w:r>
      <w:r w:rsidRPr="008E0469">
        <w:t>id of a corresponding control loop model.</w:t>
      </w:r>
    </w:p>
    <w:p w:rsidR="009F6E65" w:rsidRPr="008E0469" w:rsidRDefault="00D05136">
      <w:pPr>
        <w:spacing w:before="16" w:line="260" w:lineRule="exact"/>
        <w:rPr>
          <w:sz w:val="26"/>
          <w:szCs w:val="26"/>
        </w:rPr>
      </w:pPr>
    </w:p>
    <w:p w:rsidR="009F6E65" w:rsidRPr="008E0469" w:rsidRDefault="00D05136" w:rsidP="009F6E65">
      <w:pPr>
        <w:ind w:left="120" w:right="73"/>
        <w:jc w:val="both"/>
        <w:rPr>
          <w:rFonts w:eastAsia="Arial" w:cs="Arial"/>
          <w:szCs w:val="24"/>
        </w:rPr>
      </w:pPr>
      <w:r w:rsidRPr="008E0469">
        <w:t>The supervision of the permanent way operators is likewise fundamentally undertaking-based. It considers the fields of system installation, maintenance of systems and operations; generally, the general method of w</w:t>
      </w:r>
      <w:r w:rsidRPr="008E0469">
        <w:t>orking and implementation of the safety management systems is checked. For this purpose, the EBA conducts process and object-related supervision and special supervision over the infrastructure managers. By these means, random checks are carried out as to w</w:t>
      </w:r>
      <w:r w:rsidRPr="008E0469">
        <w:t>hether the undertakings are in practice implementing the safety-related processes in a manner compliant with the requirements and whether, during the use of the approved systems, they are also complying with the General Railway Act (AEG) and the legal regu</w:t>
      </w:r>
      <w:r w:rsidRPr="008E0469">
        <w:t>lations based on it, as well as the recognised codes of engineering practice. A significant cornerstone of railway supervision is also the verification of the fulfilment of the railways’ safety obligations that are established in Section 4(3) AEG. The prin</w:t>
      </w:r>
      <w:r w:rsidRPr="008E0469">
        <w:t xml:space="preserve">ciples of implementation are further specified in the Administrative Regulation on monitoring the installation and maintenance of systems. The Administrative Regulation is available via the following link: </w:t>
      </w:r>
      <w:hyperlink r:id="rId17" w:history="1">
        <w:r w:rsidRPr="008E0469">
          <w:rPr>
            <w:color w:val="0000FF"/>
            <w:spacing w:val="1"/>
            <w:u w:val="single" w:color="0000FF"/>
          </w:rPr>
          <w:t>http://www.eba.bund.de/SharedDocs/Publikationen/DE/Infrastruktur/AllgemeineVorsc</w:t>
        </w:r>
      </w:hyperlink>
      <w:hyperlink r:id="rId18" w:history="1">
        <w:r w:rsidRPr="008E0469">
          <w:rPr>
            <w:color w:val="0000FF"/>
            <w:spacing w:val="1"/>
            <w:u w:val="single" w:color="0000FF"/>
          </w:rPr>
          <w:t>hriften/VVUeberwachung/21_VV_Ueberwachung.pdf</w:t>
        </w:r>
      </w:hyperlink>
    </w:p>
    <w:p w:rsidR="009F6E65" w:rsidRPr="008E0469" w:rsidRDefault="00D05136">
      <w:pPr>
        <w:spacing w:before="7" w:line="240" w:lineRule="exact"/>
        <w:rPr>
          <w:szCs w:val="24"/>
        </w:rPr>
      </w:pPr>
    </w:p>
    <w:p w:rsidR="009F6E65" w:rsidRPr="008E0469" w:rsidRDefault="00D05136">
      <w:pPr>
        <w:spacing w:before="29"/>
        <w:ind w:left="120" w:right="71"/>
        <w:jc w:val="both"/>
        <w:rPr>
          <w:rFonts w:eastAsia="Arial" w:cs="Arial"/>
          <w:szCs w:val="24"/>
        </w:rPr>
      </w:pPr>
      <w:r w:rsidRPr="008E0469">
        <w:t>The supervision is generally carried out by way of random sampling. In accordance with the proper exercise of its discretion, the EBA stipulates the re</w:t>
      </w:r>
      <w:r w:rsidRPr="008E0469">
        <w:t xml:space="preserve">quirement for random sampling in order to guarantee that a representative cross section is monitored, taking into account the respective potential for danger in the technical fields of infrastructure, rolling stock and operations. In all fields, there are </w:t>
      </w:r>
      <w:r w:rsidRPr="008E0469">
        <w:t>annual/multi-year plans for supervising the railways; these are regularly reviewed and, if necessary, revised on the basis of the results of the ongoing supervision. Announced and unannounced supervision measures take place on the basis of the plans. The a</w:t>
      </w:r>
      <w:r w:rsidRPr="008E0469">
        <w:t>im is to inspect every undertaking, irrespective of size, at least once a year. Larger railway undertakings and infrastructure managers are monitored more often, on a differential basis according to region. The specialists at Head Office establish the requ</w:t>
      </w:r>
      <w:r w:rsidRPr="008E0469">
        <w:t>irements for the supervision plans and regularly liaise on this with the divisions of the EBA external offices. If there are findings arising from dangerous events or if there is a suspicion of systematic defects, the EBA under certain circumstances conduc</w:t>
      </w:r>
      <w:r w:rsidRPr="008E0469">
        <w:t>ts special and focused checks. The results of the supervisory measures are recorded on special databases and are then available as the basis of evaluations, for setting future focuses, for adaptations of the supervision plans and for recertifications of th</w:t>
      </w:r>
      <w:r w:rsidRPr="008E0469">
        <w:t>e undertakings.</w:t>
      </w:r>
    </w:p>
    <w:p w:rsidR="009F6E65" w:rsidRPr="008E0469" w:rsidRDefault="00D05136">
      <w:pPr>
        <w:spacing w:before="6" w:line="100" w:lineRule="exact"/>
        <w:rPr>
          <w:sz w:val="10"/>
          <w:szCs w:val="10"/>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24" w:name="_Toc467669067"/>
      <w:bookmarkStart w:id="25" w:name="_Toc471208504"/>
      <w:r w:rsidRPr="008E0469">
        <w:t>Staff</w:t>
      </w:r>
      <w:bookmarkEnd w:id="24"/>
      <w:bookmarkEnd w:id="25"/>
    </w:p>
    <w:p w:rsidR="009F6E65" w:rsidRPr="008E0469" w:rsidRDefault="00D05136" w:rsidP="009F6E65">
      <w:pPr>
        <w:keepNext/>
        <w:spacing w:before="16" w:line="260" w:lineRule="exact"/>
        <w:rPr>
          <w:sz w:val="26"/>
          <w:szCs w:val="26"/>
        </w:rPr>
      </w:pPr>
    </w:p>
    <w:p w:rsidR="009F6E65" w:rsidRPr="008E0469" w:rsidRDefault="00D05136" w:rsidP="009F6E65">
      <w:pPr>
        <w:keepNext/>
        <w:ind w:left="120" w:right="71"/>
        <w:jc w:val="both"/>
      </w:pPr>
      <w:r w:rsidRPr="008E0469">
        <w:t xml:space="preserve">A total of 230 EBA employees are engaged in activities in the supervisory field. </w:t>
      </w:r>
    </w:p>
    <w:p w:rsidR="009F6E65" w:rsidRPr="008E0469" w:rsidRDefault="00D05136">
      <w:pPr>
        <w:spacing w:line="200" w:lineRule="exact"/>
      </w:pPr>
    </w:p>
    <w:p w:rsidR="009F6E65" w:rsidRPr="008E0469" w:rsidRDefault="00D05136">
      <w:pPr>
        <w:spacing w:before="6" w:line="240" w:lineRule="exact"/>
        <w:rPr>
          <w:szCs w:val="24"/>
        </w:rPr>
      </w:pPr>
    </w:p>
    <w:p w:rsidR="009F6E65" w:rsidRPr="008E0469" w:rsidRDefault="00D05136" w:rsidP="009F6E65">
      <w:pPr>
        <w:pStyle w:val="Heading2"/>
        <w:rPr>
          <w:rFonts w:eastAsia="Arial"/>
        </w:rPr>
      </w:pPr>
      <w:bookmarkStart w:id="26" w:name="_Toc467669068"/>
      <w:bookmarkStart w:id="27" w:name="_Toc471208505"/>
      <w:r w:rsidRPr="008E0469">
        <w:t>Skills</w:t>
      </w:r>
      <w:bookmarkEnd w:id="26"/>
      <w:bookmarkEnd w:id="27"/>
    </w:p>
    <w:p w:rsidR="009F6E65" w:rsidRPr="008E0469" w:rsidRDefault="00D05136" w:rsidP="009F6E65">
      <w:pPr>
        <w:keepNext/>
        <w:spacing w:before="16" w:line="260" w:lineRule="exact"/>
        <w:rPr>
          <w:sz w:val="26"/>
          <w:szCs w:val="26"/>
        </w:rPr>
      </w:pPr>
    </w:p>
    <w:p w:rsidR="009F6E65" w:rsidRPr="008E0469" w:rsidRDefault="00D05136" w:rsidP="009F6E65">
      <w:pPr>
        <w:keepNext/>
        <w:ind w:left="120" w:right="70"/>
        <w:jc w:val="both"/>
        <w:rPr>
          <w:rFonts w:eastAsia="Arial" w:cs="Arial"/>
          <w:szCs w:val="24"/>
        </w:rPr>
      </w:pPr>
      <w:r w:rsidRPr="008E0469">
        <w:t xml:space="preserve">The sections of the EBA responsible for personnel and organisation implement skills management in co-operation with the respective </w:t>
      </w:r>
      <w:r w:rsidRPr="008E0469">
        <w:t>specialist offices of the EBA. The components are as follows:</w:t>
      </w:r>
    </w:p>
    <w:p w:rsidR="009F6E65" w:rsidRPr="008E0469" w:rsidRDefault="00D05136" w:rsidP="009F6E65">
      <w:pPr>
        <w:pStyle w:val="ListParagraph"/>
        <w:numPr>
          <w:ilvl w:val="0"/>
          <w:numId w:val="11"/>
        </w:numPr>
        <w:spacing w:before="17"/>
        <w:ind w:right="5993"/>
        <w:jc w:val="both"/>
        <w:rPr>
          <w:rFonts w:eastAsia="Arial" w:cs="Arial"/>
          <w:szCs w:val="24"/>
        </w:rPr>
      </w:pPr>
      <w:r w:rsidRPr="008E0469">
        <w:t>Defining requirements</w:t>
      </w:r>
    </w:p>
    <w:p w:rsidR="009F6E65" w:rsidRPr="008E0469" w:rsidRDefault="00D05136">
      <w:pPr>
        <w:spacing w:before="3" w:line="260" w:lineRule="exact"/>
        <w:ind w:left="547" w:right="73"/>
        <w:jc w:val="both"/>
        <w:rPr>
          <w:rFonts w:eastAsia="Arial" w:cs="Arial"/>
          <w:szCs w:val="24"/>
        </w:rPr>
      </w:pPr>
      <w:r w:rsidRPr="008E0469">
        <w:t>Job descriptions contain both necessary expert skills and general qualifications such as interpersonal or methodological skills. The job descriptions and specialist profile</w:t>
      </w:r>
      <w:r w:rsidRPr="008E0469">
        <w:t>s are regularly revised.</w:t>
      </w:r>
    </w:p>
    <w:p w:rsidR="009F6E65" w:rsidRPr="008E0469" w:rsidRDefault="00D05136" w:rsidP="009F6E65">
      <w:pPr>
        <w:pStyle w:val="ListParagraph"/>
        <w:numPr>
          <w:ilvl w:val="0"/>
          <w:numId w:val="11"/>
        </w:numPr>
        <w:spacing w:before="12"/>
        <w:ind w:right="4539"/>
        <w:jc w:val="both"/>
        <w:rPr>
          <w:rFonts w:eastAsia="Arial" w:cs="Arial"/>
          <w:szCs w:val="24"/>
        </w:rPr>
      </w:pPr>
      <w:r w:rsidRPr="008E0469">
        <w:t>Establishing fulfilment of requirements</w:t>
      </w:r>
    </w:p>
    <w:p w:rsidR="009F6E65" w:rsidRPr="008E0469" w:rsidRDefault="00D05136">
      <w:pPr>
        <w:spacing w:before="3" w:line="260" w:lineRule="exact"/>
        <w:ind w:left="547" w:right="73"/>
        <w:jc w:val="both"/>
        <w:rPr>
          <w:rFonts w:eastAsia="Arial" w:cs="Arial"/>
          <w:szCs w:val="24"/>
        </w:rPr>
      </w:pPr>
      <w:r w:rsidRPr="008E0469">
        <w:t>When a new person is appointed, their skills are checked by way of a structured thematic interview and possible role plays. For higher grades, a potential analysis may additionally be used in</w:t>
      </w:r>
      <w:r w:rsidRPr="008E0469">
        <w:t xml:space="preserve"> order to establish potential specifically in terms of interdisciplinary skills. Special induction courses given by the respective specialist departments prepare new employees for their future activity.</w:t>
      </w:r>
    </w:p>
    <w:p w:rsidR="009F6E65" w:rsidRPr="008E0469" w:rsidRDefault="00D05136" w:rsidP="009F6E65">
      <w:pPr>
        <w:pStyle w:val="ListParagraph"/>
        <w:numPr>
          <w:ilvl w:val="0"/>
          <w:numId w:val="11"/>
        </w:numPr>
        <w:spacing w:before="12"/>
        <w:ind w:right="4539"/>
        <w:jc w:val="both"/>
        <w:rPr>
          <w:rFonts w:eastAsia="Arial" w:cs="Arial"/>
          <w:szCs w:val="24"/>
        </w:rPr>
      </w:pPr>
      <w:r w:rsidRPr="008E0469">
        <w:t>Continuing further training</w:t>
      </w:r>
    </w:p>
    <w:p w:rsidR="009F6E65" w:rsidRPr="008E0469" w:rsidRDefault="00D05136">
      <w:pPr>
        <w:spacing w:before="1" w:line="260" w:lineRule="exact"/>
        <w:ind w:left="547" w:right="72"/>
        <w:jc w:val="both"/>
        <w:rPr>
          <w:rFonts w:eastAsia="Arial" w:cs="Arial"/>
          <w:szCs w:val="24"/>
        </w:rPr>
      </w:pPr>
      <w:r w:rsidRPr="008E0469">
        <w:t xml:space="preserve">On the basis of training </w:t>
      </w:r>
      <w:r w:rsidRPr="008E0469">
        <w:t>needs forms, the training needs for each employee and each organisational unit are assessed at least once a year. The EBA Further Training Office organises targeted coverage of these needs. Furthermore, there are training officers in the specialist departm</w:t>
      </w:r>
      <w:r w:rsidRPr="008E0469">
        <w:t>ents, who liaise closely with the Further Training Office and hold specialist training courses annually, to keep the knowledge specific to a specialist area up to date. Every year, around 250 further training courses are held. The trend is rising. E-learni</w:t>
      </w:r>
      <w:r w:rsidRPr="008E0469">
        <w:t>ng programmes are also offered, e.g. for the subject areas of occupational safety - in the office and on the track.</w:t>
      </w:r>
    </w:p>
    <w:p w:rsidR="009F6E65" w:rsidRPr="008E0469" w:rsidRDefault="00D05136" w:rsidP="009F6E65">
      <w:pPr>
        <w:pStyle w:val="ListParagraph"/>
        <w:numPr>
          <w:ilvl w:val="0"/>
          <w:numId w:val="11"/>
        </w:numPr>
        <w:spacing w:before="12"/>
        <w:ind w:right="4539"/>
        <w:jc w:val="both"/>
        <w:rPr>
          <w:rFonts w:eastAsia="Arial" w:cs="Arial"/>
          <w:szCs w:val="24"/>
        </w:rPr>
      </w:pPr>
      <w:r w:rsidRPr="008E0469">
        <w:t>Quality assurance in further training</w:t>
      </w:r>
    </w:p>
    <w:p w:rsidR="009F6E65" w:rsidRPr="008E0469" w:rsidRDefault="00D05136">
      <w:pPr>
        <w:spacing w:before="3" w:line="260" w:lineRule="exact"/>
        <w:ind w:left="547" w:right="70"/>
        <w:jc w:val="both"/>
        <w:rPr>
          <w:rFonts w:eastAsia="Arial" w:cs="Arial"/>
          <w:szCs w:val="24"/>
        </w:rPr>
      </w:pPr>
      <w:r w:rsidRPr="008E0469">
        <w:t xml:space="preserve">At the end of each further training course, there is an anonymous evaluation sheet which can be </w:t>
      </w:r>
      <w:r w:rsidRPr="008E0469">
        <w:t>completed. The Further Training Office evaluates these and passes them on to the respective event organisers, so that constant improvement of target-oriented training provision can take place.</w:t>
      </w:r>
    </w:p>
    <w:p w:rsidR="009F6E65" w:rsidRPr="008E0469" w:rsidRDefault="00D05136" w:rsidP="009F6E65">
      <w:pPr>
        <w:pStyle w:val="ListParagraph"/>
        <w:numPr>
          <w:ilvl w:val="0"/>
          <w:numId w:val="11"/>
        </w:numPr>
        <w:spacing w:before="12"/>
        <w:ind w:right="6699"/>
        <w:jc w:val="both"/>
        <w:rPr>
          <w:rFonts w:eastAsia="Arial" w:cs="Arial"/>
          <w:szCs w:val="24"/>
        </w:rPr>
      </w:pPr>
      <w:r w:rsidRPr="008E0469">
        <w:t>In-house training</w:t>
      </w:r>
    </w:p>
    <w:p w:rsidR="009F6E65" w:rsidRPr="008E0469" w:rsidRDefault="00D05136" w:rsidP="009F6E65">
      <w:pPr>
        <w:spacing w:before="3" w:line="260" w:lineRule="exact"/>
        <w:ind w:left="547" w:right="71"/>
        <w:jc w:val="both"/>
        <w:rPr>
          <w:rFonts w:eastAsia="Arial" w:cs="Arial"/>
          <w:spacing w:val="-1"/>
          <w:szCs w:val="24"/>
        </w:rPr>
      </w:pPr>
      <w:r w:rsidRPr="008E0469">
        <w:t xml:space="preserve">The EBA offers career-oriented training </w:t>
      </w:r>
      <w:r w:rsidRPr="008E0469">
        <w:t>courses in high-level and senior technical grades, in up to five different subjects, depending on the future field of activity. Following on from their regular studies, new employees are offered the best possible preparation, initially for one or two years</w:t>
      </w:r>
      <w:r w:rsidRPr="008E0469">
        <w:t xml:space="preserve">, primarily in relation to their technical tasks. By observation and training courses, they can profit from the knowledge and skills of the existing experienced staff. This ensures retention of specialist knowledge at the EBA and task-specific training of </w:t>
      </w:r>
      <w:r w:rsidRPr="008E0469">
        <w:t>new entrants. Furthermore, depending on need, dual vocational courses are offered in various disciplines, for example for employees specialising in office communication or administrative staff.</w:t>
      </w:r>
    </w:p>
    <w:p w:rsidR="009F6E65" w:rsidRPr="008E0469" w:rsidRDefault="00D05136" w:rsidP="00AD29A7">
      <w:pPr>
        <w:pStyle w:val="Heading2"/>
        <w:pageBreakBefore/>
        <w:spacing w:before="240"/>
        <w:rPr>
          <w:rFonts w:eastAsia="Arial"/>
        </w:rPr>
      </w:pPr>
      <w:bookmarkStart w:id="28" w:name="_Toc467669069"/>
      <w:bookmarkStart w:id="29" w:name="_Toc471208506"/>
      <w:r w:rsidRPr="008E0469">
        <w:t>Decision-making</w:t>
      </w:r>
      <w:bookmarkEnd w:id="28"/>
      <w:bookmarkEnd w:id="29"/>
    </w:p>
    <w:p w:rsidR="009F6E65" w:rsidRPr="008E0469" w:rsidRDefault="00D05136" w:rsidP="009F6E65">
      <w:pPr>
        <w:keepNext/>
        <w:spacing w:before="16" w:line="260" w:lineRule="exact"/>
        <w:rPr>
          <w:sz w:val="26"/>
          <w:szCs w:val="26"/>
        </w:rPr>
      </w:pPr>
    </w:p>
    <w:p w:rsidR="009F6E65" w:rsidRPr="008E0469" w:rsidRDefault="00D05136" w:rsidP="009F6E65">
      <w:pPr>
        <w:keepNext/>
        <w:ind w:left="120" w:right="71"/>
        <w:jc w:val="both"/>
        <w:rPr>
          <w:rFonts w:eastAsia="Arial" w:cs="Arial"/>
          <w:szCs w:val="24"/>
        </w:rPr>
      </w:pPr>
      <w:r w:rsidRPr="008E0469">
        <w:t>The EBA’s decision-making regarding its super</w:t>
      </w:r>
      <w:r w:rsidRPr="008E0469">
        <w:t>vision of railway undertakings and infrastructure managers is governed by the applicable statutory provisions, made specific in administrative regulations. The EBA takes into account the fundamental principles of EU Regulation 1077/2012, such as proportion</w:t>
      </w:r>
      <w:r w:rsidRPr="008E0469">
        <w:t>ality, consistency and transparency.</w:t>
      </w:r>
    </w:p>
    <w:p w:rsidR="009F6E65" w:rsidRPr="008E0469" w:rsidRDefault="00D05136">
      <w:pPr>
        <w:spacing w:before="16" w:line="260" w:lineRule="exact"/>
        <w:rPr>
          <w:sz w:val="26"/>
          <w:szCs w:val="26"/>
        </w:rPr>
      </w:pPr>
    </w:p>
    <w:p w:rsidR="009F6E65" w:rsidRPr="008E0469" w:rsidRDefault="00D05136">
      <w:pPr>
        <w:ind w:left="120" w:right="76"/>
        <w:jc w:val="both"/>
        <w:rPr>
          <w:rFonts w:eastAsia="Arial" w:cs="Arial"/>
          <w:szCs w:val="24"/>
        </w:rPr>
      </w:pPr>
      <w:r w:rsidRPr="008E0469">
        <w:t>The EBA draws in particular on the following sources to determine the criteria of its supervision:</w:t>
      </w:r>
    </w:p>
    <w:p w:rsidR="009F6E65" w:rsidRPr="008E0469" w:rsidRDefault="00D05136" w:rsidP="009F6E65">
      <w:pPr>
        <w:pStyle w:val="ListParagraph"/>
        <w:numPr>
          <w:ilvl w:val="0"/>
          <w:numId w:val="11"/>
        </w:numPr>
        <w:spacing w:before="17"/>
        <w:ind w:right="1095"/>
        <w:jc w:val="both"/>
        <w:rPr>
          <w:rFonts w:eastAsia="Arial" w:cs="Arial"/>
          <w:szCs w:val="24"/>
        </w:rPr>
      </w:pPr>
      <w:r w:rsidRPr="008E0469">
        <w:t>information from the evaluation of the safety management system,</w:t>
      </w:r>
    </w:p>
    <w:p w:rsidR="009F6E65" w:rsidRPr="008E0469" w:rsidRDefault="00D05136" w:rsidP="009F6E65">
      <w:pPr>
        <w:pStyle w:val="ListParagraph"/>
        <w:numPr>
          <w:ilvl w:val="0"/>
          <w:numId w:val="11"/>
        </w:numPr>
        <w:tabs>
          <w:tab w:val="left" w:pos="540"/>
        </w:tabs>
        <w:spacing w:before="20" w:line="260" w:lineRule="exact"/>
        <w:ind w:right="72"/>
        <w:rPr>
          <w:rFonts w:eastAsia="Arial" w:cs="Arial"/>
          <w:szCs w:val="24"/>
        </w:rPr>
      </w:pPr>
      <w:r w:rsidRPr="008E0469">
        <w:t>results of past supervisory work, especially supervisi</w:t>
      </w:r>
      <w:r w:rsidRPr="008E0469">
        <w:t>on of railways,</w:t>
      </w:r>
    </w:p>
    <w:p w:rsidR="009F6E65" w:rsidRPr="008E0469" w:rsidRDefault="00D05136" w:rsidP="009F6E65">
      <w:pPr>
        <w:pStyle w:val="ListParagraph"/>
        <w:numPr>
          <w:ilvl w:val="0"/>
          <w:numId w:val="11"/>
        </w:numPr>
        <w:spacing w:before="12"/>
        <w:ind w:right="76"/>
        <w:jc w:val="both"/>
        <w:rPr>
          <w:rFonts w:eastAsia="Arial" w:cs="Arial"/>
          <w:szCs w:val="24"/>
        </w:rPr>
      </w:pPr>
      <w:r w:rsidRPr="008E0469">
        <w:t>accident reports and recommendations of the Federal Railway Accident</w:t>
      </w:r>
    </w:p>
    <w:p w:rsidR="009F6E65" w:rsidRPr="008E0469" w:rsidRDefault="00D05136" w:rsidP="009F6E65">
      <w:pPr>
        <w:pStyle w:val="ListParagraph"/>
        <w:numPr>
          <w:ilvl w:val="0"/>
          <w:numId w:val="11"/>
        </w:numPr>
        <w:spacing w:line="260" w:lineRule="exact"/>
        <w:rPr>
          <w:rFonts w:eastAsia="Arial" w:cs="Arial"/>
          <w:szCs w:val="24"/>
        </w:rPr>
      </w:pPr>
      <w:r w:rsidRPr="008E0469">
        <w:t>Investigation Office,</w:t>
      </w:r>
    </w:p>
    <w:p w:rsidR="009F6E65" w:rsidRPr="008E0469" w:rsidRDefault="00D05136" w:rsidP="009F6E65">
      <w:pPr>
        <w:pStyle w:val="ListParagraph"/>
        <w:numPr>
          <w:ilvl w:val="0"/>
          <w:numId w:val="11"/>
        </w:numPr>
        <w:spacing w:before="17"/>
        <w:ind w:right="2455"/>
        <w:jc w:val="both"/>
        <w:rPr>
          <w:rFonts w:eastAsia="Arial" w:cs="Arial"/>
          <w:szCs w:val="24"/>
        </w:rPr>
      </w:pPr>
      <w:r w:rsidRPr="008E0469">
        <w:t>other reports or data on accidents or disruption,</w:t>
      </w:r>
    </w:p>
    <w:p w:rsidR="009F6E65" w:rsidRPr="008E0469" w:rsidRDefault="00D05136" w:rsidP="009F6E65">
      <w:pPr>
        <w:pStyle w:val="ListParagraph"/>
        <w:numPr>
          <w:ilvl w:val="0"/>
          <w:numId w:val="11"/>
        </w:numPr>
        <w:spacing w:before="13"/>
        <w:ind w:right="4712"/>
        <w:jc w:val="both"/>
        <w:rPr>
          <w:rFonts w:eastAsia="Arial" w:cs="Arial"/>
          <w:szCs w:val="24"/>
        </w:rPr>
      </w:pPr>
      <w:r w:rsidRPr="008E0469">
        <w:t>railway safety reports,</w:t>
      </w:r>
    </w:p>
    <w:p w:rsidR="009F6E65" w:rsidRPr="008E0469" w:rsidRDefault="00D05136" w:rsidP="00AD29A7">
      <w:pPr>
        <w:pStyle w:val="ListParagraph"/>
        <w:numPr>
          <w:ilvl w:val="0"/>
          <w:numId w:val="11"/>
        </w:numPr>
        <w:spacing w:before="15"/>
        <w:ind w:right="208"/>
        <w:jc w:val="both"/>
        <w:rPr>
          <w:rFonts w:eastAsia="Arial" w:cs="Arial"/>
          <w:szCs w:val="24"/>
        </w:rPr>
      </w:pPr>
      <w:r w:rsidRPr="008E0469">
        <w:t>information from authorisations for placing in service,</w:t>
      </w:r>
    </w:p>
    <w:p w:rsidR="009F6E65" w:rsidRPr="008E0469" w:rsidRDefault="00D05136" w:rsidP="009F6E65">
      <w:pPr>
        <w:pStyle w:val="ListParagraph"/>
        <w:numPr>
          <w:ilvl w:val="0"/>
          <w:numId w:val="11"/>
        </w:numPr>
        <w:spacing w:before="15"/>
        <w:ind w:right="866"/>
        <w:jc w:val="both"/>
        <w:rPr>
          <w:rFonts w:eastAsia="Arial" w:cs="Arial"/>
          <w:szCs w:val="24"/>
        </w:rPr>
      </w:pPr>
      <w:r w:rsidRPr="008E0469">
        <w:t>communications from</w:t>
      </w:r>
      <w:r w:rsidRPr="008E0469">
        <w:t xml:space="preserve"> national safety authorities from other Member States,</w:t>
      </w:r>
    </w:p>
    <w:p w:rsidR="009F6E65" w:rsidRPr="008E0469" w:rsidRDefault="00D05136" w:rsidP="009F6E65">
      <w:pPr>
        <w:pStyle w:val="ListParagraph"/>
        <w:numPr>
          <w:ilvl w:val="0"/>
          <w:numId w:val="11"/>
        </w:numPr>
        <w:spacing w:before="13"/>
        <w:ind w:right="779"/>
        <w:jc w:val="both"/>
        <w:rPr>
          <w:rFonts w:eastAsia="Arial" w:cs="Arial"/>
          <w:szCs w:val="24"/>
        </w:rPr>
      </w:pPr>
      <w:r w:rsidRPr="008E0469">
        <w:t>information from the European Railway Agency, and</w:t>
      </w:r>
    </w:p>
    <w:p w:rsidR="009F6E65" w:rsidRPr="008E0469" w:rsidRDefault="00D05136" w:rsidP="009F6E65">
      <w:pPr>
        <w:pStyle w:val="ListParagraph"/>
        <w:numPr>
          <w:ilvl w:val="0"/>
          <w:numId w:val="11"/>
        </w:numPr>
        <w:spacing w:before="15"/>
        <w:ind w:right="4487"/>
        <w:jc w:val="both"/>
        <w:rPr>
          <w:rFonts w:eastAsia="Arial" w:cs="Arial"/>
          <w:szCs w:val="24"/>
        </w:rPr>
      </w:pPr>
      <w:r w:rsidRPr="008E0469">
        <w:t>complaints from members of the public.</w:t>
      </w:r>
    </w:p>
    <w:p w:rsidR="009F6E65" w:rsidRPr="008E0469" w:rsidRDefault="00D05136">
      <w:pPr>
        <w:spacing w:before="15" w:line="260" w:lineRule="exact"/>
        <w:rPr>
          <w:sz w:val="26"/>
          <w:szCs w:val="26"/>
        </w:rPr>
      </w:pPr>
    </w:p>
    <w:p w:rsidR="009F6E65" w:rsidRPr="008E0469" w:rsidRDefault="00D05136">
      <w:pPr>
        <w:ind w:left="120" w:right="72"/>
        <w:jc w:val="both"/>
        <w:rPr>
          <w:rFonts w:eastAsia="Arial" w:cs="Arial"/>
          <w:szCs w:val="24"/>
        </w:rPr>
      </w:pPr>
      <w:r w:rsidRPr="008E0469">
        <w:t>Those affected by the decisions of the EBA can lodge objections to them by way of administrative proceedings, a</w:t>
      </w:r>
      <w:r w:rsidRPr="008E0469">
        <w:t>nd can bring an action before the administrative courts against a rejected objection.</w:t>
      </w:r>
    </w:p>
    <w:p w:rsidR="009F6E65" w:rsidRPr="008E0469" w:rsidRDefault="00D05136">
      <w:pPr>
        <w:spacing w:before="10" w:line="220" w:lineRule="exact"/>
        <w:rPr>
          <w:sz w:val="22"/>
          <w:szCs w:val="22"/>
        </w:rPr>
      </w:pPr>
    </w:p>
    <w:p w:rsidR="009F6E65" w:rsidRPr="008E0469" w:rsidRDefault="00D05136">
      <w:pPr>
        <w:ind w:left="120" w:right="73"/>
        <w:jc w:val="both"/>
        <w:rPr>
          <w:rFonts w:eastAsia="Arial" w:cs="Arial"/>
          <w:szCs w:val="24"/>
        </w:rPr>
      </w:pPr>
      <w:r w:rsidRPr="008E0469">
        <w:t xml:space="preserve">The enforcement by the authorities of organisational improvements in the undertakings’ safety management systems has proved to be a challenge for the EBA. Specifically, </w:t>
      </w:r>
      <w:r w:rsidRPr="008E0469">
        <w:t>the underlying administrative procedure must include enforceability of official instructions, but the undertaking’s freedom to select suitable organisational solutions runs counter to this.</w:t>
      </w:r>
    </w:p>
    <w:p w:rsidR="009F6E65" w:rsidRPr="008E0469" w:rsidRDefault="00D05136">
      <w:pPr>
        <w:spacing w:before="2" w:line="140" w:lineRule="exact"/>
        <w:rPr>
          <w:sz w:val="15"/>
          <w:szCs w:val="15"/>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30" w:name="_Toc467669070"/>
      <w:bookmarkStart w:id="31" w:name="_Toc471208507"/>
      <w:r w:rsidRPr="008E0469">
        <w:t>Co-ordination and co-operation</w:t>
      </w:r>
      <w:bookmarkEnd w:id="30"/>
      <w:bookmarkEnd w:id="31"/>
    </w:p>
    <w:p w:rsidR="009F6E65" w:rsidRPr="008E0469" w:rsidRDefault="00D05136">
      <w:pPr>
        <w:spacing w:before="8" w:line="220" w:lineRule="exact"/>
        <w:rPr>
          <w:sz w:val="22"/>
          <w:szCs w:val="22"/>
        </w:rPr>
      </w:pPr>
    </w:p>
    <w:p w:rsidR="009F6E65" w:rsidRPr="008E0469" w:rsidRDefault="00D05136" w:rsidP="009F6E65">
      <w:pPr>
        <w:ind w:left="120" w:right="70"/>
        <w:jc w:val="both"/>
        <w:rPr>
          <w:rFonts w:eastAsia="Arial" w:cs="Arial"/>
          <w:szCs w:val="24"/>
        </w:rPr>
      </w:pPr>
      <w:r w:rsidRPr="008E0469">
        <w:t xml:space="preserve">The EBA co-operates with </w:t>
      </w:r>
      <w:r w:rsidRPr="008E0469">
        <w:t>national safety authorities of other countries. This includes information exchange and the possibility of co-ordinating aspects of supervision (primarily the monitoring of railway undertakings working across borders and in relation to rolling stock). In 20</w:t>
      </w:r>
      <w:r w:rsidRPr="008E0469">
        <w:t>15, joint supervision operations were occasionally carried out with the supervision authorities of neighbouring countries (especially Belgium, Switzerland and the Netherlands). New contacts with the Czech authority were established, with the focus being on</w:t>
      </w:r>
      <w:r w:rsidRPr="008E0469">
        <w:t xml:space="preserve"> the monitoring of dangerous goods. For the Fehmarn Belt Fixed Link, a cross-border project between Denmark and Germany, as in previous years, agreements are regularly made on supervisory and authorisation procedures between the Danish safety authority and</w:t>
      </w:r>
      <w:r w:rsidRPr="008E0469">
        <w:t xml:space="preserve"> the EBA. The conclusion of co-operation agreements with the authorities of neighbouring countries, as envisaged in EU Directive 1077/2012, is still on the agenda. The focus of these will be cross-border railway undertakings.</w:t>
      </w:r>
    </w:p>
    <w:p w:rsidR="009F6E65" w:rsidRPr="008E0469" w:rsidRDefault="00D05136">
      <w:pPr>
        <w:spacing w:before="2" w:line="140" w:lineRule="exact"/>
        <w:rPr>
          <w:sz w:val="15"/>
          <w:szCs w:val="15"/>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32" w:name="_Toc467669071"/>
      <w:bookmarkStart w:id="33" w:name="_Toc471208508"/>
      <w:r w:rsidRPr="008E0469">
        <w:t>Lessons learned from measur</w:t>
      </w:r>
      <w:r w:rsidRPr="008E0469">
        <w:t>es adopted</w:t>
      </w:r>
      <w:bookmarkEnd w:id="32"/>
      <w:bookmarkEnd w:id="33"/>
    </w:p>
    <w:p w:rsidR="009F6E65" w:rsidRPr="008E0469" w:rsidRDefault="00D05136">
      <w:pPr>
        <w:spacing w:before="16" w:line="260" w:lineRule="exact"/>
        <w:rPr>
          <w:sz w:val="26"/>
          <w:szCs w:val="26"/>
        </w:rPr>
      </w:pPr>
    </w:p>
    <w:p w:rsidR="009F6E65" w:rsidRPr="008E0469" w:rsidRDefault="00D05136">
      <w:pPr>
        <w:ind w:left="100" w:right="73"/>
        <w:jc w:val="both"/>
        <w:rPr>
          <w:rFonts w:eastAsia="Arial" w:cs="Arial"/>
          <w:szCs w:val="24"/>
        </w:rPr>
        <w:sectPr w:rsidR="009F6E65" w:rsidRPr="008E0469">
          <w:footerReference w:type="default" r:id="rId19"/>
          <w:pgSz w:w="11920" w:h="16840"/>
          <w:pgMar w:top="1940" w:right="1300" w:bottom="280" w:left="1340" w:header="701" w:footer="735" w:gutter="0"/>
          <w:cols w:space="720"/>
        </w:sectPr>
      </w:pPr>
      <w:r w:rsidRPr="008E0469">
        <w:t>Both the supervision strategy and the measures adopted under it have proved to be fundamentally successful. With regard to internal measures, the measures introduced in recent years and continued</w:t>
      </w:r>
      <w:r w:rsidRPr="008E0469">
        <w:t xml:space="preserve"> in 2015 to increase the use of electronic data processing in the form of databases have proved to be an effective and valuable support for the proper exercise of the supervision of the railways. Focused tests constitute a suitable means for increasing the</w:t>
      </w:r>
      <w:r w:rsidRPr="008E0469">
        <w:t xml:space="preserve"> railways’ awareness of the issues monitored.</w:t>
      </w:r>
    </w:p>
    <w:p w:rsidR="009F6E65" w:rsidRPr="008E0469" w:rsidRDefault="00D05136">
      <w:pPr>
        <w:spacing w:line="140" w:lineRule="exact"/>
        <w:rPr>
          <w:sz w:val="15"/>
          <w:szCs w:val="15"/>
        </w:rPr>
      </w:pPr>
    </w:p>
    <w:p w:rsidR="009F6E65" w:rsidRPr="008E0469" w:rsidRDefault="00D05136" w:rsidP="009F6E65">
      <w:pPr>
        <w:pStyle w:val="Heading1"/>
        <w:rPr>
          <w:rFonts w:eastAsia="Arial"/>
        </w:rPr>
      </w:pPr>
      <w:bookmarkStart w:id="34" w:name="_Toc467669072"/>
      <w:bookmarkStart w:id="35" w:name="_Toc471208509"/>
      <w:r w:rsidRPr="008E0469">
        <w:t>Safety certification and authorisation</w:t>
      </w:r>
      <w:bookmarkEnd w:id="34"/>
      <w:bookmarkEnd w:id="35"/>
    </w:p>
    <w:p w:rsidR="009F6E65" w:rsidRPr="008E0469" w:rsidRDefault="00D05136">
      <w:pPr>
        <w:spacing w:line="200" w:lineRule="exact"/>
      </w:pPr>
    </w:p>
    <w:p w:rsidR="00AD29A7" w:rsidRPr="008E0469" w:rsidRDefault="00D05136">
      <w:pPr>
        <w:spacing w:line="200" w:lineRule="exact"/>
      </w:pPr>
    </w:p>
    <w:p w:rsidR="009F6E65" w:rsidRPr="008E0469" w:rsidRDefault="00D05136" w:rsidP="009F6E65">
      <w:pPr>
        <w:pStyle w:val="Heading2"/>
        <w:rPr>
          <w:rFonts w:eastAsia="Arial"/>
        </w:rPr>
      </w:pPr>
      <w:bookmarkStart w:id="36" w:name="_Toc467669073"/>
      <w:bookmarkStart w:id="37" w:name="_Toc471208510"/>
      <w:r w:rsidRPr="008E0469">
        <w:t>Guidelines</w:t>
      </w:r>
      <w:bookmarkEnd w:id="36"/>
      <w:bookmarkEnd w:id="37"/>
    </w:p>
    <w:p w:rsidR="009F6E65" w:rsidRPr="008E0469" w:rsidRDefault="00D05136">
      <w:pPr>
        <w:spacing w:before="16" w:line="260" w:lineRule="exact"/>
        <w:rPr>
          <w:sz w:val="26"/>
          <w:szCs w:val="26"/>
        </w:rPr>
      </w:pPr>
    </w:p>
    <w:p w:rsidR="009F6E65" w:rsidRPr="008E0469" w:rsidRDefault="00D05136">
      <w:pPr>
        <w:ind w:left="120" w:right="71"/>
        <w:rPr>
          <w:rFonts w:eastAsia="Arial" w:cs="Arial"/>
          <w:szCs w:val="24"/>
        </w:rPr>
      </w:pPr>
      <w:r w:rsidRPr="008E0469">
        <w:t>The EBA supplies applicants for safety certification parts A and B with a guideline and supplementary notes to the guideline. The guideline has been in force since 24 August 2012. The supplementary notes have been available to applicants since 5 March 2013</w:t>
      </w:r>
      <w:r w:rsidRPr="008E0469">
        <w:t xml:space="preserve"> and 18 July 2013 respectively. In the reporting year 2015, no update was undertaken by the EBA. The guideline and notes are published on the EBA website. Link: </w:t>
      </w:r>
      <w:hyperlink r:id="rId20" w:history="1">
        <w:r w:rsidRPr="008E0469">
          <w:rPr>
            <w:rStyle w:val="Hyperlink"/>
          </w:rPr>
          <w:t>http://www.eba.bund.de/DE/HauptNavi/FahrzeugeBetrieb/EVU/SiBe/SiBe_neu/sibe_neu_node.html</w:t>
        </w:r>
      </w:hyperlink>
    </w:p>
    <w:p w:rsidR="009F6E65" w:rsidRPr="008E0469" w:rsidRDefault="00D05136">
      <w:pPr>
        <w:spacing w:before="7" w:line="240" w:lineRule="exact"/>
        <w:rPr>
          <w:szCs w:val="24"/>
        </w:rPr>
      </w:pPr>
    </w:p>
    <w:p w:rsidR="009F6E65" w:rsidRPr="008E0469" w:rsidRDefault="00D05136" w:rsidP="009F6E65">
      <w:pPr>
        <w:spacing w:before="29"/>
        <w:ind w:left="120" w:right="76"/>
        <w:rPr>
          <w:rFonts w:eastAsia="Arial" w:cs="Arial"/>
          <w:szCs w:val="24"/>
        </w:rPr>
      </w:pPr>
      <w:r w:rsidRPr="008E0469">
        <w:t>Since 23 September 2009, the ‘Guideline on the Issue of Safety Authorisations’ (version 1.0) has applied to the granting of safety authorisations. This gu</w:t>
      </w:r>
      <w:r w:rsidRPr="008E0469">
        <w:t xml:space="preserve">ideline is available on the EBA website. Link: </w:t>
      </w:r>
      <w:hyperlink r:id="rId21" w:history="1">
        <w:r w:rsidRPr="008E0469">
          <w:rPr>
            <w:rStyle w:val="Hyperlink"/>
          </w:rPr>
          <w:t>http://www.eba.bund.de/SharedDocs/Publikationen/DE/Infrastruktur/SiGe/Leitfaden%20SiGe_23.04.</w:t>
        </w:r>
        <w:r w:rsidRPr="008E0469">
          <w:rPr>
            <w:rStyle w:val="Hyperlink"/>
          </w:rPr>
          <w:t>2009.html</w:t>
        </w:r>
      </w:hyperlink>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38" w:name="_Toc467669074"/>
      <w:bookmarkStart w:id="39" w:name="_Toc471208511"/>
      <w:r w:rsidRPr="008E0469">
        <w:t>Contacts with other national safety authorities</w:t>
      </w:r>
      <w:bookmarkEnd w:id="38"/>
      <w:bookmarkEnd w:id="39"/>
    </w:p>
    <w:p w:rsidR="009F6E65" w:rsidRPr="008E0469" w:rsidRDefault="00D05136">
      <w:pPr>
        <w:spacing w:before="16" w:line="260" w:lineRule="exact"/>
        <w:rPr>
          <w:sz w:val="26"/>
          <w:szCs w:val="26"/>
        </w:rPr>
      </w:pPr>
    </w:p>
    <w:p w:rsidR="009F6E65" w:rsidRPr="008E0469" w:rsidRDefault="00D05136">
      <w:pPr>
        <w:ind w:left="120" w:right="70"/>
        <w:jc w:val="both"/>
        <w:rPr>
          <w:rFonts w:eastAsia="Arial" w:cs="Arial"/>
          <w:szCs w:val="24"/>
        </w:rPr>
      </w:pPr>
      <w:r w:rsidRPr="008E0469">
        <w:t>In 2015 there were no requests from safety authorities of other Member States for information about Part A certifications for a railway undertaking certified in Germany and applying for Part B</w:t>
      </w:r>
      <w:r w:rsidRPr="008E0469">
        <w:t xml:space="preserve"> certification in another Member State.</w:t>
      </w: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40" w:name="_Toc467669075"/>
      <w:bookmarkStart w:id="41" w:name="_Toc471208512"/>
      <w:r w:rsidRPr="008E0469">
        <w:t>Procedural aspects</w:t>
      </w:r>
      <w:bookmarkEnd w:id="40"/>
      <w:bookmarkEnd w:id="41"/>
    </w:p>
    <w:p w:rsidR="009F6E65" w:rsidRPr="008E0469" w:rsidRDefault="00D05136">
      <w:pPr>
        <w:spacing w:before="16" w:line="260" w:lineRule="exact"/>
        <w:rPr>
          <w:sz w:val="26"/>
          <w:szCs w:val="26"/>
        </w:rPr>
      </w:pPr>
    </w:p>
    <w:p w:rsidR="009F6E65" w:rsidRPr="008E0469" w:rsidRDefault="00D05136">
      <w:pPr>
        <w:ind w:left="120" w:right="71"/>
        <w:jc w:val="both"/>
        <w:rPr>
          <w:rFonts w:eastAsia="Arial" w:cs="Arial"/>
          <w:szCs w:val="24"/>
        </w:rPr>
      </w:pPr>
      <w:r w:rsidRPr="008E0469">
        <w:t>During the reporting year, no problems arose in connection with the evaluation of the safety management systems of railway undertakings for the issuance of safety certifications. As for safety a</w:t>
      </w:r>
      <w:r w:rsidRPr="008E0469">
        <w:t>uthorisations, the situation can be presented as follows: on 31 December 2015 (end of the reporting year), a total of six infrastructure managers held a safety authorisation under Section 7(c) AEG and one infrastructure manager held a provisional safety au</w:t>
      </w:r>
      <w:r w:rsidRPr="008E0469">
        <w:t>thorisation pursuant to Section 38(5)(c) AEG.</w:t>
      </w: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42" w:name="_Toc467669076"/>
      <w:bookmarkStart w:id="43" w:name="_Toc471208513"/>
      <w:r w:rsidRPr="008E0469">
        <w:t>Feedback</w:t>
      </w:r>
      <w:bookmarkEnd w:id="42"/>
      <w:bookmarkEnd w:id="43"/>
    </w:p>
    <w:p w:rsidR="009F6E65" w:rsidRPr="008E0469" w:rsidRDefault="00D05136">
      <w:pPr>
        <w:spacing w:before="16" w:line="260" w:lineRule="exact"/>
        <w:rPr>
          <w:sz w:val="26"/>
          <w:szCs w:val="26"/>
        </w:rPr>
      </w:pPr>
    </w:p>
    <w:p w:rsidR="009F6E65" w:rsidRPr="008E0469" w:rsidRDefault="00D05136">
      <w:pPr>
        <w:ind w:left="120" w:right="73"/>
        <w:jc w:val="both"/>
        <w:rPr>
          <w:rFonts w:eastAsia="Arial" w:cs="Arial"/>
          <w:szCs w:val="24"/>
        </w:rPr>
        <w:sectPr w:rsidR="009F6E65" w:rsidRPr="008E0469">
          <w:pgSz w:w="11920" w:h="16840"/>
          <w:pgMar w:top="1940" w:right="1300" w:bottom="280" w:left="1320" w:header="701" w:footer="735" w:gutter="0"/>
          <w:cols w:space="720"/>
        </w:sectPr>
      </w:pPr>
      <w:r w:rsidRPr="008E0469">
        <w:t>The general administrative procedure in Germany allows applicants the opportunity, after a decision (regarding grant, refusal, renewal, amendment or revocation of a safety certifica</w:t>
      </w:r>
      <w:r w:rsidRPr="008E0469">
        <w:t>te or authorisation), to lodge an objection or, in the further course of the proceedings, to file an action in the courts. Applicants also have the option of submitting observations at any time during the processing of their applications No such observatio</w:t>
      </w:r>
      <w:r w:rsidRPr="008E0469">
        <w:t>ns were received during 2015 either.</w:t>
      </w:r>
    </w:p>
    <w:p w:rsidR="009F6E65" w:rsidRPr="008E0469" w:rsidRDefault="00D05136" w:rsidP="009F6E65">
      <w:pPr>
        <w:pStyle w:val="Heading1"/>
        <w:rPr>
          <w:rFonts w:eastAsia="Arial"/>
        </w:rPr>
      </w:pPr>
      <w:bookmarkStart w:id="44" w:name="_Toc467669077"/>
      <w:bookmarkStart w:id="45" w:name="_Toc471208514"/>
      <w:r w:rsidRPr="008E0469">
        <w:t>Changes to statutes and regulations</w:t>
      </w:r>
      <w:bookmarkEnd w:id="44"/>
      <w:bookmarkEnd w:id="45"/>
    </w:p>
    <w:p w:rsidR="009F6E65" w:rsidRPr="008E0469" w:rsidRDefault="00D05136">
      <w:pPr>
        <w:spacing w:before="9" w:line="100" w:lineRule="exact"/>
        <w:rPr>
          <w:sz w:val="10"/>
          <w:szCs w:val="10"/>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46" w:name="_Toc467669078"/>
      <w:bookmarkStart w:id="47" w:name="_Toc471208515"/>
      <w:r w:rsidRPr="008E0469">
        <w:t>Railway Safety Directive</w:t>
      </w:r>
      <w:bookmarkEnd w:id="46"/>
      <w:bookmarkEnd w:id="47"/>
    </w:p>
    <w:p w:rsidR="009F6E65" w:rsidRPr="008E0469" w:rsidRDefault="00D05136">
      <w:pPr>
        <w:spacing w:before="16" w:line="260" w:lineRule="exact"/>
        <w:rPr>
          <w:sz w:val="26"/>
          <w:szCs w:val="26"/>
        </w:rPr>
      </w:pPr>
    </w:p>
    <w:p w:rsidR="009F6E65" w:rsidRPr="008E0469" w:rsidRDefault="00D05136">
      <w:pPr>
        <w:ind w:left="120" w:right="75"/>
        <w:jc w:val="both"/>
        <w:rPr>
          <w:rFonts w:eastAsia="Arial" w:cs="Arial"/>
          <w:szCs w:val="24"/>
        </w:rPr>
      </w:pPr>
      <w:r w:rsidRPr="008E0469">
        <w:t xml:space="preserve">Directive 2004/49/EC on safety on the Community’s railways has been implemented into national law in Germany. The relevant legal acts implementing </w:t>
      </w:r>
      <w:r w:rsidRPr="008E0469">
        <w:t>Directive 2004/49/EC were as follows:</w:t>
      </w:r>
    </w:p>
    <w:p w:rsidR="009F6E65" w:rsidRPr="008E0469" w:rsidRDefault="00D05136" w:rsidP="009F6E65">
      <w:pPr>
        <w:pStyle w:val="ListParagraph"/>
        <w:numPr>
          <w:ilvl w:val="0"/>
          <w:numId w:val="11"/>
        </w:numPr>
        <w:spacing w:before="17"/>
        <w:ind w:right="79"/>
        <w:jc w:val="both"/>
        <w:rPr>
          <w:rFonts w:eastAsia="Arial" w:cs="Arial"/>
          <w:szCs w:val="24"/>
        </w:rPr>
      </w:pPr>
      <w:r w:rsidRPr="008E0469">
        <w:t>Fifth Act Amending the Statutory Provisions Governing Railways [Fünftes Gesetz zur Änderung eisenbahnrechtlicher Vorschriften] dated 16 April 2007</w:t>
      </w:r>
    </w:p>
    <w:p w:rsidR="009F6E65" w:rsidRPr="008E0469" w:rsidRDefault="00D05136">
      <w:pPr>
        <w:spacing w:line="260" w:lineRule="exact"/>
        <w:ind w:left="547"/>
        <w:rPr>
          <w:rFonts w:eastAsia="Arial" w:cs="Arial"/>
          <w:szCs w:val="24"/>
        </w:rPr>
      </w:pPr>
      <w:r w:rsidRPr="008E0469">
        <w:t>(BGBl. I p. 522), containing:</w:t>
      </w:r>
    </w:p>
    <w:p w:rsidR="009F6E65" w:rsidRPr="008E0469" w:rsidRDefault="00D05136" w:rsidP="009F6E65">
      <w:pPr>
        <w:pStyle w:val="ListParagraph"/>
        <w:numPr>
          <w:ilvl w:val="1"/>
          <w:numId w:val="15"/>
        </w:numPr>
        <w:ind w:left="1134"/>
        <w:rPr>
          <w:rFonts w:eastAsia="Arial" w:cs="Arial"/>
          <w:szCs w:val="24"/>
        </w:rPr>
      </w:pPr>
      <w:r w:rsidRPr="008E0469">
        <w:t>Amendment to the General Railway Act (AEG</w:t>
      </w:r>
      <w:r w:rsidRPr="008E0469">
        <w:t>); and</w:t>
      </w:r>
    </w:p>
    <w:p w:rsidR="009F6E65" w:rsidRPr="008E0469" w:rsidRDefault="00D05136" w:rsidP="009F6E65">
      <w:pPr>
        <w:pStyle w:val="ListParagraph"/>
        <w:numPr>
          <w:ilvl w:val="1"/>
          <w:numId w:val="15"/>
        </w:numPr>
        <w:ind w:left="1134"/>
        <w:rPr>
          <w:rFonts w:eastAsia="Arial" w:cs="Arial"/>
          <w:szCs w:val="24"/>
        </w:rPr>
      </w:pPr>
      <w:r w:rsidRPr="008E0469">
        <w:t>Amendment to the Federal Rail Traffic Management Act (BEVVG).</w:t>
      </w:r>
    </w:p>
    <w:p w:rsidR="009F6E65" w:rsidRPr="008E0469" w:rsidRDefault="00D05136" w:rsidP="009F6E65">
      <w:pPr>
        <w:pStyle w:val="ListParagraph"/>
        <w:numPr>
          <w:ilvl w:val="0"/>
          <w:numId w:val="11"/>
        </w:numPr>
        <w:tabs>
          <w:tab w:val="left" w:pos="540"/>
        </w:tabs>
        <w:spacing w:before="21" w:line="260" w:lineRule="exact"/>
        <w:ind w:right="77"/>
        <w:rPr>
          <w:rFonts w:eastAsia="Arial" w:cs="Arial"/>
          <w:szCs w:val="24"/>
        </w:rPr>
      </w:pPr>
      <w:r w:rsidRPr="008E0469">
        <w:t>Second Regulation on the Enactment and Amendment of the Statutory Provisions Governing Railways [Zweite Verordnung zum Erlass und zur Änderung eisenbahnrechtlicher Vorschriften] dated 5 J</w:t>
      </w:r>
      <w:r w:rsidRPr="008E0469">
        <w:t>uly 2007 BGBl. I p. 1305), containing:</w:t>
      </w:r>
    </w:p>
    <w:p w:rsidR="009F6E65" w:rsidRPr="008E0469" w:rsidRDefault="00D05136" w:rsidP="009F6E65">
      <w:pPr>
        <w:pStyle w:val="ListParagraph"/>
        <w:numPr>
          <w:ilvl w:val="1"/>
          <w:numId w:val="15"/>
        </w:numPr>
        <w:ind w:left="1134"/>
        <w:rPr>
          <w:rFonts w:eastAsia="Arial" w:cs="Arial"/>
          <w:spacing w:val="1"/>
          <w:szCs w:val="24"/>
        </w:rPr>
      </w:pPr>
      <w:r w:rsidRPr="008E0469">
        <w:t>Enactment of the Trans-European Railway Interoperability Regulation (TEIV),</w:t>
      </w:r>
    </w:p>
    <w:p w:rsidR="009F6E65" w:rsidRPr="008E0469" w:rsidRDefault="00D05136" w:rsidP="009F6E65">
      <w:pPr>
        <w:pStyle w:val="ListParagraph"/>
        <w:numPr>
          <w:ilvl w:val="1"/>
          <w:numId w:val="15"/>
        </w:numPr>
        <w:ind w:left="1134"/>
        <w:rPr>
          <w:rFonts w:eastAsia="Arial" w:cs="Arial"/>
          <w:spacing w:val="1"/>
          <w:szCs w:val="24"/>
        </w:rPr>
      </w:pPr>
      <w:r w:rsidRPr="008E0469">
        <w:t xml:space="preserve"> Enactment of the Railway Safety Regulation (ESiV),</w:t>
      </w:r>
    </w:p>
    <w:p w:rsidR="009F6E65" w:rsidRPr="008E0469" w:rsidRDefault="00D05136" w:rsidP="009F6E65">
      <w:pPr>
        <w:pStyle w:val="ListParagraph"/>
        <w:numPr>
          <w:ilvl w:val="1"/>
          <w:numId w:val="15"/>
        </w:numPr>
        <w:ind w:left="1134"/>
        <w:rPr>
          <w:rFonts w:eastAsia="Arial" w:cs="Arial"/>
          <w:spacing w:val="1"/>
          <w:szCs w:val="24"/>
        </w:rPr>
      </w:pPr>
      <w:r w:rsidRPr="008E0469">
        <w:t>Enactment of the Railway Accident Investigation Regulation (EUV),</w:t>
      </w:r>
    </w:p>
    <w:p w:rsidR="009F6E65" w:rsidRPr="008E0469" w:rsidRDefault="00D05136" w:rsidP="009F6E65">
      <w:pPr>
        <w:pStyle w:val="ListParagraph"/>
        <w:numPr>
          <w:ilvl w:val="1"/>
          <w:numId w:val="15"/>
        </w:numPr>
        <w:ind w:left="1134"/>
        <w:rPr>
          <w:rFonts w:eastAsia="Arial" w:cs="Arial"/>
          <w:spacing w:val="1"/>
          <w:szCs w:val="24"/>
        </w:rPr>
      </w:pPr>
      <w:r w:rsidRPr="008E0469">
        <w:t>Amendment of the Railwa</w:t>
      </w:r>
      <w:r w:rsidRPr="008E0469">
        <w:t>y Operations Manager Regulation (EBV),</w:t>
      </w:r>
    </w:p>
    <w:p w:rsidR="009F6E65" w:rsidRPr="008E0469" w:rsidRDefault="00D05136" w:rsidP="009F6E65">
      <w:pPr>
        <w:pStyle w:val="ListParagraph"/>
        <w:numPr>
          <w:ilvl w:val="1"/>
          <w:numId w:val="15"/>
        </w:numPr>
        <w:ind w:left="1134"/>
        <w:rPr>
          <w:rFonts w:eastAsia="Arial" w:cs="Arial"/>
          <w:spacing w:val="1"/>
          <w:szCs w:val="24"/>
        </w:rPr>
      </w:pPr>
      <w:r w:rsidRPr="008E0469">
        <w:t>Amendment to the Railway Operations Manager Examination Regulation (EBPV),</w:t>
      </w:r>
    </w:p>
    <w:p w:rsidR="009F6E65" w:rsidRPr="008E0469" w:rsidRDefault="00D05136" w:rsidP="009F6E65">
      <w:pPr>
        <w:pStyle w:val="ListParagraph"/>
        <w:numPr>
          <w:ilvl w:val="1"/>
          <w:numId w:val="15"/>
        </w:numPr>
        <w:ind w:left="1134"/>
        <w:rPr>
          <w:rFonts w:eastAsia="Arial" w:cs="Arial"/>
          <w:spacing w:val="1"/>
          <w:szCs w:val="24"/>
        </w:rPr>
      </w:pPr>
      <w:r w:rsidRPr="008E0469">
        <w:t>Amendment to the Regulation on Access to the Occupation of Railway Entrepreneurs (EBZugV),</w:t>
      </w:r>
    </w:p>
    <w:p w:rsidR="009F6E65" w:rsidRPr="008E0469" w:rsidRDefault="00D05136" w:rsidP="009F6E65">
      <w:pPr>
        <w:pStyle w:val="ListParagraph"/>
        <w:numPr>
          <w:ilvl w:val="1"/>
          <w:numId w:val="15"/>
        </w:numPr>
        <w:ind w:left="1134"/>
        <w:rPr>
          <w:rFonts w:eastAsia="Arial" w:cs="Arial"/>
          <w:spacing w:val="1"/>
          <w:szCs w:val="24"/>
        </w:rPr>
      </w:pPr>
      <w:r w:rsidRPr="008E0469">
        <w:t>Amendment to the Federal Railway Charges Regulation</w:t>
      </w:r>
      <w:r w:rsidRPr="008E0469">
        <w:t xml:space="preserve"> (BEGebv).</w:t>
      </w:r>
    </w:p>
    <w:p w:rsidR="009F6E65" w:rsidRPr="008E0469" w:rsidRDefault="00D05136">
      <w:pPr>
        <w:spacing w:before="16" w:line="260" w:lineRule="exact"/>
        <w:rPr>
          <w:sz w:val="26"/>
          <w:szCs w:val="26"/>
        </w:rPr>
      </w:pPr>
    </w:p>
    <w:p w:rsidR="009F6E65" w:rsidRPr="008E0469" w:rsidRDefault="00D05136" w:rsidP="009F6E65">
      <w:pPr>
        <w:pStyle w:val="Style2"/>
      </w:pPr>
      <w:r w:rsidRPr="008E0469">
        <w:t xml:space="preserve">The same applies to the 2008, 2009 and 2014 amendments to this Directive, the implementation status of which appears in </w:t>
      </w:r>
      <w:hyperlink r:id="rId22" w:history="1">
        <w:r w:rsidRPr="008E0469">
          <w:rPr>
            <w:rStyle w:val="Hyperlink"/>
          </w:rPr>
          <w:t>Table 1 of Annex B</w:t>
        </w:r>
      </w:hyperlink>
      <w:r w:rsidRPr="008E0469">
        <w:t>.</w:t>
      </w:r>
    </w:p>
    <w:p w:rsidR="009F6E65" w:rsidRPr="008E0469" w:rsidRDefault="00D05136">
      <w:pPr>
        <w:spacing w:before="2" w:line="140" w:lineRule="exact"/>
        <w:rPr>
          <w:sz w:val="15"/>
          <w:szCs w:val="15"/>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48" w:name="_Toc467669079"/>
      <w:bookmarkStart w:id="49" w:name="_Toc471208516"/>
      <w:r w:rsidRPr="008E0469">
        <w:t>Changes to statutes and regulations</w:t>
      </w:r>
      <w:bookmarkEnd w:id="48"/>
      <w:bookmarkEnd w:id="49"/>
    </w:p>
    <w:p w:rsidR="009F6E65" w:rsidRPr="008E0469" w:rsidRDefault="00D05136">
      <w:pPr>
        <w:spacing w:before="16" w:line="260" w:lineRule="exact"/>
        <w:rPr>
          <w:sz w:val="26"/>
          <w:szCs w:val="26"/>
        </w:rPr>
      </w:pPr>
    </w:p>
    <w:p w:rsidR="009F6E65" w:rsidRPr="008E0469" w:rsidRDefault="00D05136" w:rsidP="009F6E65">
      <w:pPr>
        <w:pStyle w:val="Style2"/>
        <w:sectPr w:rsidR="009F6E65" w:rsidRPr="008E0469">
          <w:pgSz w:w="11920" w:h="16840"/>
          <w:pgMar w:top="1940" w:right="1300" w:bottom="280" w:left="1320" w:header="701" w:footer="735" w:gutter="0"/>
          <w:cols w:space="720"/>
        </w:sectPr>
      </w:pPr>
      <w:hyperlink r:id="rId23" w:history="1">
        <w:r w:rsidRPr="008E0469">
          <w:rPr>
            <w:rStyle w:val="Hyperlink"/>
            <w:spacing w:val="3"/>
          </w:rPr>
          <w:t>Table 2 of Annex B</w:t>
        </w:r>
      </w:hyperlink>
      <w:r w:rsidRPr="008E0469">
        <w:t xml:space="preserve"> contains all of the amendments to the national legal framework relating to railway safety (legal acts and administrative regulations), which were made in the reporting year 2015.</w:t>
      </w:r>
    </w:p>
    <w:p w:rsidR="009F6E65" w:rsidRPr="008E0469" w:rsidRDefault="00D05136" w:rsidP="009F6E65">
      <w:pPr>
        <w:pStyle w:val="Heading1"/>
        <w:spacing w:before="1"/>
        <w:ind w:left="120" w:right="-198"/>
        <w:jc w:val="both"/>
        <w:rPr>
          <w:rFonts w:eastAsia="Arial" w:cs="Arial"/>
        </w:rPr>
      </w:pPr>
      <w:bookmarkStart w:id="50" w:name="_Toc467669080"/>
      <w:bookmarkStart w:id="51" w:name="_Toc471208517"/>
      <w:r w:rsidRPr="008E0469">
        <w:t>The application of CSM to risk evalu</w:t>
      </w:r>
      <w:r w:rsidRPr="008E0469">
        <w:t>ation and</w:t>
      </w:r>
      <w:bookmarkEnd w:id="50"/>
      <w:r w:rsidRPr="008E0469">
        <w:t xml:space="preserve"> </w:t>
      </w:r>
      <w:r w:rsidRPr="008E0469">
        <w:noBreakHyphen/>
        <w:t>assessment</w:t>
      </w:r>
      <w:bookmarkEnd w:id="51"/>
    </w:p>
    <w:p w:rsidR="009F6E65" w:rsidRPr="008E0469" w:rsidRDefault="00D05136">
      <w:pPr>
        <w:spacing w:before="2" w:line="140" w:lineRule="exact"/>
        <w:rPr>
          <w:sz w:val="15"/>
          <w:szCs w:val="15"/>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52" w:name="_Toc467669081"/>
      <w:bookmarkStart w:id="53" w:name="_Toc471208518"/>
      <w:r w:rsidRPr="008E0469">
        <w:t>Experience of the safety authority</w:t>
      </w:r>
      <w:bookmarkEnd w:id="52"/>
      <w:bookmarkEnd w:id="53"/>
    </w:p>
    <w:p w:rsidR="009F6E65" w:rsidRPr="008E0469" w:rsidRDefault="00D05136">
      <w:pPr>
        <w:spacing w:before="16" w:line="260" w:lineRule="exact"/>
        <w:rPr>
          <w:sz w:val="26"/>
          <w:szCs w:val="26"/>
        </w:rPr>
      </w:pPr>
    </w:p>
    <w:p w:rsidR="009F6E65" w:rsidRPr="008E0469" w:rsidRDefault="00D05136">
      <w:pPr>
        <w:ind w:left="120" w:right="71"/>
        <w:jc w:val="both"/>
        <w:rPr>
          <w:rFonts w:eastAsia="Arial" w:cs="Arial"/>
          <w:szCs w:val="24"/>
        </w:rPr>
      </w:pPr>
      <w:r w:rsidRPr="008E0469">
        <w:t xml:space="preserve">Commission Regulation (EC) No 352/2009 of 24 April 2009 on the adoption of a common safety method for risk evaluation and assessment, as referred to in Article 6(3)(a) of Directive 2004/49/EC of </w:t>
      </w:r>
      <w:r w:rsidRPr="008E0469">
        <w:t xml:space="preserve">the European Parliament and of the Council, has had binding effect since 1 July 2012. This Regulation was repealed as of 21 May 2015 and replaced by Regulation (EU) No 402/2013. From the point of view of the EBA, in general uncertainties continue to arise </w:t>
      </w:r>
      <w:r w:rsidRPr="008E0469">
        <w:t>in the following areas:</w:t>
      </w:r>
    </w:p>
    <w:p w:rsidR="009F6E65" w:rsidRPr="008E0469" w:rsidRDefault="00D05136" w:rsidP="009F6E65">
      <w:pPr>
        <w:pStyle w:val="ListParagraph"/>
        <w:numPr>
          <w:ilvl w:val="0"/>
          <w:numId w:val="11"/>
        </w:numPr>
        <w:spacing w:before="17"/>
        <w:ind w:right="76"/>
        <w:jc w:val="both"/>
        <w:rPr>
          <w:rFonts w:eastAsia="Arial" w:cs="Arial"/>
          <w:szCs w:val="24"/>
        </w:rPr>
      </w:pPr>
      <w:r w:rsidRPr="008E0469">
        <w:t>interpretation of the terms ‘change’ and ‘significance’, meaning in particular assessment criteria for examining significance and relevance to safety;</w:t>
      </w:r>
    </w:p>
    <w:p w:rsidR="009F6E65" w:rsidRPr="008E0469" w:rsidRDefault="00D05136" w:rsidP="009F6E65">
      <w:pPr>
        <w:pStyle w:val="ListParagraph"/>
        <w:numPr>
          <w:ilvl w:val="0"/>
          <w:numId w:val="11"/>
        </w:numPr>
        <w:spacing w:before="17"/>
        <w:ind w:right="76"/>
        <w:jc w:val="both"/>
        <w:rPr>
          <w:rFonts w:eastAsia="Arial" w:cs="Arial"/>
          <w:szCs w:val="24"/>
        </w:rPr>
      </w:pPr>
      <w:r w:rsidRPr="008E0469">
        <w:t>requirement for a reference system, possibly an explicit one, for risks identifie</w:t>
      </w:r>
      <w:r w:rsidRPr="008E0469">
        <w:t>d in the simplified procedure.</w:t>
      </w:r>
    </w:p>
    <w:p w:rsidR="009F6E65" w:rsidRPr="008E0469" w:rsidRDefault="00D05136">
      <w:pPr>
        <w:spacing w:before="12" w:line="260" w:lineRule="exact"/>
        <w:rPr>
          <w:sz w:val="26"/>
          <w:szCs w:val="26"/>
        </w:rPr>
      </w:pPr>
    </w:p>
    <w:p w:rsidR="009F6E65" w:rsidRPr="008E0469" w:rsidRDefault="00D05136" w:rsidP="00AD29A7">
      <w:pPr>
        <w:ind w:left="120" w:right="6465"/>
        <w:jc w:val="both"/>
        <w:rPr>
          <w:rFonts w:eastAsia="Arial" w:cs="Arial"/>
          <w:szCs w:val="24"/>
        </w:rPr>
      </w:pPr>
      <w:r w:rsidRPr="008E0469">
        <w:rPr>
          <w:u w:val="single" w:color="000000"/>
        </w:rPr>
        <w:t>Infrastructure</w:t>
      </w:r>
    </w:p>
    <w:p w:rsidR="009F6E65" w:rsidRPr="008E0469" w:rsidRDefault="00D05136">
      <w:pPr>
        <w:ind w:left="120" w:right="73"/>
        <w:jc w:val="both"/>
        <w:rPr>
          <w:rFonts w:eastAsia="Arial" w:cs="Arial"/>
          <w:szCs w:val="24"/>
        </w:rPr>
      </w:pPr>
      <w:r w:rsidRPr="008E0469">
        <w:t>In 2015, the federal railways applied and continued to develop their processes for CSM risk evaluation and assessment. The infrastructure managers submitted documentation to the EBA regarding their application</w:t>
      </w:r>
      <w:r w:rsidRPr="008E0469">
        <w:t xml:space="preserve"> of the CSM process, for the purposes of the granting of authorisations in individual cases or in the context of the performance of structural works. In several cases, the CSM process</w:t>
      </w:r>
    </w:p>
    <w:p w:rsidR="009F6E65" w:rsidRPr="008E0469" w:rsidRDefault="00D05136" w:rsidP="009F6E65">
      <w:pPr>
        <w:pStyle w:val="ListParagraph"/>
        <w:numPr>
          <w:ilvl w:val="0"/>
          <w:numId w:val="11"/>
        </w:numPr>
        <w:spacing w:before="17"/>
        <w:ind w:left="851" w:right="76"/>
        <w:jc w:val="both"/>
        <w:rPr>
          <w:rFonts w:eastAsia="Arial" w:cs="Arial"/>
          <w:szCs w:val="24"/>
        </w:rPr>
      </w:pPr>
      <w:r w:rsidRPr="008E0469">
        <w:t xml:space="preserve">was not applied on the basis of the exemption under Article 2(4) of the </w:t>
      </w:r>
      <w:r w:rsidRPr="008E0469">
        <w:t xml:space="preserve">CSM Regulation (one case) or </w:t>
      </w:r>
    </w:p>
    <w:p w:rsidR="009F6E65" w:rsidRPr="008E0469" w:rsidRDefault="00D05136" w:rsidP="009F6E65">
      <w:pPr>
        <w:pStyle w:val="ListParagraph"/>
        <w:numPr>
          <w:ilvl w:val="0"/>
          <w:numId w:val="11"/>
        </w:numPr>
        <w:spacing w:before="17"/>
        <w:ind w:left="851" w:right="76"/>
        <w:jc w:val="both"/>
        <w:rPr>
          <w:rFonts w:eastAsia="Arial" w:cs="Arial"/>
          <w:szCs w:val="24"/>
        </w:rPr>
      </w:pPr>
      <w:r w:rsidRPr="008E0469">
        <w:t>was applied, specifically with the outcome that the change in question was one that was safety-related but not significant (inter alia 14 cases in the field of earthworks and tunnel building as well as fire and disaster preven</w:t>
      </w:r>
      <w:r w:rsidRPr="008E0469">
        <w:t>tion).</w:t>
      </w:r>
    </w:p>
    <w:p w:rsidR="009F6E65" w:rsidRPr="008E0469" w:rsidRDefault="00D05136">
      <w:pPr>
        <w:spacing w:line="260" w:lineRule="exact"/>
        <w:ind w:left="120" w:right="70"/>
        <w:jc w:val="both"/>
        <w:rPr>
          <w:rFonts w:eastAsia="Arial" w:cs="Arial"/>
          <w:szCs w:val="24"/>
        </w:rPr>
      </w:pPr>
      <w:r w:rsidRPr="008E0469">
        <w:t>Thus, in almost all cases of which the EBA has become aware in the infrastructure field, the CSM process ended with a finding that they were not significant. Only one comprehensive risk management procedure has been carried out and completed in conn</w:t>
      </w:r>
      <w:r w:rsidRPr="008E0469">
        <w:t>ection with the verification process for a slab track system for a new stretch of railway in the context of an authorisation for placing in service. A full review of all significance checks of the federal railways is not carried out, as a notification or s</w:t>
      </w:r>
      <w:r w:rsidRPr="008E0469">
        <w:t>ubmission obligation does not exist in all cases. As part of its supervision, the EBA monitors the application of the CSM risk assessment and evaluation by random sampling, including significance checks carried out.</w:t>
      </w:r>
    </w:p>
    <w:p w:rsidR="009F6E65" w:rsidRPr="008E0469" w:rsidRDefault="00D05136">
      <w:pPr>
        <w:spacing w:before="2" w:line="240" w:lineRule="exact"/>
        <w:rPr>
          <w:szCs w:val="24"/>
        </w:rPr>
      </w:pPr>
    </w:p>
    <w:p w:rsidR="009F6E65" w:rsidRPr="008E0469" w:rsidRDefault="00D05136" w:rsidP="00AD29A7">
      <w:pPr>
        <w:spacing w:before="29"/>
        <w:ind w:left="120" w:right="7173"/>
        <w:jc w:val="both"/>
        <w:rPr>
          <w:rFonts w:eastAsia="Arial" w:cs="Arial"/>
          <w:szCs w:val="24"/>
        </w:rPr>
      </w:pPr>
      <w:r w:rsidRPr="008E0469">
        <w:rPr>
          <w:spacing w:val="1"/>
          <w:u w:val="single" w:color="000000"/>
        </w:rPr>
        <w:t>Operations</w:t>
      </w:r>
    </w:p>
    <w:p w:rsidR="009F6E65" w:rsidRPr="008E0469" w:rsidRDefault="00D05136" w:rsidP="009F6E65">
      <w:pPr>
        <w:ind w:left="120" w:right="73"/>
        <w:jc w:val="both"/>
        <w:rPr>
          <w:rFonts w:eastAsia="Arial" w:cs="Arial"/>
          <w:szCs w:val="24"/>
        </w:rPr>
      </w:pPr>
      <w:r w:rsidRPr="008E0469">
        <w:t>It must be noted generally t</w:t>
      </w:r>
      <w:r w:rsidRPr="008E0469">
        <w:t>hat the criteria of ‘significance’ and ‘safety relevance,’ which are not specified more precisely in the CSM risk evaluation, leave the undertakings considerable leeway in their handling of the process. For the many smaller undertakings, in particular, the</w:t>
      </w:r>
      <w:r w:rsidRPr="008E0469">
        <w:t xml:space="preserve"> availability of resources for applying this method poses a challenge. In the 2015 reporting period, although technical, organisational or operational changes were identified by some undertakings, as far as the assessment of the significance was concerned,</w:t>
      </w:r>
      <w:r w:rsidRPr="008E0469">
        <w:t xml:space="preserve"> that majority were not classified as significant. Furthermore, a number of reports give rise to the supposition that the difference between CSM ‘risk assessment’ and CSM ‘monitoring’ (EU Regulation 1078/2012) has not yet been assimilated.</w:t>
      </w:r>
    </w:p>
    <w:p w:rsidR="009F6E65" w:rsidRPr="008E0469" w:rsidRDefault="00D05136">
      <w:pPr>
        <w:spacing w:before="16" w:line="260" w:lineRule="exact"/>
        <w:rPr>
          <w:sz w:val="26"/>
          <w:szCs w:val="26"/>
        </w:rPr>
      </w:pPr>
    </w:p>
    <w:p w:rsidR="009F6E65" w:rsidRPr="008E0469" w:rsidRDefault="00D05136" w:rsidP="00AD29A7">
      <w:pPr>
        <w:tabs>
          <w:tab w:val="left" w:pos="1276"/>
        </w:tabs>
        <w:ind w:left="119"/>
        <w:jc w:val="both"/>
        <w:rPr>
          <w:rFonts w:eastAsia="Arial" w:cs="Arial"/>
          <w:szCs w:val="24"/>
        </w:rPr>
      </w:pPr>
      <w:r w:rsidRPr="008E0469">
        <w:rPr>
          <w:u w:val="single" w:color="000000"/>
        </w:rPr>
        <w:t>Rolling stock</w:t>
      </w:r>
    </w:p>
    <w:p w:rsidR="009F6E65" w:rsidRPr="008E0469" w:rsidRDefault="00D05136">
      <w:pPr>
        <w:ind w:left="120" w:right="76"/>
        <w:jc w:val="both"/>
        <w:rPr>
          <w:rFonts w:eastAsia="Arial" w:cs="Arial"/>
          <w:szCs w:val="24"/>
        </w:rPr>
      </w:pPr>
      <w:r w:rsidRPr="008E0469">
        <w:t>A</w:t>
      </w:r>
      <w:r w:rsidRPr="008E0469">
        <w:t>pplications of the CSM ‘risk assessment’ that have come to light in the context of supervision measures in the rolling stock field have in individual cases shown up uncertainties as to the correct approach to be adopted. A number of providers have not been</w:t>
      </w:r>
      <w:r w:rsidRPr="008E0469">
        <w:t xml:space="preserve"> able to underpin the fundamental duty to apply this by way of corresponding processes.</w:t>
      </w:r>
    </w:p>
    <w:p w:rsidR="009F6E65" w:rsidRPr="008E0469" w:rsidRDefault="00D05136">
      <w:pPr>
        <w:spacing w:before="16" w:line="260" w:lineRule="exact"/>
        <w:rPr>
          <w:sz w:val="26"/>
          <w:szCs w:val="26"/>
        </w:rPr>
      </w:pPr>
    </w:p>
    <w:p w:rsidR="009F6E65" w:rsidRPr="008E0469" w:rsidRDefault="00D05136">
      <w:pPr>
        <w:ind w:left="120" w:right="72"/>
        <w:jc w:val="both"/>
        <w:rPr>
          <w:rFonts w:eastAsia="Arial" w:cs="Arial"/>
          <w:szCs w:val="24"/>
        </w:rPr>
      </w:pPr>
      <w:r w:rsidRPr="008E0469">
        <w:t xml:space="preserve">In respect of vehicle licensing, the Rolling Stock Safety Regulations (SIRF) were added to the Administrative Regulation on Authorisation for Placing Railway Rolling </w:t>
      </w:r>
      <w:r w:rsidRPr="008E0469">
        <w:t>Stock in Service (VV IBG) and the Manual on CSM Risk Evaluation and Assessment in 2011 and were updated in 2012. Annexes to the VV IBG were also drawn up; these annexes may serve as a template for the safety assessment report in accordance with the CSM. Th</w:t>
      </w:r>
      <w:r w:rsidRPr="008E0469">
        <w:t xml:space="preserve">e procedure outlined therein is used for authorisations to place new vehicles in service and for notifications/authorisations for placing in service of modifications to existing vehicles. In addition to the use of the risk assessment when placing vehicles </w:t>
      </w:r>
      <w:r w:rsidRPr="008E0469">
        <w:t>into service (IBG) within the framework of the VV IBG, the ‘Sector Agreement MoU on Vehicle Licensing’ of mid-2013 also stipulates the use of the CSM risk assessment when licensing vehicles. As a rule, the documents envisaged in the "MoU on Vehicle Licensi</w:t>
      </w:r>
      <w:r w:rsidRPr="008E0469">
        <w:t>ng" are submitted (result of safety assessment report and related declaration): for all significant changes, a risk management procedure must be applied and a declaration must be given that the result of the safety assessment report confirms that the relev</w:t>
      </w:r>
      <w:r w:rsidRPr="008E0469">
        <w:t>ant risks have been identified by all suitable methods and the implemented measures for verification sufficiently cover all risks arising from the significant change. Where Regulation (EU) No 402/2013 is applied, this is done in the proposer’s written decl</w:t>
      </w:r>
      <w:r w:rsidRPr="008E0469">
        <w:t>aration under Article 16 of that Regulation.</w:t>
      </w:r>
    </w:p>
    <w:p w:rsidR="009F6E65" w:rsidRPr="008E0469" w:rsidRDefault="00D05136">
      <w:pPr>
        <w:spacing w:before="2" w:line="140" w:lineRule="exact"/>
        <w:rPr>
          <w:sz w:val="15"/>
          <w:szCs w:val="15"/>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Heading2"/>
        <w:rPr>
          <w:rFonts w:eastAsia="Arial"/>
        </w:rPr>
      </w:pPr>
      <w:bookmarkStart w:id="54" w:name="_Toc467669082"/>
      <w:bookmarkStart w:id="55" w:name="_Toc471208519"/>
      <w:r w:rsidRPr="008E0469">
        <w:t>Feedback from providers</w:t>
      </w:r>
      <w:bookmarkEnd w:id="54"/>
      <w:bookmarkEnd w:id="55"/>
    </w:p>
    <w:p w:rsidR="009F6E65" w:rsidRPr="008E0469" w:rsidRDefault="00D05136">
      <w:pPr>
        <w:spacing w:before="16" w:line="260" w:lineRule="exact"/>
        <w:rPr>
          <w:sz w:val="26"/>
          <w:szCs w:val="26"/>
        </w:rPr>
      </w:pPr>
    </w:p>
    <w:p w:rsidR="009F6E65" w:rsidRPr="008E0469" w:rsidRDefault="00D05136" w:rsidP="009F6E65">
      <w:pPr>
        <w:ind w:left="120" w:right="71"/>
        <w:jc w:val="both"/>
        <w:rPr>
          <w:sz w:val="16"/>
          <w:szCs w:val="16"/>
        </w:rPr>
      </w:pPr>
      <w:r w:rsidRPr="008E0469">
        <w:t>No formal feedback procedure has been introduced (e.g. use of questionnaires). The undertakings concerned have not forwarded directly to the EBA any experiences regarding the applicat</w:t>
      </w:r>
      <w:r w:rsidRPr="008E0469">
        <w:t>ion of CSM to evaluate and assess risks. Differing assessments are given in the undertakings’ safety reports. Some undertakings consider that the CSM ‘risk assessment’ is helpful, others criticise the rules for being unnecessary and formalistic. In some ca</w:t>
      </w:r>
      <w:r w:rsidRPr="008E0469">
        <w:t xml:space="preserve">ses, the significant amount of work necessitated is cited. </w:t>
      </w:r>
    </w:p>
    <w:p w:rsidR="009F6E65" w:rsidRPr="008E0469" w:rsidRDefault="00D05136" w:rsidP="00AD29A7">
      <w:pPr>
        <w:pStyle w:val="Heading2"/>
        <w:pageBreakBefore/>
        <w:rPr>
          <w:rFonts w:eastAsia="Arial"/>
        </w:rPr>
      </w:pPr>
      <w:bookmarkStart w:id="56" w:name="_Toc467669083"/>
      <w:bookmarkStart w:id="57" w:name="_Toc471208520"/>
      <w:r w:rsidRPr="008E0469">
        <w:t>Revision of national safety regulations to take account of the Commission Regulation on CSM for risk evaluation and assessment</w:t>
      </w:r>
      <w:bookmarkEnd w:id="56"/>
      <w:bookmarkEnd w:id="57"/>
    </w:p>
    <w:p w:rsidR="009F6E65" w:rsidRPr="008E0469" w:rsidRDefault="00D05136" w:rsidP="009F6E65">
      <w:pPr>
        <w:keepNext/>
        <w:spacing w:before="16" w:line="260" w:lineRule="exact"/>
        <w:rPr>
          <w:sz w:val="26"/>
          <w:szCs w:val="26"/>
        </w:rPr>
      </w:pPr>
    </w:p>
    <w:p w:rsidR="009F6E65" w:rsidRPr="008E0469" w:rsidRDefault="00D05136" w:rsidP="009F6E65">
      <w:pPr>
        <w:keepNext/>
        <w:ind w:left="120" w:right="73"/>
        <w:jc w:val="both"/>
        <w:rPr>
          <w:rFonts w:eastAsia="Arial" w:cs="Arial"/>
          <w:szCs w:val="24"/>
        </w:rPr>
        <w:sectPr w:rsidR="009F6E65" w:rsidRPr="008E0469">
          <w:pgSz w:w="11920" w:h="16840"/>
          <w:pgMar w:top="1940" w:right="1300" w:bottom="280" w:left="1320" w:header="701" w:footer="735" w:gutter="0"/>
          <w:cols w:space="720"/>
        </w:sectPr>
      </w:pPr>
      <w:r w:rsidRPr="008E0469">
        <w:t>No special national safety regulations to take acco</w:t>
      </w:r>
      <w:r w:rsidRPr="008E0469">
        <w:t>unt of the Commission Regulation on CSM for risk evaluation and assessment have been enacted in Germany. This was not necessary.</w:t>
      </w:r>
      <w:r w:rsidRPr="008E0469">
        <w:t xml:space="preserve"> </w:t>
      </w:r>
      <w:r w:rsidRPr="008E0469">
        <w:t>Instead, the current EU Regulation is being directly applied.</w:t>
      </w:r>
    </w:p>
    <w:p w:rsidR="009F6E65" w:rsidRPr="008E0469" w:rsidRDefault="00D05136">
      <w:pPr>
        <w:spacing w:line="140" w:lineRule="exact"/>
        <w:rPr>
          <w:sz w:val="15"/>
          <w:szCs w:val="15"/>
        </w:rPr>
      </w:pPr>
    </w:p>
    <w:p w:rsidR="009F6E65" w:rsidRPr="008E0469" w:rsidRDefault="00D05136" w:rsidP="009F6E65">
      <w:pPr>
        <w:pStyle w:val="Heading1"/>
        <w:rPr>
          <w:rFonts w:eastAsia="Arial"/>
        </w:rPr>
      </w:pPr>
      <w:bookmarkStart w:id="58" w:name="_Toc467669084"/>
      <w:bookmarkStart w:id="59" w:name="_Toc471208521"/>
      <w:r w:rsidRPr="008E0469">
        <w:t>Application of CSM monitoring</w:t>
      </w:r>
      <w:bookmarkEnd w:id="58"/>
      <w:bookmarkEnd w:id="59"/>
    </w:p>
    <w:p w:rsidR="009F6E65" w:rsidRPr="008E0469" w:rsidRDefault="00D05136">
      <w:pPr>
        <w:spacing w:before="4" w:line="140" w:lineRule="exact"/>
        <w:rPr>
          <w:sz w:val="15"/>
          <w:szCs w:val="15"/>
        </w:rPr>
      </w:pPr>
    </w:p>
    <w:p w:rsidR="009F6E65" w:rsidRPr="008E0469" w:rsidRDefault="00D05136">
      <w:pPr>
        <w:spacing w:line="200" w:lineRule="exact"/>
      </w:pPr>
    </w:p>
    <w:p w:rsidR="009F6E65" w:rsidRPr="008E0469" w:rsidRDefault="00D05136">
      <w:pPr>
        <w:ind w:left="100" w:right="75"/>
        <w:jc w:val="both"/>
        <w:rPr>
          <w:rFonts w:eastAsia="Arial" w:cs="Arial"/>
          <w:szCs w:val="24"/>
        </w:rPr>
      </w:pPr>
      <w:r w:rsidRPr="008E0469">
        <w:t xml:space="preserve">Regulation (EU) No 1078/2012 of </w:t>
      </w:r>
      <w:r w:rsidRPr="008E0469">
        <w:t>16 November 2012 on a common safety method for monitoring to be applied by railway undertakings, infrastructure managers after receiving a safety certificate or safety authorisation and by entities in charge of maintenance (‘CSM Monitoring’) entered into f</w:t>
      </w:r>
      <w:r w:rsidRPr="008E0469">
        <w:t>orce on 7 June 2013. The Regulation describes the requirements for the internal monitoring of the safety management system by the undertakings themselves.</w:t>
      </w:r>
    </w:p>
    <w:p w:rsidR="009F6E65" w:rsidRPr="008E0469" w:rsidRDefault="00D05136">
      <w:pPr>
        <w:spacing w:before="16" w:line="260" w:lineRule="exact"/>
        <w:rPr>
          <w:sz w:val="26"/>
          <w:szCs w:val="26"/>
        </w:rPr>
      </w:pPr>
    </w:p>
    <w:p w:rsidR="009F6E65" w:rsidRPr="008E0469" w:rsidRDefault="00D05136" w:rsidP="00AD29A7">
      <w:pPr>
        <w:ind w:left="102"/>
        <w:jc w:val="both"/>
        <w:rPr>
          <w:rFonts w:eastAsia="Arial" w:cs="Arial"/>
          <w:szCs w:val="24"/>
        </w:rPr>
      </w:pPr>
      <w:r w:rsidRPr="008E0469">
        <w:rPr>
          <w:u w:val="single" w:color="000000"/>
        </w:rPr>
        <w:t>Infrastructure</w:t>
      </w:r>
    </w:p>
    <w:p w:rsidR="009F6E65" w:rsidRPr="008E0469" w:rsidRDefault="00D05136">
      <w:pPr>
        <w:ind w:left="100" w:right="76"/>
        <w:jc w:val="both"/>
        <w:rPr>
          <w:rFonts w:eastAsia="Arial" w:cs="Arial"/>
          <w:szCs w:val="24"/>
        </w:rPr>
      </w:pPr>
      <w:r w:rsidRPr="008E0469">
        <w:t xml:space="preserve">The EBA monitors the establishment and effectiveness of internal monitoring </w:t>
      </w:r>
      <w:r w:rsidRPr="008E0469">
        <w:t>procedures which are generally a component of the SMS by, on the basis of random sampling,</w:t>
      </w:r>
    </w:p>
    <w:p w:rsidR="009F6E65" w:rsidRPr="008E0469" w:rsidRDefault="00D05136" w:rsidP="009F6E65">
      <w:pPr>
        <w:pStyle w:val="ListParagraph"/>
        <w:numPr>
          <w:ilvl w:val="0"/>
          <w:numId w:val="16"/>
        </w:numPr>
        <w:tabs>
          <w:tab w:val="left" w:pos="820"/>
        </w:tabs>
        <w:spacing w:before="18"/>
        <w:ind w:right="73"/>
        <w:jc w:val="both"/>
        <w:rPr>
          <w:rFonts w:eastAsia="Arial" w:cs="Arial"/>
          <w:szCs w:val="24"/>
        </w:rPr>
      </w:pPr>
      <w:r w:rsidRPr="008E0469">
        <w:t xml:space="preserve">comparing the results of internal audits which the railway operations managers (EBL) carry out with the findings from the supervision activities of the EBA pursuant </w:t>
      </w:r>
      <w:r w:rsidRPr="008E0469">
        <w:t>to Regulation (EU) No 1077/2012;</w:t>
      </w:r>
    </w:p>
    <w:p w:rsidR="009F6E65" w:rsidRPr="008E0469" w:rsidRDefault="00D05136" w:rsidP="009F6E65">
      <w:pPr>
        <w:pStyle w:val="ListParagraph"/>
        <w:numPr>
          <w:ilvl w:val="0"/>
          <w:numId w:val="16"/>
        </w:numPr>
        <w:tabs>
          <w:tab w:val="left" w:pos="820"/>
        </w:tabs>
        <w:spacing w:before="21" w:line="260" w:lineRule="exact"/>
        <w:ind w:right="73"/>
        <w:jc w:val="both"/>
        <w:rPr>
          <w:rFonts w:eastAsia="Arial" w:cs="Arial"/>
          <w:szCs w:val="24"/>
        </w:rPr>
      </w:pPr>
      <w:r w:rsidRPr="008E0469">
        <w:t>participating in the EBLs’ audits at the bodies performing the maintenance.</w:t>
      </w:r>
    </w:p>
    <w:p w:rsidR="009F6E65" w:rsidRPr="008E0469" w:rsidRDefault="00D05136">
      <w:pPr>
        <w:spacing w:line="260" w:lineRule="exact"/>
        <w:ind w:left="100" w:right="69"/>
        <w:rPr>
          <w:rFonts w:eastAsia="Arial" w:cs="Arial"/>
          <w:szCs w:val="24"/>
        </w:rPr>
      </w:pPr>
      <w:r w:rsidRPr="008E0469">
        <w:t>In this context, it has to date been possible to conclude that the findings of the EBA in principle correspond to those of the EBLs. Accordingly, t</w:t>
      </w:r>
      <w:r w:rsidRPr="008E0469">
        <w:t>here are no negative findings as regards the manner of functioning of the monitoring procedures of the EIUs. An undertaking has adopted further measures implementing Regulation (EU) 1078/2012 for example by introducing managerial supervision following a su</w:t>
      </w:r>
      <w:r w:rsidRPr="008E0469">
        <w:t>pervision procedure.</w:t>
      </w:r>
    </w:p>
    <w:p w:rsidR="009F6E65" w:rsidRPr="008E0469" w:rsidRDefault="00D05136">
      <w:pPr>
        <w:spacing w:line="260" w:lineRule="exact"/>
        <w:ind w:left="100" w:right="71"/>
        <w:jc w:val="both"/>
        <w:rPr>
          <w:rFonts w:eastAsia="Arial" w:cs="Arial"/>
          <w:szCs w:val="24"/>
        </w:rPr>
      </w:pPr>
      <w:r w:rsidRPr="008E0469">
        <w:t xml:space="preserve">As the internal monitoring procedure generally forms part of the SMS, a check also takes place on the basis of the criteria set out in Regulation (EU) No 1169/2011 in the context of the granting of the safety authorisation pursuant to </w:t>
      </w:r>
      <w:r w:rsidRPr="008E0469">
        <w:t>Section 7(c) AEG. The implementation of the Regulation was indeed also a particular point focussed on in the context of the first grant of a safety authorisation in 2015. Where deficits are identified, the EBA addresses these to the undertaking concerned i</w:t>
      </w:r>
      <w:r w:rsidRPr="008E0469">
        <w:t>n the context of the authorisation procedure. However, a complete substantive review of all processes does not take place, since the examination is generally limited to the existence of processes and, in certain cases, fundamental plausibility. Reasons for</w:t>
      </w:r>
      <w:r w:rsidRPr="008E0469">
        <w:t xml:space="preserve"> the configuration of the SMS that are internal to the undertaking are not generally the subject of the authorisation procedures of public authorities.</w:t>
      </w:r>
    </w:p>
    <w:p w:rsidR="009F6E65" w:rsidRPr="008E0469" w:rsidRDefault="00D05136">
      <w:pPr>
        <w:spacing w:before="2" w:line="240" w:lineRule="exact"/>
        <w:rPr>
          <w:szCs w:val="24"/>
        </w:rPr>
      </w:pPr>
    </w:p>
    <w:p w:rsidR="009F6E65" w:rsidRPr="008E0469" w:rsidRDefault="00D05136" w:rsidP="00AD29A7">
      <w:pPr>
        <w:spacing w:before="29"/>
        <w:ind w:left="102"/>
        <w:jc w:val="both"/>
        <w:rPr>
          <w:rFonts w:eastAsia="Arial" w:cs="Arial"/>
          <w:szCs w:val="24"/>
        </w:rPr>
      </w:pPr>
      <w:r w:rsidRPr="008E0469">
        <w:rPr>
          <w:u w:val="single" w:color="000000"/>
        </w:rPr>
        <w:t>Rolling stock / Operations</w:t>
      </w:r>
    </w:p>
    <w:p w:rsidR="009F6E65" w:rsidRPr="008E0469" w:rsidRDefault="00D05136">
      <w:pPr>
        <w:ind w:left="100" w:right="75"/>
        <w:jc w:val="both"/>
        <w:rPr>
          <w:rFonts w:eastAsia="Arial" w:cs="Arial"/>
          <w:szCs w:val="24"/>
        </w:rPr>
        <w:sectPr w:rsidR="009F6E65" w:rsidRPr="008E0469">
          <w:pgSz w:w="11920" w:h="16840"/>
          <w:pgMar w:top="1940" w:right="1300" w:bottom="280" w:left="1340" w:header="701" w:footer="735" w:gutter="0"/>
          <w:cols w:space="720"/>
        </w:sectPr>
      </w:pPr>
      <w:r w:rsidRPr="008E0469">
        <w:t>As has already been stated in Chapter G, there are indicati</w:t>
      </w:r>
      <w:r w:rsidRPr="008E0469">
        <w:t>ons that the difference between CSM ‘risk assessment’ and CSM monitoring has not yet been completely assimilated. As perceived in the undertakings, CSM monitoring appears to be very abstract. Its functional relationship with the undertakings’ safety manage</w:t>
      </w:r>
      <w:r w:rsidRPr="008E0469">
        <w:t>ment system throws up a number of difficulties in terms of practical handling with regard to the improvement and review of one’s own organisation. Therefore, efforts geared towards better interconnecting the CSM monitoring with the criteria required of saf</w:t>
      </w:r>
      <w:r w:rsidRPr="008E0469">
        <w:t>ety management systems or rethinking the parallel nature of the Regulations are to be recommended.</w:t>
      </w:r>
    </w:p>
    <w:p w:rsidR="009F6E65" w:rsidRPr="008E0469" w:rsidRDefault="00D05136">
      <w:pPr>
        <w:spacing w:line="140" w:lineRule="exact"/>
        <w:rPr>
          <w:sz w:val="15"/>
          <w:szCs w:val="15"/>
        </w:rPr>
      </w:pPr>
    </w:p>
    <w:p w:rsidR="009F6E65" w:rsidRPr="008E0469" w:rsidRDefault="00D05136" w:rsidP="009F6E65">
      <w:pPr>
        <w:pStyle w:val="Heading1"/>
        <w:rPr>
          <w:rFonts w:eastAsia="Arial"/>
        </w:rPr>
      </w:pPr>
      <w:bookmarkStart w:id="60" w:name="_Toc467669085"/>
      <w:bookmarkStart w:id="61" w:name="_Toc471208522"/>
      <w:r w:rsidRPr="008E0469">
        <w:t>Exceptions to the ECM certification system</w:t>
      </w:r>
      <w:bookmarkEnd w:id="60"/>
      <w:bookmarkEnd w:id="61"/>
    </w:p>
    <w:p w:rsidR="009F6E65" w:rsidRPr="008E0469" w:rsidRDefault="00D05136">
      <w:pPr>
        <w:spacing w:before="4" w:line="140" w:lineRule="exact"/>
        <w:rPr>
          <w:sz w:val="15"/>
          <w:szCs w:val="15"/>
        </w:rPr>
      </w:pPr>
    </w:p>
    <w:p w:rsidR="009F6E65" w:rsidRPr="008E0469" w:rsidRDefault="00D05136">
      <w:pPr>
        <w:spacing w:line="200" w:lineRule="exact"/>
      </w:pPr>
    </w:p>
    <w:p w:rsidR="009F6E65" w:rsidRPr="008E0469" w:rsidRDefault="00D05136">
      <w:pPr>
        <w:spacing w:line="200" w:lineRule="exact"/>
      </w:pPr>
    </w:p>
    <w:p w:rsidR="009F6E65" w:rsidRPr="008E0469" w:rsidRDefault="00D05136">
      <w:pPr>
        <w:ind w:left="100" w:right="74"/>
        <w:jc w:val="both"/>
        <w:rPr>
          <w:rFonts w:eastAsia="Arial" w:cs="Arial"/>
          <w:szCs w:val="24"/>
        </w:rPr>
        <w:sectPr w:rsidR="009F6E65" w:rsidRPr="008E0469">
          <w:pgSz w:w="11920" w:h="16840"/>
          <w:pgMar w:top="1940" w:right="1300" w:bottom="280" w:left="1340" w:header="701" w:footer="735" w:gutter="0"/>
          <w:cols w:space="720"/>
        </w:sectPr>
      </w:pPr>
      <w:r w:rsidRPr="008E0469">
        <w:t xml:space="preserve">In the 2015 reporting year, the EBA has issued no exceptions pursuant to Article 14(a)(8) of </w:t>
      </w:r>
      <w:r w:rsidRPr="008E0469">
        <w:t>Directive 2004/49/EC regarding the method for certifying the entity in charge of maintenance (ECM). Therefore, nor was there any need to lay down alternative measures.</w:t>
      </w:r>
    </w:p>
    <w:p w:rsidR="009F6E65" w:rsidRPr="008E0469" w:rsidRDefault="00D05136">
      <w:pPr>
        <w:spacing w:before="8" w:line="140" w:lineRule="exact"/>
        <w:rPr>
          <w:sz w:val="15"/>
          <w:szCs w:val="15"/>
        </w:rPr>
      </w:pPr>
    </w:p>
    <w:p w:rsidR="009F6E65" w:rsidRPr="008E0469" w:rsidRDefault="00D05136" w:rsidP="009F6E65">
      <w:pPr>
        <w:pStyle w:val="AnhangToc"/>
      </w:pPr>
      <w:bookmarkStart w:id="62" w:name="AnhangA"/>
      <w:bookmarkStart w:id="63" w:name="_Toc467669086"/>
      <w:bookmarkStart w:id="64" w:name="_Toc471208523"/>
      <w:bookmarkEnd w:id="62"/>
      <w:r w:rsidRPr="008E0469">
        <w:t>ANNEX A: Common Safety Indicators</w:t>
      </w:r>
      <w:bookmarkEnd w:id="63"/>
      <w:bookmarkEnd w:id="64"/>
    </w:p>
    <w:p w:rsidR="009F6E65" w:rsidRPr="008E0469" w:rsidRDefault="00D05136">
      <w:pPr>
        <w:spacing w:line="200" w:lineRule="exact"/>
      </w:pPr>
    </w:p>
    <w:p w:rsidR="009F6E65" w:rsidRPr="008E0469" w:rsidRDefault="00D05136">
      <w:pPr>
        <w:spacing w:line="200" w:lineRule="exact"/>
      </w:pPr>
    </w:p>
    <w:p w:rsidR="009F6E65" w:rsidRPr="008E0469" w:rsidRDefault="00D05136">
      <w:pPr>
        <w:spacing w:before="4" w:line="220" w:lineRule="exact"/>
        <w:rPr>
          <w:sz w:val="22"/>
          <w:szCs w:val="22"/>
        </w:rPr>
      </w:pPr>
    </w:p>
    <w:p w:rsidR="009F6E65" w:rsidRPr="008E0469" w:rsidRDefault="00D05136">
      <w:pPr>
        <w:ind w:left="141"/>
        <w:rPr>
          <w:rFonts w:eastAsia="Arial" w:cs="Arial"/>
          <w:sz w:val="19"/>
          <w:szCs w:val="19"/>
        </w:rPr>
      </w:pPr>
      <w:r w:rsidRPr="008E0469">
        <w:rPr>
          <w:b/>
          <w:spacing w:val="3"/>
          <w:sz w:val="19"/>
        </w:rPr>
        <w:t>Safety indicators in accordance with Annex I to th</w:t>
      </w:r>
      <w:r w:rsidRPr="008E0469">
        <w:rPr>
          <w:b/>
          <w:spacing w:val="3"/>
          <w:sz w:val="19"/>
        </w:rPr>
        <w:t>e Railway Safety Directive (Directive 2004/49/EC)</w:t>
      </w:r>
    </w:p>
    <w:p w:rsidR="009F6E65" w:rsidRPr="008E0469" w:rsidRDefault="00D05136">
      <w:pPr>
        <w:spacing w:before="3" w:line="200" w:lineRule="exact"/>
      </w:pPr>
    </w:p>
    <w:p w:rsidR="009F6E65" w:rsidRPr="008E0469" w:rsidRDefault="00D05136" w:rsidP="009F6E65">
      <w:pPr>
        <w:pStyle w:val="ListParagraph"/>
        <w:numPr>
          <w:ilvl w:val="0"/>
          <w:numId w:val="21"/>
        </w:numPr>
        <w:spacing w:line="180" w:lineRule="exact"/>
        <w:rPr>
          <w:rFonts w:eastAsia="Arial" w:cs="Arial"/>
          <w:sz w:val="16"/>
          <w:szCs w:val="16"/>
        </w:rPr>
      </w:pPr>
      <w:r w:rsidRPr="008E0469">
        <w:rPr>
          <w:b/>
          <w:spacing w:val="5"/>
          <w:sz w:val="16"/>
        </w:rPr>
        <w:t>Indicators relating to accidents</w:t>
      </w:r>
    </w:p>
    <w:p w:rsidR="009F6E65" w:rsidRPr="008E0469" w:rsidRDefault="00D05136">
      <w:pPr>
        <w:spacing w:before="2" w:line="160" w:lineRule="exact"/>
        <w:rPr>
          <w:sz w:val="16"/>
          <w:szCs w:val="16"/>
        </w:rPr>
      </w:pPr>
    </w:p>
    <w:p w:rsidR="009F6E65" w:rsidRPr="008E0469" w:rsidRDefault="00D05136" w:rsidP="009F6E65">
      <w:pPr>
        <w:pStyle w:val="ListParagraph"/>
        <w:numPr>
          <w:ilvl w:val="0"/>
          <w:numId w:val="18"/>
        </w:numPr>
        <w:ind w:left="352" w:firstLine="0"/>
        <w:rPr>
          <w:rFonts w:eastAsia="Arial" w:cs="Arial"/>
          <w:b/>
          <w:spacing w:val="2"/>
          <w:sz w:val="13"/>
          <w:szCs w:val="13"/>
        </w:rPr>
      </w:pPr>
      <w:r w:rsidRPr="008E0469">
        <w:rPr>
          <w:b/>
          <w:spacing w:val="2"/>
          <w:sz w:val="13"/>
        </w:rPr>
        <w:t>Total number of significant accidents and average number of significant accidents (per million train-kilometres), broken down into the following types of accident</w:t>
      </w:r>
    </w:p>
    <w:p w:rsidR="009F6E65" w:rsidRPr="008E0469" w:rsidRDefault="00D05136">
      <w:pPr>
        <w:spacing w:before="5" w:line="160" w:lineRule="exact"/>
        <w:rPr>
          <w:sz w:val="17"/>
          <w:szCs w:val="17"/>
        </w:rPr>
      </w:pPr>
    </w:p>
    <w:tbl>
      <w:tblPr>
        <w:tblW w:w="0" w:type="auto"/>
        <w:tblInd w:w="284" w:type="dxa"/>
        <w:tblLayout w:type="fixed"/>
        <w:tblCellMar>
          <w:left w:w="0" w:type="dxa"/>
          <w:right w:w="0" w:type="dxa"/>
        </w:tblCellMar>
        <w:tblLook w:val="01E0" w:firstRow="1" w:lastRow="1" w:firstColumn="1" w:lastColumn="1" w:noHBand="0" w:noVBand="0"/>
      </w:tblPr>
      <w:tblGrid>
        <w:gridCol w:w="1854"/>
        <w:gridCol w:w="901"/>
        <w:gridCol w:w="870"/>
        <w:gridCol w:w="870"/>
        <w:gridCol w:w="870"/>
        <w:gridCol w:w="870"/>
        <w:gridCol w:w="870"/>
        <w:gridCol w:w="870"/>
        <w:gridCol w:w="870"/>
      </w:tblGrid>
      <w:tr w:rsidR="00F3700C" w:rsidTr="009F6E65">
        <w:trPr>
          <w:trHeight w:hRule="exact" w:val="1139"/>
        </w:trPr>
        <w:tc>
          <w:tcPr>
            <w:tcW w:w="1854"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154"/>
              <w:jc w:val="center"/>
              <w:rPr>
                <w:rFonts w:eastAsia="Arial" w:cs="Arial"/>
                <w:sz w:val="8"/>
                <w:szCs w:val="8"/>
              </w:rPr>
            </w:pPr>
            <w:r w:rsidRPr="008E0469">
              <w:rPr>
                <w:sz w:val="8"/>
              </w:rPr>
              <w:t xml:space="preserve">All </w:t>
            </w:r>
            <w:r w:rsidRPr="008E0469">
              <w:rPr>
                <w:sz w:val="8"/>
              </w:rPr>
              <w:t>types of accident</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3" w:right="16"/>
              <w:jc w:val="center"/>
              <w:rPr>
                <w:rFonts w:eastAsia="Arial" w:cs="Arial"/>
                <w:sz w:val="8"/>
                <w:szCs w:val="8"/>
              </w:rPr>
            </w:pPr>
            <w:r w:rsidRPr="008E0469">
              <w:rPr>
                <w:sz w:val="8"/>
              </w:rPr>
              <w:t>Collisions of trains with a rail vehicle</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3" w:right="-11" w:hanging="27"/>
              <w:jc w:val="center"/>
              <w:rPr>
                <w:rFonts w:eastAsia="Arial" w:cs="Arial"/>
                <w:sz w:val="8"/>
                <w:szCs w:val="8"/>
              </w:rPr>
            </w:pPr>
            <w:r w:rsidRPr="008E0469">
              <w:rPr>
                <w:sz w:val="8"/>
              </w:rPr>
              <w:t>Collisions of trains with an obstacle within the</w:t>
            </w:r>
          </w:p>
          <w:p w:rsidR="009F6E65" w:rsidRPr="008E0469" w:rsidRDefault="00D05136" w:rsidP="009F6E65">
            <w:pPr>
              <w:ind w:left="118" w:right="144"/>
              <w:jc w:val="center"/>
              <w:rPr>
                <w:rFonts w:eastAsia="Arial" w:cs="Arial"/>
                <w:sz w:val="8"/>
                <w:szCs w:val="8"/>
              </w:rPr>
            </w:pPr>
            <w:r w:rsidRPr="008E0469">
              <w:rPr>
                <w:w w:val="103"/>
                <w:sz w:val="8"/>
              </w:rPr>
              <w:t>clearance gauge</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103"/>
              <w:jc w:val="center"/>
              <w:rPr>
                <w:rFonts w:eastAsia="Arial" w:cs="Arial"/>
                <w:sz w:val="8"/>
                <w:szCs w:val="8"/>
              </w:rPr>
            </w:pPr>
            <w:r w:rsidRPr="008E0469">
              <w:rPr>
                <w:w w:val="103"/>
                <w:sz w:val="8"/>
              </w:rPr>
              <w:t>Train derailments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3" w:right="-4" w:hanging="5"/>
              <w:jc w:val="center"/>
              <w:rPr>
                <w:rFonts w:eastAsia="Arial" w:cs="Arial"/>
                <w:sz w:val="8"/>
                <w:szCs w:val="8"/>
              </w:rPr>
            </w:pPr>
            <w:r w:rsidRPr="008E0469">
              <w:rPr>
                <w:w w:val="103"/>
                <w:sz w:val="8"/>
              </w:rPr>
              <w:t>Level crossing accidents including accidents involving pedestrians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6" w:line="297" w:lineRule="auto"/>
              <w:ind w:left="34" w:right="4" w:hanging="42"/>
              <w:jc w:val="center"/>
              <w:rPr>
                <w:rFonts w:eastAsia="Arial" w:cs="Arial"/>
                <w:sz w:val="8"/>
                <w:szCs w:val="8"/>
              </w:rPr>
            </w:pPr>
            <w:r w:rsidRPr="008E0469">
              <w:rPr>
                <w:sz w:val="8"/>
              </w:rPr>
              <w:t xml:space="preserve">Accidents leading to personal injury involving </w:t>
            </w:r>
            <w:r w:rsidRPr="008E0469">
              <w:rPr>
                <w:sz w:val="8"/>
              </w:rPr>
              <w:t>a moving railway vehicle, excluding suicide and suicide attempts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123"/>
              <w:jc w:val="center"/>
              <w:rPr>
                <w:rFonts w:eastAsia="Arial" w:cs="Arial"/>
                <w:sz w:val="8"/>
                <w:szCs w:val="8"/>
              </w:rPr>
            </w:pPr>
            <w:r w:rsidRPr="008E0469">
              <w:rPr>
                <w:w w:val="103"/>
                <w:sz w:val="8"/>
              </w:rPr>
              <w:t>Vehicle fires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123"/>
              <w:jc w:val="center"/>
              <w:rPr>
                <w:rFonts w:eastAsia="Arial" w:cs="Arial"/>
                <w:sz w:val="8"/>
                <w:szCs w:val="8"/>
              </w:rPr>
            </w:pPr>
            <w:r w:rsidRPr="008E0469">
              <w:rPr>
                <w:sz w:val="8"/>
              </w:rPr>
              <w:t>Other accidents</w:t>
            </w:r>
          </w:p>
        </w:tc>
      </w:tr>
      <w:tr w:rsidR="00F3700C" w:rsidTr="009F6E65">
        <w:trPr>
          <w:trHeight w:hRule="exact" w:val="269"/>
        </w:trPr>
        <w:tc>
          <w:tcPr>
            <w:tcW w:w="185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w w:val="103"/>
                <w:sz w:val="8"/>
              </w:rPr>
              <w:t>Total</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88" w:right="288"/>
              <w:jc w:val="center"/>
              <w:rPr>
                <w:rFonts w:eastAsia="Arial" w:cs="Arial"/>
                <w:sz w:val="15"/>
                <w:szCs w:val="15"/>
              </w:rPr>
            </w:pPr>
            <w:r w:rsidRPr="008E0469">
              <w:rPr>
                <w:spacing w:val="-4"/>
                <w:w w:val="103"/>
                <w:sz w:val="15"/>
              </w:rPr>
              <w:t>306</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09"/>
              <w:jc w:val="center"/>
              <w:rPr>
                <w:rFonts w:eastAsia="Arial" w:cs="Arial"/>
                <w:sz w:val="15"/>
                <w:szCs w:val="15"/>
              </w:rPr>
            </w:pPr>
            <w:r w:rsidRPr="008E0469">
              <w:rPr>
                <w:spacing w:val="-4"/>
                <w:w w:val="103"/>
                <w:sz w:val="15"/>
              </w:rPr>
              <w:t>37</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9</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09"/>
              <w:jc w:val="center"/>
              <w:rPr>
                <w:rFonts w:eastAsia="Arial" w:cs="Arial"/>
                <w:sz w:val="15"/>
                <w:szCs w:val="15"/>
              </w:rPr>
            </w:pPr>
            <w:r w:rsidRPr="008E0469">
              <w:rPr>
                <w:spacing w:val="-4"/>
                <w:w w:val="103"/>
                <w:sz w:val="15"/>
              </w:rPr>
              <w:t>61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78" w:right="268"/>
              <w:jc w:val="center"/>
              <w:rPr>
                <w:rFonts w:eastAsia="Arial" w:cs="Arial"/>
                <w:sz w:val="15"/>
                <w:szCs w:val="15"/>
              </w:rPr>
            </w:pPr>
            <w:r w:rsidRPr="008E0469">
              <w:rPr>
                <w:spacing w:val="-4"/>
                <w:w w:val="103"/>
                <w:sz w:val="15"/>
              </w:rPr>
              <w:t>157</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09"/>
              <w:jc w:val="center"/>
              <w:rPr>
                <w:rFonts w:eastAsia="Arial" w:cs="Arial"/>
                <w:sz w:val="15"/>
                <w:szCs w:val="15"/>
              </w:rPr>
            </w:pPr>
            <w:r w:rsidRPr="008E0469">
              <w:rPr>
                <w:spacing w:val="-4"/>
                <w:w w:val="103"/>
                <w:sz w:val="15"/>
              </w:rPr>
              <w:t>36</w:t>
            </w:r>
          </w:p>
        </w:tc>
      </w:tr>
      <w:tr w:rsidR="00F3700C" w:rsidTr="009F6E65">
        <w:trPr>
          <w:trHeight w:hRule="exact" w:val="269"/>
        </w:trPr>
        <w:tc>
          <w:tcPr>
            <w:tcW w:w="185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Average number</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0.294</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0.036</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0.009</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0.059</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0.151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0.035</w:t>
            </w:r>
          </w:p>
        </w:tc>
      </w:tr>
    </w:tbl>
    <w:p w:rsidR="009F6E65" w:rsidRPr="008E0469" w:rsidRDefault="00D05136">
      <w:pPr>
        <w:spacing w:before="5" w:line="120" w:lineRule="exact"/>
        <w:rPr>
          <w:sz w:val="13"/>
          <w:szCs w:val="13"/>
        </w:rPr>
      </w:pPr>
    </w:p>
    <w:p w:rsidR="009F6E65" w:rsidRPr="008E0469" w:rsidRDefault="00D05136" w:rsidP="009F6E65">
      <w:pPr>
        <w:spacing w:before="47"/>
        <w:ind w:left="390"/>
        <w:rPr>
          <w:rFonts w:eastAsia="Arial" w:cs="Arial"/>
          <w:sz w:val="13"/>
          <w:szCs w:val="13"/>
        </w:rPr>
      </w:pPr>
      <w:r w:rsidRPr="008E0469">
        <w:rPr>
          <w:b/>
          <w:spacing w:val="-4"/>
          <w:sz w:val="13"/>
        </w:rPr>
        <w:t xml:space="preserve">Level crossing accidents including accidents involving </w:t>
      </w:r>
      <w:r w:rsidRPr="008E0469">
        <w:rPr>
          <w:b/>
          <w:spacing w:val="-4"/>
          <w:sz w:val="13"/>
        </w:rPr>
        <w:t>pedestrians and average number of these accidents (per million train-kilometres), broken down into the following types of accident</w:t>
      </w:r>
    </w:p>
    <w:p w:rsidR="009F6E65" w:rsidRPr="008E0469" w:rsidRDefault="00D05136">
      <w:pPr>
        <w:spacing w:before="5" w:line="160" w:lineRule="exact"/>
        <w:rPr>
          <w:sz w:val="17"/>
          <w:szCs w:val="17"/>
        </w:rPr>
      </w:pPr>
    </w:p>
    <w:tbl>
      <w:tblPr>
        <w:tblW w:w="0" w:type="auto"/>
        <w:tblInd w:w="284" w:type="dxa"/>
        <w:tblLayout w:type="fixed"/>
        <w:tblCellMar>
          <w:left w:w="0" w:type="dxa"/>
          <w:right w:w="0" w:type="dxa"/>
        </w:tblCellMar>
        <w:tblLook w:val="01E0" w:firstRow="1" w:lastRow="1" w:firstColumn="1" w:lastColumn="1" w:noHBand="0" w:noVBand="0"/>
      </w:tblPr>
      <w:tblGrid>
        <w:gridCol w:w="1854"/>
        <w:gridCol w:w="901"/>
        <w:gridCol w:w="870"/>
        <w:gridCol w:w="870"/>
        <w:gridCol w:w="870"/>
        <w:gridCol w:w="870"/>
      </w:tblGrid>
      <w:tr w:rsidR="00F3700C" w:rsidTr="009F6E65">
        <w:trPr>
          <w:trHeight w:hRule="exact" w:val="1139"/>
        </w:trPr>
        <w:tc>
          <w:tcPr>
            <w:tcW w:w="1854"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96" w:right="112"/>
              <w:jc w:val="center"/>
              <w:rPr>
                <w:rFonts w:eastAsia="Arial" w:cs="Arial"/>
                <w:sz w:val="8"/>
                <w:szCs w:val="8"/>
              </w:rPr>
            </w:pPr>
            <w:r w:rsidRPr="008E0469">
              <w:rPr>
                <w:sz w:val="8"/>
              </w:rPr>
              <w:t>passively protected level crossing [6.2 a)]</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16" w:right="124"/>
              <w:jc w:val="center"/>
              <w:rPr>
                <w:rFonts w:eastAsia="Arial" w:cs="Arial"/>
                <w:sz w:val="8"/>
                <w:szCs w:val="8"/>
              </w:rPr>
            </w:pPr>
            <w:r w:rsidRPr="008E0469">
              <w:rPr>
                <w:sz w:val="8"/>
              </w:rPr>
              <w:t>actively protected level crossing, manual [6.2 b) i)]</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16" w:right="124"/>
              <w:jc w:val="center"/>
              <w:rPr>
                <w:rFonts w:eastAsia="Arial" w:cs="Arial"/>
                <w:sz w:val="8"/>
                <w:szCs w:val="8"/>
              </w:rPr>
            </w:pPr>
            <w:r w:rsidRPr="008E0469">
              <w:rPr>
                <w:sz w:val="8"/>
              </w:rPr>
              <w:t xml:space="preserve">actively protected level </w:t>
            </w:r>
            <w:r w:rsidRPr="008E0469">
              <w:rPr>
                <w:sz w:val="8"/>
              </w:rPr>
              <w:t>crossing, automatic with user warning [6.2 b) ii)]</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06" w:right="107" w:hanging="7"/>
              <w:jc w:val="center"/>
              <w:rPr>
                <w:rFonts w:eastAsia="Arial" w:cs="Arial"/>
                <w:sz w:val="8"/>
                <w:szCs w:val="8"/>
              </w:rPr>
            </w:pPr>
            <w:r w:rsidRPr="008E0469">
              <w:rPr>
                <w:sz w:val="8"/>
              </w:rPr>
              <w:t>actively protected level crossing, automatic with user protection [6.2 b) iii)]</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41" w:right="28" w:hanging="21"/>
              <w:jc w:val="center"/>
              <w:rPr>
                <w:rFonts w:eastAsia="Arial" w:cs="Arial"/>
                <w:sz w:val="8"/>
                <w:szCs w:val="8"/>
              </w:rPr>
            </w:pPr>
            <w:r w:rsidRPr="008E0469">
              <w:rPr>
                <w:sz w:val="8"/>
              </w:rPr>
              <w:t>actively protected level crossing with trackside protection [6.2 b) iv)]</w:t>
            </w:r>
          </w:p>
        </w:tc>
      </w:tr>
      <w:tr w:rsidR="00F3700C" w:rsidTr="009F6E65">
        <w:trPr>
          <w:trHeight w:hRule="exact" w:val="269"/>
        </w:trPr>
        <w:tc>
          <w:tcPr>
            <w:tcW w:w="185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w w:val="103"/>
                <w:sz w:val="8"/>
              </w:rPr>
              <w:t>Total</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30" w:right="330"/>
              <w:jc w:val="center"/>
              <w:rPr>
                <w:rFonts w:eastAsia="Arial" w:cs="Arial"/>
                <w:sz w:val="15"/>
                <w:szCs w:val="15"/>
              </w:rPr>
            </w:pPr>
            <w:r w:rsidRPr="008E0469">
              <w:rPr>
                <w:spacing w:val="-4"/>
                <w:w w:val="103"/>
                <w:sz w:val="15"/>
              </w:rPr>
              <w:t>14</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5</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8</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09"/>
              <w:jc w:val="center"/>
              <w:rPr>
                <w:rFonts w:eastAsia="Arial" w:cs="Arial"/>
                <w:sz w:val="15"/>
                <w:szCs w:val="15"/>
              </w:rPr>
            </w:pPr>
            <w:r w:rsidRPr="008E0469">
              <w:rPr>
                <w:spacing w:val="-4"/>
                <w:w w:val="103"/>
                <w:sz w:val="15"/>
              </w:rPr>
              <w:t>30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4</w:t>
            </w:r>
          </w:p>
        </w:tc>
      </w:tr>
      <w:tr w:rsidR="00F3700C" w:rsidTr="009F6E65">
        <w:trPr>
          <w:trHeight w:hRule="exact" w:val="269"/>
        </w:trPr>
        <w:tc>
          <w:tcPr>
            <w:tcW w:w="185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Average number</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0.013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0.005</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0.008</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0.029</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0.004</w:t>
            </w:r>
          </w:p>
        </w:tc>
      </w:tr>
    </w:tbl>
    <w:p w:rsidR="009F6E65" w:rsidRPr="008E0469" w:rsidRDefault="00D05136" w:rsidP="009F6E65">
      <w:pPr>
        <w:pStyle w:val="ListParagraph"/>
        <w:ind w:left="352"/>
        <w:rPr>
          <w:sz w:val="13"/>
          <w:szCs w:val="13"/>
        </w:rPr>
      </w:pPr>
    </w:p>
    <w:p w:rsidR="009F6E65" w:rsidRPr="008E0469" w:rsidRDefault="00D05136" w:rsidP="009F6E65">
      <w:pPr>
        <w:pStyle w:val="ListParagraph"/>
        <w:numPr>
          <w:ilvl w:val="0"/>
          <w:numId w:val="18"/>
        </w:numPr>
        <w:ind w:left="352" w:firstLine="0"/>
        <w:rPr>
          <w:rFonts w:eastAsia="Arial" w:cs="Arial"/>
          <w:b/>
          <w:spacing w:val="2"/>
          <w:sz w:val="13"/>
          <w:szCs w:val="13"/>
        </w:rPr>
      </w:pPr>
      <w:r w:rsidRPr="008E0469">
        <w:rPr>
          <w:b/>
          <w:spacing w:val="2"/>
          <w:sz w:val="13"/>
        </w:rPr>
        <w:t>Total number and average number (per million train-kilometres) of serious injuries and fatalities by type of accident, broken down into the following categories</w:t>
      </w:r>
    </w:p>
    <w:p w:rsidR="009F6E65" w:rsidRPr="008E0469" w:rsidRDefault="00D05136">
      <w:pPr>
        <w:spacing w:before="7" w:line="140" w:lineRule="exact"/>
        <w:rPr>
          <w:sz w:val="15"/>
          <w:szCs w:val="15"/>
        </w:rPr>
      </w:pPr>
    </w:p>
    <w:p w:rsidR="009F6E65" w:rsidRPr="008E0469" w:rsidRDefault="00D05136" w:rsidP="009F6E65">
      <w:pPr>
        <w:pStyle w:val="ListParagraph"/>
        <w:numPr>
          <w:ilvl w:val="0"/>
          <w:numId w:val="19"/>
        </w:numPr>
        <w:spacing w:before="47" w:line="140" w:lineRule="exact"/>
        <w:ind w:left="709"/>
        <w:rPr>
          <w:rFonts w:eastAsia="Arial" w:cs="Arial"/>
          <w:sz w:val="13"/>
          <w:szCs w:val="13"/>
        </w:rPr>
      </w:pPr>
      <w:r w:rsidRPr="008E0469">
        <w:rPr>
          <w:spacing w:val="3"/>
          <w:sz w:val="13"/>
        </w:rPr>
        <w:t>Seriously injured persons</w:t>
      </w:r>
    </w:p>
    <w:tbl>
      <w:tblPr>
        <w:tblW w:w="9072" w:type="dxa"/>
        <w:tblInd w:w="284" w:type="dxa"/>
        <w:tblLayout w:type="fixed"/>
        <w:tblCellMar>
          <w:left w:w="0" w:type="dxa"/>
          <w:right w:w="0" w:type="dxa"/>
        </w:tblCellMar>
        <w:tblLook w:val="01E0" w:firstRow="1" w:lastRow="1" w:firstColumn="1" w:lastColumn="1" w:noHBand="0" w:noVBand="0"/>
      </w:tblPr>
      <w:tblGrid>
        <w:gridCol w:w="1854"/>
        <w:gridCol w:w="901"/>
        <w:gridCol w:w="870"/>
        <w:gridCol w:w="870"/>
        <w:gridCol w:w="870"/>
        <w:gridCol w:w="870"/>
        <w:gridCol w:w="870"/>
        <w:gridCol w:w="870"/>
        <w:gridCol w:w="1097"/>
      </w:tblGrid>
      <w:tr w:rsidR="00F3700C" w:rsidTr="009F6E65">
        <w:trPr>
          <w:trHeight w:hRule="exact" w:val="1139"/>
        </w:trPr>
        <w:tc>
          <w:tcPr>
            <w:tcW w:w="1854"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154"/>
              <w:jc w:val="center"/>
              <w:rPr>
                <w:rFonts w:eastAsia="Arial" w:cs="Arial"/>
                <w:sz w:val="8"/>
                <w:szCs w:val="8"/>
              </w:rPr>
            </w:pPr>
            <w:r w:rsidRPr="008E0469">
              <w:rPr>
                <w:sz w:val="8"/>
              </w:rPr>
              <w:t>All types of accident</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3" w:right="16"/>
              <w:jc w:val="center"/>
              <w:rPr>
                <w:rFonts w:eastAsia="Arial" w:cs="Arial"/>
                <w:sz w:val="8"/>
                <w:szCs w:val="8"/>
              </w:rPr>
            </w:pPr>
            <w:r w:rsidRPr="008E0469">
              <w:rPr>
                <w:sz w:val="8"/>
              </w:rPr>
              <w:t xml:space="preserve">Collisions of trains with a </w:t>
            </w:r>
            <w:r w:rsidRPr="008E0469">
              <w:rPr>
                <w:sz w:val="8"/>
              </w:rPr>
              <w:t>rail vehicle</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3" w:right="-11" w:hanging="27"/>
              <w:jc w:val="center"/>
              <w:rPr>
                <w:rFonts w:eastAsia="Arial" w:cs="Arial"/>
                <w:sz w:val="8"/>
                <w:szCs w:val="8"/>
              </w:rPr>
            </w:pPr>
            <w:r w:rsidRPr="008E0469">
              <w:rPr>
                <w:sz w:val="8"/>
              </w:rPr>
              <w:t>Collisions of trains with an obstacle within the</w:t>
            </w:r>
          </w:p>
          <w:p w:rsidR="009F6E65" w:rsidRPr="008E0469" w:rsidRDefault="00D05136" w:rsidP="009F6E65">
            <w:pPr>
              <w:ind w:left="118" w:right="144"/>
              <w:jc w:val="center"/>
              <w:rPr>
                <w:rFonts w:eastAsia="Arial" w:cs="Arial"/>
                <w:sz w:val="8"/>
                <w:szCs w:val="8"/>
              </w:rPr>
            </w:pPr>
            <w:r w:rsidRPr="008E0469">
              <w:rPr>
                <w:w w:val="103"/>
                <w:sz w:val="8"/>
              </w:rPr>
              <w:t>clearance gauge</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103"/>
              <w:jc w:val="center"/>
              <w:rPr>
                <w:rFonts w:eastAsia="Arial" w:cs="Arial"/>
                <w:sz w:val="8"/>
                <w:szCs w:val="8"/>
              </w:rPr>
            </w:pPr>
            <w:r w:rsidRPr="008E0469">
              <w:rPr>
                <w:w w:val="103"/>
                <w:sz w:val="8"/>
              </w:rPr>
              <w:t>Train derailments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3" w:right="-4" w:hanging="5"/>
              <w:jc w:val="center"/>
              <w:rPr>
                <w:rFonts w:eastAsia="Arial" w:cs="Arial"/>
                <w:sz w:val="8"/>
                <w:szCs w:val="8"/>
              </w:rPr>
            </w:pPr>
            <w:r w:rsidRPr="008E0469">
              <w:rPr>
                <w:w w:val="103"/>
                <w:sz w:val="8"/>
              </w:rPr>
              <w:t>Level crossing accidents including accidents involving pedestrians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6" w:line="297" w:lineRule="auto"/>
              <w:ind w:left="34" w:right="4" w:hanging="42"/>
              <w:jc w:val="center"/>
              <w:rPr>
                <w:rFonts w:eastAsia="Arial" w:cs="Arial"/>
                <w:sz w:val="8"/>
                <w:szCs w:val="8"/>
              </w:rPr>
            </w:pPr>
            <w:r w:rsidRPr="008E0469">
              <w:rPr>
                <w:sz w:val="8"/>
              </w:rPr>
              <w:t>Accidents leading to personal injury involving a moving railway vehicle, excluding suicide an</w:t>
            </w:r>
            <w:r w:rsidRPr="008E0469">
              <w:rPr>
                <w:sz w:val="8"/>
              </w:rPr>
              <w:t>d suicide attempts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123"/>
              <w:jc w:val="center"/>
              <w:rPr>
                <w:rFonts w:eastAsia="Arial" w:cs="Arial"/>
                <w:sz w:val="8"/>
                <w:szCs w:val="8"/>
              </w:rPr>
            </w:pPr>
            <w:r w:rsidRPr="008E0469">
              <w:rPr>
                <w:w w:val="103"/>
                <w:sz w:val="8"/>
              </w:rPr>
              <w:t>Vehicle fires</w:t>
            </w:r>
          </w:p>
        </w:tc>
        <w:tc>
          <w:tcPr>
            <w:tcW w:w="1097"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123"/>
              <w:jc w:val="center"/>
              <w:rPr>
                <w:rFonts w:eastAsia="Arial" w:cs="Arial"/>
                <w:sz w:val="8"/>
                <w:szCs w:val="8"/>
              </w:rPr>
            </w:pPr>
            <w:r w:rsidRPr="008E0469">
              <w:rPr>
                <w:sz w:val="8"/>
              </w:rPr>
              <w:t>Other accidents</w:t>
            </w:r>
          </w:p>
        </w:tc>
      </w:tr>
      <w:tr w:rsidR="00F3700C" w:rsidTr="009F6E65">
        <w:trPr>
          <w:trHeight w:hRule="exact" w:val="269"/>
        </w:trPr>
        <w:tc>
          <w:tcPr>
            <w:tcW w:w="185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 xml:space="preserve">Total number of seriously injured persons </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88" w:right="288"/>
              <w:jc w:val="center"/>
              <w:rPr>
                <w:rFonts w:eastAsia="Arial" w:cs="Arial"/>
                <w:sz w:val="15"/>
                <w:szCs w:val="15"/>
              </w:rPr>
            </w:pPr>
            <w:r w:rsidRPr="008E0469">
              <w:rPr>
                <w:spacing w:val="-4"/>
                <w:w w:val="103"/>
                <w:sz w:val="15"/>
              </w:rPr>
              <w:t>118</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09"/>
              <w:jc w:val="center"/>
              <w:rPr>
                <w:rFonts w:eastAsia="Arial" w:cs="Arial"/>
                <w:sz w:val="15"/>
                <w:szCs w:val="15"/>
              </w:rPr>
            </w:pPr>
            <w:r w:rsidRPr="008E0469">
              <w:rPr>
                <w:spacing w:val="-4"/>
                <w:w w:val="103"/>
                <w:sz w:val="15"/>
              </w:rPr>
              <w:t>45</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09"/>
              <w:jc w:val="center"/>
              <w:rPr>
                <w:rFonts w:eastAsia="Arial" w:cs="Arial"/>
                <w:sz w:val="15"/>
                <w:szCs w:val="15"/>
              </w:rPr>
            </w:pPr>
            <w:r w:rsidRPr="008E0469">
              <w:rPr>
                <w:spacing w:val="-4"/>
                <w:w w:val="103"/>
                <w:sz w:val="15"/>
              </w:rPr>
              <w:t>68</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1097"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3</w:t>
            </w:r>
          </w:p>
        </w:tc>
      </w:tr>
      <w:tr w:rsidR="00F3700C" w:rsidTr="009F6E65">
        <w:trPr>
          <w:trHeight w:hRule="exact" w:val="269"/>
        </w:trPr>
        <w:tc>
          <w:tcPr>
            <w:tcW w:w="185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 xml:space="preserve">Average number of seriously injured persons </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0.113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0.043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0.065</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1097"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0.003</w:t>
            </w:r>
          </w:p>
        </w:tc>
      </w:tr>
    </w:tbl>
    <w:p w:rsidR="009F6E65" w:rsidRPr="008E0469" w:rsidRDefault="00D05136">
      <w:pPr>
        <w:spacing w:before="63"/>
        <w:ind w:left="390"/>
        <w:rPr>
          <w:rFonts w:eastAsia="Arial" w:cs="Arial"/>
          <w:sz w:val="8"/>
          <w:szCs w:val="8"/>
        </w:rPr>
      </w:pPr>
      <w:r w:rsidRPr="008E0469">
        <w:rPr>
          <w:w w:val="103"/>
          <w:sz w:val="8"/>
        </w:rPr>
        <w:t>Of which:</w:t>
      </w:r>
    </w:p>
    <w:p w:rsidR="009F6E65" w:rsidRPr="008E0469" w:rsidRDefault="00D05136">
      <w:pPr>
        <w:spacing w:before="8" w:line="0" w:lineRule="atLeast"/>
        <w:rPr>
          <w:sz w:val="1"/>
          <w:szCs w:val="1"/>
        </w:rPr>
      </w:pPr>
    </w:p>
    <w:tbl>
      <w:tblPr>
        <w:tblW w:w="9072" w:type="dxa"/>
        <w:tblInd w:w="278" w:type="dxa"/>
        <w:tblLayout w:type="fixed"/>
        <w:tblCellMar>
          <w:left w:w="0" w:type="dxa"/>
          <w:right w:w="0" w:type="dxa"/>
        </w:tblCellMar>
        <w:tblLook w:val="01E0" w:firstRow="1" w:lastRow="1" w:firstColumn="1" w:lastColumn="1" w:noHBand="0" w:noVBand="0"/>
      </w:tblPr>
      <w:tblGrid>
        <w:gridCol w:w="1841"/>
        <w:gridCol w:w="16"/>
        <w:gridCol w:w="832"/>
        <w:gridCol w:w="992"/>
        <w:gridCol w:w="851"/>
        <w:gridCol w:w="850"/>
        <w:gridCol w:w="855"/>
        <w:gridCol w:w="850"/>
        <w:gridCol w:w="851"/>
        <w:gridCol w:w="1134"/>
      </w:tblGrid>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w w:val="103"/>
                <w:sz w:val="8"/>
              </w:rPr>
              <w:t>Passengers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30" w:right="330"/>
              <w:jc w:val="center"/>
              <w:rPr>
                <w:rFonts w:eastAsia="Arial" w:cs="Arial"/>
                <w:sz w:val="15"/>
                <w:szCs w:val="15"/>
              </w:rPr>
            </w:pPr>
            <w:r w:rsidRPr="008E0469">
              <w:rPr>
                <w:spacing w:val="-4"/>
                <w:w w:val="103"/>
                <w:sz w:val="15"/>
              </w:rPr>
              <w:t>16</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1</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6</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8</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1</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 xml:space="preserve">Average number of seriously injured passengers </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0.015</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0.006</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0.008</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Average number of seriously injured passengers per billion passenger-kilometres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0.179</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0.011</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0.067</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0.089</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0.011</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 xml:space="preserve">Average number of seriously </w:t>
            </w:r>
            <w:r w:rsidRPr="008E0469">
              <w:rPr>
                <w:sz w:val="8"/>
              </w:rPr>
              <w:t>injured passengers per million passenger train-kilometres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0.020</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0.008</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0.010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Employees or contractors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71" w:right="368"/>
              <w:jc w:val="center"/>
              <w:rPr>
                <w:rFonts w:eastAsia="Arial" w:cs="Arial"/>
                <w:sz w:val="15"/>
                <w:szCs w:val="15"/>
              </w:rPr>
            </w:pPr>
            <w:r w:rsidRPr="008E0469">
              <w:rPr>
                <w:w w:val="103"/>
                <w:sz w:val="15"/>
              </w:rPr>
              <w:t>8</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6</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2</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Average number of seriously injured employees, including contractors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0.008</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0.006</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0.002</w:t>
            </w:r>
          </w:p>
        </w:tc>
      </w:tr>
      <w:tr w:rsidR="00F3700C" w:rsidTr="009F6E65">
        <w:trPr>
          <w:trHeight w:hRule="exact" w:val="230"/>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Level crossing users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tabs>
                <w:tab w:val="left" w:pos="499"/>
              </w:tabs>
              <w:spacing w:before="44"/>
              <w:ind w:left="127" w:right="330"/>
              <w:jc w:val="center"/>
              <w:rPr>
                <w:rFonts w:eastAsia="Arial" w:cs="Arial"/>
                <w:sz w:val="15"/>
                <w:szCs w:val="15"/>
              </w:rPr>
            </w:pPr>
            <w:r w:rsidRPr="008E0469">
              <w:rPr>
                <w:spacing w:val="-4"/>
                <w:w w:val="103"/>
                <w:sz w:val="15"/>
              </w:rPr>
              <w:t>39</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09"/>
              <w:jc w:val="center"/>
              <w:rPr>
                <w:rFonts w:eastAsia="Arial" w:cs="Arial"/>
                <w:sz w:val="15"/>
                <w:szCs w:val="15"/>
              </w:rPr>
            </w:pPr>
            <w:r w:rsidRPr="008E0469">
              <w:rPr>
                <w:spacing w:val="-4"/>
                <w:w w:val="103"/>
                <w:sz w:val="15"/>
              </w:rPr>
              <w:t>39</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Average number of seriously injured level crossing users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7"/>
              <w:rPr>
                <w:rFonts w:eastAsia="Arial" w:cs="Arial"/>
                <w:sz w:val="15"/>
                <w:szCs w:val="15"/>
              </w:rPr>
            </w:pPr>
            <w:r w:rsidRPr="008E0469">
              <w:rPr>
                <w:spacing w:val="-4"/>
                <w:w w:val="103"/>
                <w:sz w:val="15"/>
              </w:rPr>
              <w:t>0.037</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0.037</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Trespassers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29" w:right="330"/>
              <w:jc w:val="center"/>
              <w:rPr>
                <w:rFonts w:eastAsia="Arial" w:cs="Arial"/>
                <w:sz w:val="15"/>
                <w:szCs w:val="15"/>
              </w:rPr>
            </w:pPr>
            <w:r w:rsidRPr="008E0469">
              <w:rPr>
                <w:spacing w:val="-4"/>
                <w:w w:val="103"/>
                <w:sz w:val="15"/>
              </w:rPr>
              <w:t>36</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1</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10"/>
              <w:jc w:val="center"/>
              <w:rPr>
                <w:rFonts w:eastAsia="Arial" w:cs="Arial"/>
                <w:sz w:val="15"/>
                <w:szCs w:val="15"/>
              </w:rPr>
            </w:pPr>
            <w:r w:rsidRPr="008E0469">
              <w:rPr>
                <w:spacing w:val="-4"/>
                <w:w w:val="103"/>
                <w:sz w:val="15"/>
              </w:rPr>
              <w:t>35</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 xml:space="preserve">Average number of seriously injured trespassers on railway </w:t>
            </w:r>
            <w:r w:rsidRPr="008E0469">
              <w:rPr>
                <w:sz w:val="8"/>
              </w:rPr>
              <w:t>premises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7"/>
              <w:rPr>
                <w:rFonts w:eastAsia="Arial" w:cs="Arial"/>
                <w:sz w:val="15"/>
                <w:szCs w:val="15"/>
              </w:rPr>
            </w:pPr>
            <w:r w:rsidRPr="008E0469">
              <w:rPr>
                <w:spacing w:val="-4"/>
                <w:w w:val="103"/>
                <w:sz w:val="15"/>
              </w:rPr>
              <w:t>0.035</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0.034</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Other persons on platforms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44"/>
              <w:ind w:left="269" w:right="330"/>
              <w:jc w:val="center"/>
              <w:rPr>
                <w:rFonts w:eastAsia="Arial" w:cs="Arial"/>
                <w:sz w:val="15"/>
                <w:szCs w:val="15"/>
              </w:rPr>
            </w:pPr>
            <w:r w:rsidRPr="008E0469">
              <w:rPr>
                <w:spacing w:val="-4"/>
                <w:w w:val="103"/>
                <w:sz w:val="15"/>
              </w:rPr>
              <w:t>19</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10"/>
              <w:jc w:val="center"/>
              <w:rPr>
                <w:rFonts w:eastAsia="Arial" w:cs="Arial"/>
                <w:sz w:val="15"/>
                <w:szCs w:val="15"/>
              </w:rPr>
            </w:pPr>
            <w:r w:rsidRPr="008E0469">
              <w:rPr>
                <w:spacing w:val="-4"/>
                <w:w w:val="103"/>
                <w:sz w:val="15"/>
              </w:rPr>
              <w:t>19</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17" w:line="297" w:lineRule="auto"/>
              <w:ind w:left="20" w:right="133"/>
              <w:rPr>
                <w:rFonts w:eastAsia="Arial" w:cs="Arial"/>
                <w:sz w:val="8"/>
                <w:szCs w:val="8"/>
              </w:rPr>
            </w:pPr>
            <w:r w:rsidRPr="008E0469">
              <w:rPr>
                <w:sz w:val="8"/>
              </w:rPr>
              <w:t>Average number of seriously injured other persons on platforms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7"/>
              <w:rPr>
                <w:rFonts w:eastAsia="Arial" w:cs="Arial"/>
                <w:sz w:val="15"/>
                <w:szCs w:val="15"/>
              </w:rPr>
            </w:pPr>
            <w:r w:rsidRPr="008E0469">
              <w:rPr>
                <w:spacing w:val="-4"/>
                <w:w w:val="103"/>
                <w:sz w:val="15"/>
              </w:rPr>
              <w:t>0.018</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0.018</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r>
      <w:tr w:rsidR="00F3700C" w:rsidTr="009F6E65">
        <w:trPr>
          <w:trHeight w:hRule="exact" w:val="269"/>
        </w:trPr>
        <w:tc>
          <w:tcPr>
            <w:tcW w:w="1857"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Other persons not on platforms</w:t>
            </w:r>
          </w:p>
        </w:tc>
        <w:tc>
          <w:tcPr>
            <w:tcW w:w="83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70" w:right="368"/>
              <w:jc w:val="center"/>
              <w:rPr>
                <w:rFonts w:eastAsia="Arial" w:cs="Arial"/>
                <w:sz w:val="15"/>
                <w:szCs w:val="15"/>
              </w:rPr>
            </w:pPr>
            <w:r w:rsidRPr="008E0469">
              <w:rPr>
                <w:w w:val="103"/>
                <w:sz w:val="15"/>
              </w:rPr>
              <w:t>0</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59" w:right="347"/>
              <w:jc w:val="center"/>
              <w:rPr>
                <w:rFonts w:eastAsia="Arial" w:cs="Arial"/>
                <w:sz w:val="15"/>
                <w:szCs w:val="15"/>
              </w:rPr>
            </w:pPr>
            <w:r w:rsidRPr="008E0469">
              <w:rPr>
                <w:w w:val="103"/>
                <w:sz w:val="15"/>
              </w:rPr>
              <w:t>0</w:t>
            </w:r>
          </w:p>
        </w:tc>
      </w:tr>
      <w:tr w:rsidR="00F3700C" w:rsidTr="009F6E65">
        <w:trPr>
          <w:trHeight w:hRule="exact" w:val="373"/>
        </w:trPr>
        <w:tc>
          <w:tcPr>
            <w:tcW w:w="184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17" w:line="297" w:lineRule="auto"/>
              <w:ind w:left="20" w:right="133"/>
              <w:rPr>
                <w:rFonts w:eastAsia="Arial" w:cs="Arial"/>
                <w:sz w:val="8"/>
                <w:szCs w:val="8"/>
              </w:rPr>
            </w:pPr>
            <w:r w:rsidRPr="008E0469">
              <w:rPr>
                <w:sz w:val="8"/>
              </w:rPr>
              <w:t>Average number of seriously injured other persons not on platforms</w:t>
            </w:r>
          </w:p>
        </w:tc>
        <w:tc>
          <w:tcPr>
            <w:tcW w:w="848"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57"/>
              <w:rPr>
                <w:rFonts w:eastAsia="Arial" w:cs="Arial"/>
                <w:sz w:val="15"/>
                <w:szCs w:val="15"/>
              </w:rPr>
            </w:pPr>
            <w:r w:rsidRPr="008E0469">
              <w:rPr>
                <w:spacing w:val="-4"/>
                <w:w w:val="103"/>
                <w:sz w:val="15"/>
              </w:rPr>
              <w:t>0.000</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r>
      <w:tr w:rsidR="00F3700C" w:rsidTr="009F6E65">
        <w:trPr>
          <w:trHeight w:hRule="exact" w:val="269"/>
        </w:trPr>
        <w:tc>
          <w:tcPr>
            <w:tcW w:w="184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Total number of fatalities</w:t>
            </w:r>
          </w:p>
        </w:tc>
        <w:tc>
          <w:tcPr>
            <w:tcW w:w="848"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88" w:right="288"/>
              <w:jc w:val="center"/>
              <w:rPr>
                <w:rFonts w:eastAsia="Arial" w:cs="Arial"/>
                <w:sz w:val="15"/>
                <w:szCs w:val="15"/>
              </w:rPr>
            </w:pPr>
            <w:r w:rsidRPr="008E0469">
              <w:rPr>
                <w:spacing w:val="-4"/>
                <w:w w:val="103"/>
                <w:sz w:val="15"/>
              </w:rPr>
              <w:t>130</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1</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1</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09"/>
              <w:jc w:val="center"/>
              <w:rPr>
                <w:rFonts w:eastAsia="Arial" w:cs="Arial"/>
                <w:sz w:val="15"/>
                <w:szCs w:val="15"/>
              </w:rPr>
            </w:pPr>
            <w:r w:rsidRPr="008E0469">
              <w:rPr>
                <w:spacing w:val="-4"/>
                <w:w w:val="103"/>
                <w:sz w:val="15"/>
              </w:rPr>
              <w:t>35</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09"/>
              <w:jc w:val="center"/>
              <w:rPr>
                <w:rFonts w:eastAsia="Arial" w:cs="Arial"/>
                <w:sz w:val="15"/>
                <w:szCs w:val="15"/>
              </w:rPr>
            </w:pPr>
            <w:r w:rsidRPr="008E0469">
              <w:rPr>
                <w:spacing w:val="-4"/>
                <w:w w:val="103"/>
                <w:sz w:val="15"/>
              </w:rPr>
              <w:t>91</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2</w:t>
            </w:r>
          </w:p>
        </w:tc>
      </w:tr>
      <w:tr w:rsidR="00F3700C" w:rsidTr="009F6E65">
        <w:trPr>
          <w:trHeight w:hRule="exact" w:val="269"/>
        </w:trPr>
        <w:tc>
          <w:tcPr>
            <w:tcW w:w="184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Average number of fatalities</w:t>
            </w:r>
          </w:p>
        </w:tc>
        <w:tc>
          <w:tcPr>
            <w:tcW w:w="848" w:type="dxa"/>
            <w:gridSpan w:val="2"/>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0.125</w:t>
            </w:r>
          </w:p>
        </w:tc>
        <w:tc>
          <w:tcPr>
            <w:tcW w:w="99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5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0.034</w:t>
            </w:r>
          </w:p>
        </w:tc>
        <w:tc>
          <w:tcPr>
            <w:tcW w:w="85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0.087</w:t>
            </w:r>
          </w:p>
        </w:tc>
        <w:tc>
          <w:tcPr>
            <w:tcW w:w="85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1134"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0.002</w:t>
            </w:r>
          </w:p>
        </w:tc>
      </w:tr>
    </w:tbl>
    <w:p w:rsidR="009F6E65" w:rsidRPr="008E0469" w:rsidRDefault="00D05136" w:rsidP="009F6E65">
      <w:pPr>
        <w:spacing w:before="63" w:line="80" w:lineRule="exact"/>
        <w:ind w:left="408"/>
        <w:rPr>
          <w:rFonts w:eastAsia="Arial" w:cs="Arial"/>
          <w:w w:val="103"/>
          <w:sz w:val="8"/>
          <w:szCs w:val="8"/>
        </w:rPr>
      </w:pPr>
    </w:p>
    <w:p w:rsidR="009F6E65" w:rsidRPr="008E0469" w:rsidRDefault="00D05136" w:rsidP="009F6E65">
      <w:pPr>
        <w:spacing w:before="63" w:line="80" w:lineRule="exact"/>
        <w:ind w:left="408"/>
        <w:rPr>
          <w:rFonts w:eastAsia="Arial" w:cs="Arial"/>
          <w:w w:val="103"/>
          <w:sz w:val="8"/>
          <w:szCs w:val="8"/>
        </w:rPr>
      </w:pPr>
    </w:p>
    <w:p w:rsidR="009F6E65" w:rsidRPr="008E0469" w:rsidRDefault="00D05136" w:rsidP="009F6E65">
      <w:pPr>
        <w:spacing w:before="63" w:line="80" w:lineRule="exact"/>
        <w:ind w:left="408"/>
        <w:rPr>
          <w:rFonts w:eastAsia="Arial" w:cs="Arial"/>
          <w:w w:val="103"/>
          <w:sz w:val="8"/>
          <w:szCs w:val="8"/>
        </w:rPr>
      </w:pPr>
    </w:p>
    <w:p w:rsidR="009F6E65" w:rsidRPr="008E0469" w:rsidRDefault="00D05136" w:rsidP="009F6E65">
      <w:pPr>
        <w:spacing w:before="63" w:line="80" w:lineRule="exact"/>
        <w:ind w:left="408"/>
        <w:rPr>
          <w:rFonts w:eastAsia="Arial" w:cs="Arial"/>
          <w:sz w:val="8"/>
          <w:szCs w:val="8"/>
        </w:rPr>
      </w:pPr>
      <w:r w:rsidRPr="008E0469">
        <w:rPr>
          <w:w w:val="103"/>
          <w:sz w:val="8"/>
        </w:rPr>
        <w:t xml:space="preserve">Of </w:t>
      </w:r>
      <w:r w:rsidRPr="008E0469">
        <w:rPr>
          <w:w w:val="103"/>
          <w:sz w:val="8"/>
        </w:rPr>
        <w:t>which:</w:t>
      </w:r>
    </w:p>
    <w:p w:rsidR="009F6E65" w:rsidRPr="008E0469" w:rsidRDefault="00D05136">
      <w:pPr>
        <w:spacing w:before="9" w:line="0" w:lineRule="atLeast"/>
        <w:rPr>
          <w:sz w:val="1"/>
          <w:szCs w:val="1"/>
        </w:rPr>
      </w:pPr>
    </w:p>
    <w:tbl>
      <w:tblPr>
        <w:tblW w:w="0" w:type="auto"/>
        <w:tblInd w:w="377" w:type="dxa"/>
        <w:tblLayout w:type="fixed"/>
        <w:tblCellMar>
          <w:left w:w="0" w:type="dxa"/>
          <w:right w:w="0" w:type="dxa"/>
        </w:tblCellMar>
        <w:tblLook w:val="01E0" w:firstRow="1" w:lastRow="1" w:firstColumn="1" w:lastColumn="1" w:noHBand="0" w:noVBand="0"/>
      </w:tblPr>
      <w:tblGrid>
        <w:gridCol w:w="1781"/>
        <w:gridCol w:w="901"/>
        <w:gridCol w:w="870"/>
        <w:gridCol w:w="870"/>
        <w:gridCol w:w="870"/>
        <w:gridCol w:w="870"/>
        <w:gridCol w:w="870"/>
        <w:gridCol w:w="870"/>
        <w:gridCol w:w="870"/>
      </w:tblGrid>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w w:val="103"/>
                <w:sz w:val="8"/>
              </w:rPr>
              <w:t>Passengers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71" w:right="368"/>
              <w:jc w:val="center"/>
              <w:rPr>
                <w:rFonts w:eastAsia="Arial" w:cs="Arial"/>
                <w:sz w:val="15"/>
                <w:szCs w:val="15"/>
              </w:rPr>
            </w:pPr>
            <w:r w:rsidRPr="008E0469">
              <w:rPr>
                <w:w w:val="103"/>
                <w:sz w:val="15"/>
              </w:rPr>
              <w:t>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Average number of passengers killed</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0.003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22"/>
              <w:ind w:left="20"/>
              <w:rPr>
                <w:rFonts w:eastAsia="Arial" w:cs="Arial"/>
                <w:sz w:val="8"/>
                <w:szCs w:val="8"/>
              </w:rPr>
            </w:pPr>
            <w:r w:rsidRPr="008E0469">
              <w:rPr>
                <w:sz w:val="8"/>
              </w:rPr>
              <w:t>Average number of passengers killed per billion passenger-kilometres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0.033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0.011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0.022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22"/>
              <w:ind w:left="20"/>
              <w:rPr>
                <w:rFonts w:eastAsia="Arial" w:cs="Arial"/>
                <w:sz w:val="8"/>
                <w:szCs w:val="8"/>
              </w:rPr>
            </w:pPr>
            <w:r w:rsidRPr="008E0469">
              <w:rPr>
                <w:sz w:val="8"/>
              </w:rPr>
              <w:t>Average number of</w:t>
            </w:r>
            <w:r w:rsidRPr="008E0469">
              <w:rPr>
                <w:sz w:val="8"/>
              </w:rPr>
              <w:t xml:space="preserve"> passengers killed per million passenger train-kilometres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0.004</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Employees or contractors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29" w:right="330"/>
              <w:jc w:val="center"/>
              <w:rPr>
                <w:rFonts w:eastAsia="Arial" w:cs="Arial"/>
                <w:sz w:val="15"/>
                <w:szCs w:val="15"/>
              </w:rPr>
            </w:pPr>
            <w:r w:rsidRPr="008E0469">
              <w:rPr>
                <w:spacing w:val="-4"/>
                <w:w w:val="103"/>
                <w:sz w:val="15"/>
              </w:rPr>
              <w:t>11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6</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1" w:right="347"/>
              <w:jc w:val="center"/>
              <w:rPr>
                <w:rFonts w:eastAsia="Arial" w:cs="Arial"/>
                <w:sz w:val="15"/>
                <w:szCs w:val="15"/>
              </w:rPr>
            </w:pPr>
            <w:r w:rsidRPr="008E0469">
              <w:rPr>
                <w:w w:val="103"/>
                <w:sz w:val="15"/>
              </w:rPr>
              <w:t>2</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22"/>
              <w:ind w:left="20"/>
              <w:rPr>
                <w:rFonts w:eastAsia="Arial" w:cs="Arial"/>
                <w:sz w:val="8"/>
                <w:szCs w:val="8"/>
              </w:rPr>
            </w:pPr>
            <w:r w:rsidRPr="008E0469">
              <w:rPr>
                <w:sz w:val="8"/>
              </w:rPr>
              <w:t>Average number of employees, including contractors, killed</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0.011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0.006</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0.002</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Level crossing users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29" w:right="330"/>
              <w:jc w:val="center"/>
              <w:rPr>
                <w:rFonts w:eastAsia="Arial" w:cs="Arial"/>
                <w:sz w:val="15"/>
                <w:szCs w:val="15"/>
              </w:rPr>
            </w:pPr>
            <w:r w:rsidRPr="008E0469">
              <w:rPr>
                <w:spacing w:val="-4"/>
                <w:w w:val="103"/>
                <w:sz w:val="15"/>
              </w:rPr>
              <w:t>32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10"/>
              <w:jc w:val="center"/>
              <w:rPr>
                <w:rFonts w:eastAsia="Arial" w:cs="Arial"/>
                <w:sz w:val="15"/>
                <w:szCs w:val="15"/>
              </w:rPr>
            </w:pPr>
            <w:r w:rsidRPr="008E0469">
              <w:rPr>
                <w:spacing w:val="-4"/>
                <w:w w:val="103"/>
                <w:sz w:val="15"/>
              </w:rPr>
              <w:t>32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22"/>
              <w:ind w:left="20"/>
              <w:rPr>
                <w:rFonts w:eastAsia="Arial" w:cs="Arial"/>
                <w:sz w:val="8"/>
                <w:szCs w:val="8"/>
              </w:rPr>
            </w:pPr>
            <w:r w:rsidRPr="008E0469">
              <w:rPr>
                <w:sz w:val="8"/>
              </w:rPr>
              <w:t>Average number of level crossing users killed</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7"/>
              <w:rPr>
                <w:rFonts w:eastAsia="Arial" w:cs="Arial"/>
                <w:sz w:val="15"/>
                <w:szCs w:val="15"/>
              </w:rPr>
            </w:pPr>
            <w:r w:rsidRPr="008E0469">
              <w:rPr>
                <w:spacing w:val="-4"/>
                <w:w w:val="103"/>
                <w:sz w:val="15"/>
              </w:rPr>
              <w:t>0.031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0.031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Trespassers on railway premises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29" w:right="330"/>
              <w:jc w:val="center"/>
              <w:rPr>
                <w:rFonts w:eastAsia="Arial" w:cs="Arial"/>
                <w:sz w:val="15"/>
                <w:szCs w:val="15"/>
              </w:rPr>
            </w:pPr>
            <w:r w:rsidRPr="008E0469">
              <w:rPr>
                <w:spacing w:val="-4"/>
                <w:w w:val="103"/>
                <w:sz w:val="15"/>
              </w:rPr>
              <w:t>74</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10"/>
              <w:jc w:val="center"/>
              <w:rPr>
                <w:rFonts w:eastAsia="Arial" w:cs="Arial"/>
                <w:sz w:val="15"/>
                <w:szCs w:val="15"/>
              </w:rPr>
            </w:pPr>
            <w:r w:rsidRPr="008E0469">
              <w:rPr>
                <w:spacing w:val="-4"/>
                <w:w w:val="103"/>
                <w:sz w:val="15"/>
              </w:rPr>
              <w:t>73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7"/>
              <w:jc w:val="center"/>
              <w:rPr>
                <w:rFonts w:eastAsia="Arial" w:cs="Arial"/>
                <w:sz w:val="15"/>
                <w:szCs w:val="15"/>
              </w:rPr>
            </w:pPr>
            <w:r w:rsidRPr="008E0469">
              <w:rPr>
                <w:w w:val="103"/>
                <w:sz w:val="15"/>
              </w:rPr>
              <w:t>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22"/>
              <w:ind w:left="20"/>
              <w:rPr>
                <w:rFonts w:eastAsia="Arial" w:cs="Arial"/>
                <w:sz w:val="8"/>
                <w:szCs w:val="8"/>
              </w:rPr>
            </w:pPr>
            <w:r w:rsidRPr="008E0469">
              <w:rPr>
                <w:sz w:val="8"/>
              </w:rPr>
              <w:t>Average number of trespassers on railway premises killed</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7"/>
              <w:rPr>
                <w:rFonts w:eastAsia="Arial" w:cs="Arial"/>
                <w:sz w:val="15"/>
                <w:szCs w:val="15"/>
              </w:rPr>
            </w:pPr>
            <w:r w:rsidRPr="008E0469">
              <w:rPr>
                <w:spacing w:val="-4"/>
                <w:w w:val="103"/>
                <w:sz w:val="15"/>
              </w:rPr>
              <w:t>0.071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0.070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Other persons on platforms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29" w:right="330"/>
              <w:jc w:val="center"/>
              <w:rPr>
                <w:rFonts w:eastAsia="Arial" w:cs="Arial"/>
                <w:sz w:val="15"/>
                <w:szCs w:val="15"/>
              </w:rPr>
            </w:pPr>
            <w:r w:rsidRPr="008E0469">
              <w:rPr>
                <w:spacing w:val="-4"/>
                <w:w w:val="103"/>
                <w:sz w:val="15"/>
              </w:rPr>
              <w:t>10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19" w:right="310"/>
              <w:jc w:val="center"/>
              <w:rPr>
                <w:rFonts w:eastAsia="Arial" w:cs="Arial"/>
                <w:sz w:val="15"/>
                <w:szCs w:val="15"/>
              </w:rPr>
            </w:pPr>
            <w:r w:rsidRPr="008E0469">
              <w:rPr>
                <w:spacing w:val="-4"/>
                <w:w w:val="103"/>
                <w:sz w:val="15"/>
              </w:rPr>
              <w:t>10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17" w:line="297" w:lineRule="auto"/>
              <w:ind w:left="20" w:right="381"/>
              <w:rPr>
                <w:rFonts w:eastAsia="Arial" w:cs="Arial"/>
                <w:sz w:val="8"/>
                <w:szCs w:val="8"/>
              </w:rPr>
            </w:pPr>
            <w:r w:rsidRPr="008E0469">
              <w:rPr>
                <w:sz w:val="8"/>
              </w:rPr>
              <w:t>Average number of other persons on platforms killed</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7"/>
              <w:rPr>
                <w:rFonts w:eastAsia="Arial" w:cs="Arial"/>
                <w:sz w:val="15"/>
                <w:szCs w:val="15"/>
              </w:rPr>
            </w:pPr>
            <w:r w:rsidRPr="008E0469">
              <w:rPr>
                <w:spacing w:val="-4"/>
                <w:w w:val="103"/>
                <w:sz w:val="15"/>
              </w:rPr>
              <w:t>0.010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0.010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22"/>
              <w:ind w:left="20"/>
              <w:rPr>
                <w:rFonts w:eastAsia="Arial" w:cs="Arial"/>
                <w:sz w:val="8"/>
                <w:szCs w:val="8"/>
              </w:rPr>
            </w:pPr>
            <w:r w:rsidRPr="008E0469">
              <w:rPr>
                <w:sz w:val="8"/>
              </w:rPr>
              <w:t>Other persons not on platforms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70" w:right="36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60" w:right="348"/>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59" w:right="347"/>
              <w:jc w:val="center"/>
              <w:rPr>
                <w:rFonts w:eastAsia="Arial" w:cs="Arial"/>
                <w:sz w:val="15"/>
                <w:szCs w:val="15"/>
              </w:rPr>
            </w:pPr>
            <w:r w:rsidRPr="008E0469">
              <w:rPr>
                <w:w w:val="103"/>
                <w:sz w:val="15"/>
              </w:rPr>
              <w:t>0</w:t>
            </w:r>
          </w:p>
        </w:tc>
      </w:tr>
      <w:tr w:rsidR="00F3700C">
        <w:trPr>
          <w:trHeight w:hRule="exact" w:val="373"/>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17" w:line="297" w:lineRule="auto"/>
              <w:ind w:left="20" w:right="409"/>
              <w:rPr>
                <w:rFonts w:eastAsia="Arial" w:cs="Arial"/>
                <w:sz w:val="8"/>
                <w:szCs w:val="8"/>
              </w:rPr>
            </w:pPr>
            <w:r w:rsidRPr="008E0469">
              <w:rPr>
                <w:sz w:val="8"/>
              </w:rPr>
              <w:t>Average number of other</w:t>
            </w:r>
            <w:r w:rsidRPr="008E0469">
              <w:rPr>
                <w:sz w:val="8"/>
              </w:rPr>
              <w:t xml:space="preserve"> persons not on platforms killed</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5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96"/>
              <w:ind w:left="247"/>
              <w:rPr>
                <w:rFonts w:eastAsia="Arial" w:cs="Arial"/>
                <w:sz w:val="15"/>
                <w:szCs w:val="15"/>
              </w:rPr>
            </w:pPr>
            <w:r w:rsidRPr="008E0469">
              <w:rPr>
                <w:spacing w:val="-4"/>
                <w:w w:val="103"/>
                <w:sz w:val="15"/>
              </w:rPr>
              <w:t>0.000</w:t>
            </w:r>
          </w:p>
        </w:tc>
      </w:tr>
    </w:tbl>
    <w:p w:rsidR="009F6E65" w:rsidRPr="008E0469" w:rsidRDefault="00D05136">
      <w:pPr>
        <w:spacing w:before="6" w:line="280" w:lineRule="exact"/>
        <w:rPr>
          <w:sz w:val="28"/>
          <w:szCs w:val="28"/>
        </w:rPr>
      </w:pPr>
    </w:p>
    <w:p w:rsidR="009F6E65" w:rsidRPr="008E0469" w:rsidRDefault="00D05136" w:rsidP="009F6E65">
      <w:pPr>
        <w:pStyle w:val="ListParagraph"/>
        <w:numPr>
          <w:ilvl w:val="0"/>
          <w:numId w:val="21"/>
        </w:numPr>
        <w:spacing w:line="180" w:lineRule="exact"/>
        <w:rPr>
          <w:rFonts w:eastAsia="Arial" w:cs="Arial"/>
          <w:sz w:val="16"/>
          <w:szCs w:val="16"/>
        </w:rPr>
      </w:pPr>
      <w:r w:rsidRPr="008E0469">
        <w:rPr>
          <w:b/>
          <w:spacing w:val="5"/>
          <w:sz w:val="16"/>
        </w:rPr>
        <w:t>Indicators relating to dangerous goods</w:t>
      </w:r>
    </w:p>
    <w:p w:rsidR="009F6E65" w:rsidRPr="008E0469" w:rsidRDefault="00D05136">
      <w:pPr>
        <w:spacing w:before="2" w:line="160" w:lineRule="exact"/>
        <w:rPr>
          <w:sz w:val="16"/>
          <w:szCs w:val="16"/>
        </w:rPr>
      </w:pPr>
    </w:p>
    <w:p w:rsidR="009F6E65" w:rsidRPr="008E0469" w:rsidRDefault="00D05136">
      <w:pPr>
        <w:spacing w:before="47"/>
        <w:ind w:left="410"/>
        <w:rPr>
          <w:rFonts w:eastAsia="Arial" w:cs="Arial"/>
          <w:sz w:val="13"/>
          <w:szCs w:val="13"/>
        </w:rPr>
      </w:pPr>
      <w:r w:rsidRPr="008E0469">
        <w:rPr>
          <w:b/>
          <w:spacing w:val="-1"/>
          <w:sz w:val="13"/>
        </w:rPr>
        <w:t>Total and average number (per million train-kilometres) of accidents in</w:t>
      </w:r>
    </w:p>
    <w:p w:rsidR="009F6E65" w:rsidRPr="008E0469" w:rsidRDefault="00D05136">
      <w:pPr>
        <w:spacing w:before="26" w:line="140" w:lineRule="exact"/>
        <w:ind w:left="410"/>
        <w:rPr>
          <w:rFonts w:eastAsia="Arial" w:cs="Arial"/>
          <w:sz w:val="13"/>
          <w:szCs w:val="13"/>
        </w:rPr>
      </w:pPr>
      <w:r w:rsidRPr="008E0469">
        <w:rPr>
          <w:b/>
          <w:spacing w:val="-10"/>
          <w:sz w:val="13"/>
        </w:rPr>
        <w:t xml:space="preserve">connection with the carriage of dangerous goods, broken down </w:t>
      </w:r>
      <w:r w:rsidRPr="008E0469">
        <w:rPr>
          <w:b/>
          <w:spacing w:val="-10"/>
          <w:sz w:val="13"/>
        </w:rPr>
        <w:t>into the following categories</w:t>
      </w:r>
    </w:p>
    <w:p w:rsidR="009F6E65" w:rsidRPr="008E0469" w:rsidRDefault="00D05136">
      <w:pPr>
        <w:spacing w:before="5" w:line="160" w:lineRule="exact"/>
        <w:rPr>
          <w:sz w:val="17"/>
          <w:szCs w:val="17"/>
        </w:rPr>
      </w:pPr>
    </w:p>
    <w:tbl>
      <w:tblPr>
        <w:tblW w:w="0" w:type="auto"/>
        <w:tblInd w:w="377" w:type="dxa"/>
        <w:tblLayout w:type="fixed"/>
        <w:tblCellMar>
          <w:left w:w="0" w:type="dxa"/>
          <w:right w:w="0" w:type="dxa"/>
        </w:tblCellMar>
        <w:tblLook w:val="01E0" w:firstRow="1" w:lastRow="1" w:firstColumn="1" w:lastColumn="1" w:noHBand="0" w:noVBand="0"/>
      </w:tblPr>
      <w:tblGrid>
        <w:gridCol w:w="1781"/>
        <w:gridCol w:w="901"/>
        <w:gridCol w:w="870"/>
      </w:tblGrid>
      <w:tr w:rsidR="00F3700C" w:rsidTr="009F6E65">
        <w:trPr>
          <w:trHeight w:hRule="exact" w:val="683"/>
        </w:trPr>
        <w:tc>
          <w:tcPr>
            <w:tcW w:w="1781"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7" w:line="297" w:lineRule="auto"/>
              <w:ind w:left="85" w:right="76" w:firstLine="18"/>
              <w:jc w:val="center"/>
              <w:rPr>
                <w:rFonts w:eastAsia="Arial" w:cs="Arial"/>
                <w:sz w:val="8"/>
                <w:szCs w:val="8"/>
              </w:rPr>
            </w:pPr>
            <w:r w:rsidRPr="008E0469">
              <w:rPr>
                <w:sz w:val="8"/>
              </w:rPr>
              <w:t>Accidents in which at least one rail vehicle carrying dangerous goods was involved</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72" w:right="77" w:firstLine="21"/>
              <w:jc w:val="center"/>
              <w:rPr>
                <w:rFonts w:eastAsia="Arial" w:cs="Arial"/>
                <w:sz w:val="8"/>
                <w:szCs w:val="8"/>
              </w:rPr>
            </w:pPr>
            <w:r w:rsidRPr="008E0469">
              <w:rPr>
                <w:sz w:val="8"/>
              </w:rPr>
              <w:t>Accidents in which dangerous goods were released</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w w:val="103"/>
                <w:sz w:val="8"/>
              </w:rPr>
              <w:t>Total</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371" w:right="368"/>
              <w:jc w:val="center"/>
              <w:rPr>
                <w:rFonts w:eastAsia="Arial" w:cs="Arial"/>
                <w:sz w:val="15"/>
                <w:szCs w:val="15"/>
              </w:rPr>
            </w:pPr>
            <w:r w:rsidRPr="008E0469">
              <w:rPr>
                <w:w w:val="103"/>
                <w:sz w:val="15"/>
              </w:rPr>
              <w:t>6</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361" w:right="347"/>
              <w:jc w:val="center"/>
              <w:rPr>
                <w:rFonts w:eastAsia="Arial" w:cs="Arial"/>
                <w:sz w:val="15"/>
                <w:szCs w:val="15"/>
              </w:rPr>
            </w:pPr>
            <w:r w:rsidRPr="008E0469">
              <w:rPr>
                <w:w w:val="103"/>
                <w:sz w:val="15"/>
              </w:rPr>
              <w:t>5</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27"/>
              <w:ind w:left="20"/>
              <w:rPr>
                <w:rFonts w:eastAsia="Arial" w:cs="Arial"/>
                <w:sz w:val="8"/>
                <w:szCs w:val="8"/>
              </w:rPr>
            </w:pPr>
            <w:r w:rsidRPr="008E0469">
              <w:rPr>
                <w:w w:val="103"/>
                <w:sz w:val="8"/>
              </w:rPr>
              <w:t>Average number</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258"/>
              <w:rPr>
                <w:rFonts w:eastAsia="Arial" w:cs="Arial"/>
                <w:sz w:val="15"/>
                <w:szCs w:val="15"/>
              </w:rPr>
            </w:pPr>
            <w:r w:rsidRPr="008E0469">
              <w:rPr>
                <w:spacing w:val="-4"/>
                <w:w w:val="103"/>
                <w:sz w:val="15"/>
              </w:rPr>
              <w:t>0.006</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247"/>
              <w:rPr>
                <w:rFonts w:eastAsia="Arial" w:cs="Arial"/>
                <w:sz w:val="15"/>
                <w:szCs w:val="15"/>
              </w:rPr>
            </w:pPr>
            <w:r w:rsidRPr="008E0469">
              <w:rPr>
                <w:spacing w:val="-4"/>
                <w:w w:val="103"/>
                <w:sz w:val="15"/>
              </w:rPr>
              <w:t>0.005</w:t>
            </w:r>
          </w:p>
        </w:tc>
      </w:tr>
    </w:tbl>
    <w:p w:rsidR="009F6E65" w:rsidRPr="008E0469" w:rsidRDefault="00D05136">
      <w:pPr>
        <w:spacing w:before="6" w:line="280" w:lineRule="exact"/>
        <w:rPr>
          <w:sz w:val="28"/>
          <w:szCs w:val="28"/>
        </w:rPr>
      </w:pPr>
    </w:p>
    <w:p w:rsidR="009F6E65" w:rsidRPr="008E0469" w:rsidRDefault="00D05136" w:rsidP="009F6E65">
      <w:pPr>
        <w:pStyle w:val="ListParagraph"/>
        <w:numPr>
          <w:ilvl w:val="0"/>
          <w:numId w:val="21"/>
        </w:numPr>
        <w:spacing w:line="180" w:lineRule="exact"/>
        <w:rPr>
          <w:rFonts w:eastAsia="Arial" w:cs="Arial"/>
          <w:sz w:val="16"/>
          <w:szCs w:val="16"/>
        </w:rPr>
      </w:pPr>
      <w:r w:rsidRPr="008E0469">
        <w:rPr>
          <w:b/>
          <w:spacing w:val="5"/>
          <w:sz w:val="16"/>
        </w:rPr>
        <w:t>Indicators relating to suicides</w:t>
      </w:r>
    </w:p>
    <w:p w:rsidR="009F6E65" w:rsidRPr="008E0469" w:rsidRDefault="00D05136">
      <w:pPr>
        <w:spacing w:before="2" w:line="160" w:lineRule="exact"/>
        <w:rPr>
          <w:sz w:val="16"/>
          <w:szCs w:val="16"/>
        </w:rPr>
      </w:pPr>
    </w:p>
    <w:p w:rsidR="009F6E65" w:rsidRPr="008E0469" w:rsidRDefault="00D05136">
      <w:pPr>
        <w:spacing w:before="47" w:line="140" w:lineRule="exact"/>
        <w:ind w:left="410"/>
        <w:rPr>
          <w:rFonts w:eastAsia="Arial" w:cs="Arial"/>
          <w:sz w:val="13"/>
          <w:szCs w:val="13"/>
        </w:rPr>
      </w:pPr>
      <w:r w:rsidRPr="008E0469">
        <w:rPr>
          <w:b/>
          <w:spacing w:val="-1"/>
          <w:sz w:val="13"/>
        </w:rPr>
        <w:t xml:space="preserve">Total and average </w:t>
      </w:r>
      <w:r w:rsidRPr="008E0469">
        <w:rPr>
          <w:b/>
          <w:spacing w:val="-1"/>
          <w:sz w:val="13"/>
        </w:rPr>
        <w:t>number (per million train-kilometres) of suicides</w:t>
      </w:r>
    </w:p>
    <w:p w:rsidR="009F6E65" w:rsidRPr="008E0469" w:rsidRDefault="00D05136">
      <w:pPr>
        <w:spacing w:before="5" w:line="160" w:lineRule="exact"/>
        <w:rPr>
          <w:sz w:val="17"/>
          <w:szCs w:val="17"/>
        </w:rPr>
      </w:pPr>
    </w:p>
    <w:tbl>
      <w:tblPr>
        <w:tblW w:w="0" w:type="auto"/>
        <w:tblInd w:w="377" w:type="dxa"/>
        <w:tblLayout w:type="fixed"/>
        <w:tblCellMar>
          <w:left w:w="0" w:type="dxa"/>
          <w:right w:w="0" w:type="dxa"/>
        </w:tblCellMar>
        <w:tblLook w:val="01E0" w:firstRow="1" w:lastRow="1" w:firstColumn="1" w:lastColumn="1" w:noHBand="0" w:noVBand="0"/>
      </w:tblPr>
      <w:tblGrid>
        <w:gridCol w:w="1781"/>
        <w:gridCol w:w="901"/>
        <w:gridCol w:w="870"/>
      </w:tblGrid>
      <w:tr w:rsidR="00F3700C">
        <w:trPr>
          <w:trHeight w:hRule="exact" w:val="269"/>
        </w:trPr>
        <w:tc>
          <w:tcPr>
            <w:tcW w:w="1781"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83" w:right="281"/>
              <w:jc w:val="center"/>
              <w:rPr>
                <w:rFonts w:eastAsia="Arial" w:cs="Arial"/>
                <w:sz w:val="8"/>
                <w:szCs w:val="8"/>
              </w:rPr>
            </w:pPr>
            <w:r w:rsidRPr="008E0469">
              <w:rPr>
                <w:w w:val="103"/>
                <w:sz w:val="8"/>
              </w:rPr>
              <w:t>Suicides</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154"/>
              <w:rPr>
                <w:rFonts w:eastAsia="Arial" w:cs="Arial"/>
                <w:sz w:val="8"/>
                <w:szCs w:val="8"/>
              </w:rPr>
            </w:pPr>
            <w:r w:rsidRPr="008E0469">
              <w:rPr>
                <w:w w:val="103"/>
                <w:sz w:val="8"/>
              </w:rPr>
              <w:t>Suicide attempts</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w w:val="103"/>
                <w:sz w:val="8"/>
              </w:rPr>
              <w:t>Total</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288" w:right="288"/>
              <w:jc w:val="center"/>
              <w:rPr>
                <w:rFonts w:eastAsia="Arial" w:cs="Arial"/>
                <w:sz w:val="15"/>
                <w:szCs w:val="15"/>
              </w:rPr>
            </w:pPr>
            <w:r w:rsidRPr="008E0469">
              <w:rPr>
                <w:spacing w:val="-4"/>
                <w:w w:val="103"/>
                <w:sz w:val="15"/>
              </w:rPr>
              <w:t>806</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278" w:right="268"/>
              <w:jc w:val="center"/>
              <w:rPr>
                <w:rFonts w:eastAsia="Arial" w:cs="Arial"/>
                <w:sz w:val="15"/>
                <w:szCs w:val="15"/>
              </w:rPr>
            </w:pPr>
            <w:r w:rsidRPr="008E0469">
              <w:rPr>
                <w:spacing w:val="-4"/>
                <w:w w:val="103"/>
                <w:sz w:val="15"/>
              </w:rPr>
              <w:t>101</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27"/>
              <w:ind w:left="20"/>
              <w:rPr>
                <w:rFonts w:eastAsia="Arial" w:cs="Arial"/>
                <w:sz w:val="8"/>
                <w:szCs w:val="8"/>
              </w:rPr>
            </w:pPr>
            <w:r w:rsidRPr="008E0469">
              <w:rPr>
                <w:w w:val="103"/>
                <w:sz w:val="8"/>
              </w:rPr>
              <w:t>Average</w:t>
            </w:r>
          </w:p>
          <w:p w:rsidR="009F6E65" w:rsidRPr="008E0469" w:rsidRDefault="00D05136">
            <w:pPr>
              <w:spacing w:before="22"/>
              <w:ind w:left="20"/>
              <w:rPr>
                <w:rFonts w:eastAsia="Arial" w:cs="Arial"/>
                <w:sz w:val="8"/>
                <w:szCs w:val="8"/>
              </w:rPr>
            </w:pPr>
            <w:r w:rsidRPr="008E0469">
              <w:rPr>
                <w:w w:val="103"/>
                <w:sz w:val="8"/>
              </w:rPr>
              <w:t>number</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258"/>
              <w:rPr>
                <w:rFonts w:eastAsia="Arial" w:cs="Arial"/>
                <w:sz w:val="15"/>
                <w:szCs w:val="15"/>
              </w:rPr>
            </w:pPr>
            <w:r w:rsidRPr="008E0469">
              <w:rPr>
                <w:spacing w:val="-4"/>
                <w:w w:val="103"/>
                <w:sz w:val="15"/>
              </w:rPr>
              <w:t>0.774</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247"/>
              <w:rPr>
                <w:rFonts w:eastAsia="Arial" w:cs="Arial"/>
                <w:sz w:val="15"/>
                <w:szCs w:val="15"/>
              </w:rPr>
            </w:pPr>
            <w:r w:rsidRPr="008E0469">
              <w:rPr>
                <w:spacing w:val="-4"/>
                <w:w w:val="103"/>
                <w:sz w:val="15"/>
              </w:rPr>
              <w:t>0.097</w:t>
            </w:r>
          </w:p>
        </w:tc>
      </w:tr>
    </w:tbl>
    <w:p w:rsidR="009F6E65" w:rsidRPr="008E0469" w:rsidRDefault="00D05136">
      <w:pPr>
        <w:spacing w:before="14" w:line="220" w:lineRule="exact"/>
        <w:rPr>
          <w:sz w:val="22"/>
          <w:szCs w:val="22"/>
        </w:rPr>
      </w:pPr>
    </w:p>
    <w:p w:rsidR="009F6E65" w:rsidRPr="008E0469" w:rsidRDefault="00D05136" w:rsidP="009F6E65">
      <w:pPr>
        <w:pStyle w:val="ListParagraph"/>
        <w:numPr>
          <w:ilvl w:val="0"/>
          <w:numId w:val="21"/>
        </w:numPr>
        <w:spacing w:line="180" w:lineRule="exact"/>
        <w:rPr>
          <w:rFonts w:eastAsia="Arial" w:cs="Arial"/>
          <w:sz w:val="16"/>
          <w:szCs w:val="16"/>
        </w:rPr>
      </w:pPr>
      <w:r w:rsidRPr="008E0469">
        <w:rPr>
          <w:b/>
          <w:spacing w:val="5"/>
          <w:sz w:val="16"/>
        </w:rPr>
        <w:t>Indicators relating to incidents and near misses</w:t>
      </w:r>
    </w:p>
    <w:p w:rsidR="009F6E65" w:rsidRPr="008E0469" w:rsidRDefault="00D05136">
      <w:pPr>
        <w:spacing w:before="2" w:line="160" w:lineRule="exact"/>
        <w:rPr>
          <w:sz w:val="16"/>
          <w:szCs w:val="16"/>
        </w:rPr>
      </w:pPr>
    </w:p>
    <w:p w:rsidR="009F6E65" w:rsidRPr="008E0469" w:rsidRDefault="00D05136">
      <w:pPr>
        <w:spacing w:before="47" w:line="282" w:lineRule="auto"/>
        <w:ind w:left="410" w:right="990"/>
        <w:rPr>
          <w:rFonts w:eastAsia="Arial" w:cs="Arial"/>
          <w:sz w:val="13"/>
          <w:szCs w:val="13"/>
        </w:rPr>
      </w:pPr>
      <w:r w:rsidRPr="008E0469">
        <w:rPr>
          <w:b/>
          <w:spacing w:val="-1"/>
          <w:sz w:val="13"/>
        </w:rPr>
        <w:t xml:space="preserve">Total number and average number (per million train-kilometres) of incidents and </w:t>
      </w:r>
      <w:r w:rsidRPr="008E0469">
        <w:rPr>
          <w:b/>
          <w:spacing w:val="-1"/>
          <w:sz w:val="13"/>
        </w:rPr>
        <w:t>near misses, broken down into the following categories</w:t>
      </w:r>
    </w:p>
    <w:p w:rsidR="009F6E65" w:rsidRPr="008E0469" w:rsidRDefault="00D05136">
      <w:pPr>
        <w:spacing w:before="7" w:line="140" w:lineRule="exact"/>
        <w:rPr>
          <w:sz w:val="14"/>
          <w:szCs w:val="14"/>
        </w:rPr>
      </w:pPr>
    </w:p>
    <w:tbl>
      <w:tblPr>
        <w:tblW w:w="0" w:type="auto"/>
        <w:tblInd w:w="377" w:type="dxa"/>
        <w:tblLayout w:type="fixed"/>
        <w:tblCellMar>
          <w:left w:w="0" w:type="dxa"/>
          <w:right w:w="0" w:type="dxa"/>
        </w:tblCellMar>
        <w:tblLook w:val="01E0" w:firstRow="1" w:lastRow="1" w:firstColumn="1" w:lastColumn="1" w:noHBand="0" w:noVBand="0"/>
      </w:tblPr>
      <w:tblGrid>
        <w:gridCol w:w="1781"/>
        <w:gridCol w:w="901"/>
        <w:gridCol w:w="870"/>
        <w:gridCol w:w="870"/>
        <w:gridCol w:w="870"/>
        <w:gridCol w:w="870"/>
        <w:gridCol w:w="870"/>
        <w:gridCol w:w="870"/>
        <w:gridCol w:w="870"/>
      </w:tblGrid>
      <w:tr w:rsidR="00F3700C" w:rsidTr="009F6E65">
        <w:trPr>
          <w:trHeight w:hRule="exact" w:val="601"/>
        </w:trPr>
        <w:tc>
          <w:tcPr>
            <w:tcW w:w="1781"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22"/>
              <w:ind w:right="81"/>
              <w:jc w:val="center"/>
              <w:rPr>
                <w:rFonts w:eastAsia="Arial" w:cs="Arial"/>
                <w:sz w:val="8"/>
                <w:szCs w:val="8"/>
              </w:rPr>
            </w:pPr>
            <w:r w:rsidRPr="008E0469">
              <w:rPr>
                <w:sz w:val="8"/>
              </w:rPr>
              <w:t>All incidents and near misses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144"/>
              <w:jc w:val="center"/>
              <w:rPr>
                <w:rFonts w:eastAsia="Arial" w:cs="Arial"/>
                <w:sz w:val="8"/>
                <w:szCs w:val="8"/>
              </w:rPr>
            </w:pPr>
            <w:r w:rsidRPr="008E0469">
              <w:rPr>
                <w:w w:val="103"/>
                <w:sz w:val="8"/>
              </w:rPr>
              <w:t>Broken rails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79" w:line="297" w:lineRule="auto"/>
              <w:ind w:left="96" w:right="85" w:firstLine="20"/>
              <w:jc w:val="center"/>
              <w:rPr>
                <w:rFonts w:eastAsia="Arial" w:cs="Arial"/>
                <w:sz w:val="8"/>
                <w:szCs w:val="8"/>
              </w:rPr>
            </w:pPr>
            <w:r w:rsidRPr="008E0469">
              <w:rPr>
                <w:w w:val="103"/>
                <w:sz w:val="8"/>
              </w:rPr>
              <w:t>Buckled rails and other track layout failures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40"/>
              <w:jc w:val="center"/>
              <w:rPr>
                <w:rFonts w:eastAsia="Arial" w:cs="Arial"/>
                <w:sz w:val="8"/>
                <w:szCs w:val="8"/>
              </w:rPr>
            </w:pPr>
            <w:r w:rsidRPr="008E0469">
              <w:rPr>
                <w:w w:val="103"/>
                <w:sz w:val="8"/>
              </w:rPr>
              <w:t>Signalling failures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79" w:line="297" w:lineRule="auto"/>
              <w:ind w:left="127" w:right="128" w:hanging="5"/>
              <w:jc w:val="center"/>
              <w:rPr>
                <w:rFonts w:eastAsia="Arial" w:cs="Arial"/>
                <w:sz w:val="8"/>
                <w:szCs w:val="8"/>
              </w:rPr>
            </w:pPr>
            <w:r w:rsidRPr="008E0469">
              <w:rPr>
                <w:w w:val="103"/>
                <w:sz w:val="8"/>
              </w:rPr>
              <w:t>Signals passed at danger with the danger point being reached</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79" w:line="297" w:lineRule="auto"/>
              <w:ind w:left="96" w:right="85" w:hanging="16"/>
              <w:jc w:val="center"/>
              <w:rPr>
                <w:rFonts w:eastAsia="Arial" w:cs="Arial"/>
                <w:sz w:val="8"/>
                <w:szCs w:val="8"/>
              </w:rPr>
            </w:pPr>
            <w:r w:rsidRPr="008E0469">
              <w:rPr>
                <w:w w:val="103"/>
                <w:sz w:val="8"/>
              </w:rPr>
              <w:t xml:space="preserve">Signals passed at danger </w:t>
            </w:r>
            <w:r w:rsidRPr="008E0469">
              <w:rPr>
                <w:w w:val="103"/>
                <w:sz w:val="8"/>
              </w:rPr>
              <w:t>without the danger point being reached</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27"/>
              <w:jc w:val="center"/>
              <w:rPr>
                <w:rFonts w:eastAsia="Arial" w:cs="Arial"/>
                <w:sz w:val="8"/>
                <w:szCs w:val="8"/>
              </w:rPr>
            </w:pPr>
            <w:r w:rsidRPr="008E0469">
              <w:rPr>
                <w:w w:val="103"/>
                <w:sz w:val="8"/>
              </w:rPr>
              <w:t>Broken wheels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20" w:right="-2" w:firstLine="207"/>
              <w:jc w:val="center"/>
              <w:rPr>
                <w:rFonts w:eastAsia="Arial" w:cs="Arial"/>
                <w:sz w:val="8"/>
                <w:szCs w:val="8"/>
              </w:rPr>
            </w:pPr>
            <w:r w:rsidRPr="008E0469">
              <w:rPr>
                <w:sz w:val="8"/>
              </w:rPr>
              <w:t>Broken axles or wheelset axles</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w w:val="103"/>
                <w:sz w:val="8"/>
              </w:rPr>
              <w:t>Total</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288" w:right="288"/>
              <w:jc w:val="center"/>
              <w:rPr>
                <w:rFonts w:eastAsia="Arial" w:cs="Arial"/>
                <w:sz w:val="15"/>
                <w:szCs w:val="15"/>
              </w:rPr>
            </w:pPr>
            <w:r w:rsidRPr="008E0469">
              <w:rPr>
                <w:spacing w:val="-4"/>
                <w:w w:val="103"/>
                <w:sz w:val="15"/>
              </w:rPr>
              <w:t>805</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278" w:right="268"/>
              <w:jc w:val="center"/>
              <w:rPr>
                <w:rFonts w:eastAsia="Arial" w:cs="Arial"/>
                <w:sz w:val="15"/>
                <w:szCs w:val="15"/>
              </w:rPr>
            </w:pPr>
            <w:r w:rsidRPr="008E0469">
              <w:rPr>
                <w:spacing w:val="-4"/>
                <w:w w:val="103"/>
                <w:sz w:val="15"/>
              </w:rPr>
              <w:t>262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319" w:right="309"/>
              <w:jc w:val="center"/>
              <w:rPr>
                <w:rFonts w:eastAsia="Arial" w:cs="Arial"/>
                <w:sz w:val="15"/>
                <w:szCs w:val="15"/>
              </w:rPr>
            </w:pPr>
            <w:r w:rsidRPr="008E0469">
              <w:rPr>
                <w:spacing w:val="-4"/>
                <w:w w:val="103"/>
                <w:sz w:val="15"/>
              </w:rPr>
              <w:t>55</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361" w:right="347"/>
              <w:jc w:val="center"/>
              <w:rPr>
                <w:rFonts w:eastAsia="Arial" w:cs="Arial"/>
                <w:sz w:val="15"/>
                <w:szCs w:val="15"/>
              </w:rPr>
            </w:pPr>
            <w:r w:rsidRPr="008E0469">
              <w:rPr>
                <w:w w:val="103"/>
                <w:sz w:val="15"/>
              </w:rPr>
              <w:t>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319" w:right="309"/>
              <w:jc w:val="center"/>
              <w:rPr>
                <w:rFonts w:eastAsia="Arial" w:cs="Arial"/>
                <w:sz w:val="15"/>
                <w:szCs w:val="15"/>
              </w:rPr>
            </w:pPr>
            <w:r w:rsidRPr="008E0469">
              <w:rPr>
                <w:spacing w:val="-4"/>
                <w:w w:val="103"/>
                <w:sz w:val="15"/>
              </w:rPr>
              <w:t>71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278" w:right="268"/>
              <w:jc w:val="center"/>
              <w:rPr>
                <w:rFonts w:eastAsia="Arial" w:cs="Arial"/>
                <w:sz w:val="15"/>
                <w:szCs w:val="15"/>
              </w:rPr>
            </w:pPr>
            <w:r w:rsidRPr="008E0469">
              <w:rPr>
                <w:spacing w:val="-4"/>
                <w:w w:val="103"/>
                <w:sz w:val="15"/>
              </w:rPr>
              <w:t>411</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361" w:right="347"/>
              <w:jc w:val="center"/>
              <w:rPr>
                <w:rFonts w:eastAsia="Arial" w:cs="Arial"/>
                <w:sz w:val="15"/>
                <w:szCs w:val="15"/>
              </w:rPr>
            </w:pPr>
            <w:r w:rsidRPr="008E0469">
              <w:rPr>
                <w:w w:val="103"/>
                <w:sz w:val="15"/>
              </w:rPr>
              <w:t>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5"/>
              <w:ind w:left="361" w:right="347"/>
              <w:jc w:val="center"/>
              <w:rPr>
                <w:rFonts w:eastAsia="Arial" w:cs="Arial"/>
                <w:sz w:val="15"/>
                <w:szCs w:val="15"/>
              </w:rPr>
            </w:pPr>
            <w:r w:rsidRPr="008E0469">
              <w:rPr>
                <w:w w:val="103"/>
                <w:sz w:val="15"/>
              </w:rPr>
              <w:t>4</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Average number</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0.773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0.252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0.053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0.068</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0.395</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0.004</w:t>
            </w:r>
          </w:p>
        </w:tc>
      </w:tr>
    </w:tbl>
    <w:p w:rsidR="009F6E65" w:rsidRPr="008E0469" w:rsidRDefault="00D05136">
      <w:pPr>
        <w:sectPr w:rsidR="009F6E65" w:rsidRPr="008E0469">
          <w:pgSz w:w="11920" w:h="16840"/>
          <w:pgMar w:top="580" w:right="1300" w:bottom="280" w:left="1320" w:header="0" w:footer="735" w:gutter="0"/>
          <w:pgNumType w:start="30"/>
          <w:cols w:space="720"/>
        </w:sectPr>
      </w:pPr>
    </w:p>
    <w:p w:rsidR="009F6E65" w:rsidRPr="008E0469" w:rsidRDefault="00D05136">
      <w:pPr>
        <w:spacing w:line="200" w:lineRule="exact"/>
      </w:pPr>
    </w:p>
    <w:p w:rsidR="009F6E65" w:rsidRPr="008E0469" w:rsidRDefault="00D05136">
      <w:pPr>
        <w:spacing w:before="10" w:line="240" w:lineRule="exact"/>
        <w:rPr>
          <w:szCs w:val="24"/>
        </w:rPr>
      </w:pPr>
    </w:p>
    <w:p w:rsidR="009F6E65" w:rsidRPr="008E0469" w:rsidRDefault="00D05136" w:rsidP="009F6E65">
      <w:pPr>
        <w:pStyle w:val="ListParagraph"/>
        <w:numPr>
          <w:ilvl w:val="0"/>
          <w:numId w:val="21"/>
        </w:numPr>
        <w:spacing w:line="180" w:lineRule="exact"/>
        <w:rPr>
          <w:rFonts w:eastAsia="Arial" w:cs="Arial"/>
          <w:sz w:val="16"/>
          <w:szCs w:val="16"/>
        </w:rPr>
      </w:pPr>
      <w:r w:rsidRPr="008E0469">
        <w:rPr>
          <w:b/>
          <w:spacing w:val="5"/>
          <w:sz w:val="16"/>
        </w:rPr>
        <w:t xml:space="preserve">Indicators relating to the consequences of </w:t>
      </w:r>
      <w:r w:rsidRPr="008E0469">
        <w:rPr>
          <w:b/>
          <w:spacing w:val="5"/>
          <w:sz w:val="16"/>
        </w:rPr>
        <w:t>accidents</w:t>
      </w:r>
    </w:p>
    <w:p w:rsidR="009F6E65" w:rsidRPr="008E0469" w:rsidRDefault="00D05136">
      <w:pPr>
        <w:spacing w:before="8" w:line="140" w:lineRule="exact"/>
        <w:rPr>
          <w:sz w:val="14"/>
          <w:szCs w:val="14"/>
        </w:rPr>
      </w:pPr>
    </w:p>
    <w:p w:rsidR="009F6E65" w:rsidRPr="008E0469" w:rsidRDefault="00D05136">
      <w:pPr>
        <w:spacing w:line="200" w:lineRule="exact"/>
      </w:pPr>
    </w:p>
    <w:p w:rsidR="009F6E65" w:rsidRPr="008E0469" w:rsidRDefault="00D05136">
      <w:pPr>
        <w:spacing w:before="47" w:line="140" w:lineRule="exact"/>
        <w:ind w:left="390"/>
        <w:rPr>
          <w:rFonts w:eastAsia="Arial" w:cs="Arial"/>
          <w:sz w:val="13"/>
          <w:szCs w:val="13"/>
        </w:rPr>
      </w:pPr>
      <w:r w:rsidRPr="008E0469">
        <w:rPr>
          <w:b/>
          <w:spacing w:val="-1"/>
          <w:sz w:val="13"/>
        </w:rPr>
        <w:t>Total amount in Euro and average delay in minutes and average values (per million train-kilometres) for</w:t>
      </w:r>
    </w:p>
    <w:p w:rsidR="009F6E65" w:rsidRPr="008E0469" w:rsidRDefault="00D05136">
      <w:pPr>
        <w:spacing w:before="6" w:line="180" w:lineRule="exact"/>
        <w:rPr>
          <w:sz w:val="18"/>
          <w:szCs w:val="18"/>
        </w:rPr>
      </w:pPr>
    </w:p>
    <w:tbl>
      <w:tblPr>
        <w:tblW w:w="0" w:type="auto"/>
        <w:tblInd w:w="357" w:type="dxa"/>
        <w:tblLayout w:type="fixed"/>
        <w:tblCellMar>
          <w:left w:w="0" w:type="dxa"/>
          <w:right w:w="0" w:type="dxa"/>
        </w:tblCellMar>
        <w:tblLook w:val="01E0" w:firstRow="1" w:lastRow="1" w:firstColumn="1" w:lastColumn="1" w:noHBand="0" w:noVBand="0"/>
      </w:tblPr>
      <w:tblGrid>
        <w:gridCol w:w="1781"/>
        <w:gridCol w:w="901"/>
        <w:gridCol w:w="870"/>
        <w:gridCol w:w="870"/>
        <w:gridCol w:w="870"/>
      </w:tblGrid>
      <w:tr w:rsidR="00F3700C" w:rsidTr="009F6E65">
        <w:trPr>
          <w:trHeight w:hRule="exact" w:val="569"/>
        </w:trPr>
        <w:tc>
          <w:tcPr>
            <w:tcW w:w="1781"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6" w:line="297" w:lineRule="auto"/>
              <w:ind w:left="34" w:right="54" w:firstLine="16"/>
              <w:jc w:val="center"/>
              <w:rPr>
                <w:rFonts w:eastAsia="Arial" w:cs="Arial"/>
                <w:sz w:val="8"/>
                <w:szCs w:val="8"/>
              </w:rPr>
            </w:pPr>
            <w:r w:rsidRPr="008E0469">
              <w:rPr>
                <w:sz w:val="8"/>
              </w:rPr>
              <w:t>Number of deaths and serious injuries multiplied by the value of preventing accident casualties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75" w:right="37" w:hanging="32"/>
              <w:jc w:val="center"/>
              <w:rPr>
                <w:rFonts w:eastAsia="Arial" w:cs="Arial"/>
                <w:sz w:val="8"/>
                <w:szCs w:val="8"/>
              </w:rPr>
            </w:pPr>
            <w:r w:rsidRPr="008E0469">
              <w:rPr>
                <w:sz w:val="8"/>
              </w:rPr>
              <w:t>Costs of damage to the environment</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58" w:line="297" w:lineRule="auto"/>
              <w:ind w:left="103" w:right="97" w:hanging="16"/>
              <w:jc w:val="center"/>
              <w:rPr>
                <w:rFonts w:eastAsia="Arial" w:cs="Arial"/>
                <w:sz w:val="8"/>
                <w:szCs w:val="8"/>
              </w:rPr>
            </w:pPr>
            <w:r w:rsidRPr="008E0469">
              <w:rPr>
                <w:sz w:val="8"/>
              </w:rPr>
              <w:t xml:space="preserve">Costs </w:t>
            </w:r>
            <w:r w:rsidRPr="008E0469">
              <w:rPr>
                <w:sz w:val="8"/>
              </w:rPr>
              <w:t>of damage to rolling stock and infrastructure</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44" w:right="150" w:firstLine="155"/>
              <w:jc w:val="center"/>
              <w:rPr>
                <w:rFonts w:eastAsia="Arial" w:cs="Arial"/>
                <w:sz w:val="8"/>
                <w:szCs w:val="8"/>
              </w:rPr>
            </w:pPr>
            <w:r w:rsidRPr="008E0469">
              <w:rPr>
                <w:w w:val="103"/>
                <w:sz w:val="8"/>
              </w:rPr>
              <w:t>Costs of delay caused by accidents</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w w:val="103"/>
                <w:sz w:val="8"/>
              </w:rPr>
              <w:t>Total costs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0"/>
              <w:rPr>
                <w:rFonts w:eastAsia="Arial" w:cs="Arial"/>
                <w:sz w:val="15"/>
                <w:szCs w:val="15"/>
              </w:rPr>
            </w:pPr>
            <w:r w:rsidRPr="008E0469">
              <w:rPr>
                <w:spacing w:val="-4"/>
                <w:w w:val="103"/>
                <w:sz w:val="15"/>
              </w:rPr>
              <w:t>351,836,366</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165"/>
              <w:rPr>
                <w:rFonts w:eastAsia="Arial" w:cs="Arial"/>
                <w:sz w:val="15"/>
                <w:szCs w:val="15"/>
              </w:rPr>
            </w:pPr>
            <w:r w:rsidRPr="008E0469">
              <w:rPr>
                <w:spacing w:val="-4"/>
                <w:w w:val="103"/>
                <w:sz w:val="15"/>
              </w:rPr>
              <w:t>176,000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61"/>
              <w:rPr>
                <w:rFonts w:eastAsia="Arial" w:cs="Arial"/>
                <w:sz w:val="15"/>
                <w:szCs w:val="15"/>
              </w:rPr>
            </w:pPr>
            <w:r w:rsidRPr="008E0469">
              <w:rPr>
                <w:spacing w:val="-4"/>
                <w:w w:val="103"/>
                <w:sz w:val="15"/>
              </w:rPr>
              <w:t>46,411,117</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61"/>
              <w:rPr>
                <w:rFonts w:eastAsia="Arial" w:cs="Arial"/>
                <w:sz w:val="15"/>
                <w:szCs w:val="15"/>
              </w:rPr>
            </w:pPr>
            <w:r w:rsidRPr="008E0469">
              <w:rPr>
                <w:spacing w:val="-4"/>
                <w:w w:val="103"/>
                <w:sz w:val="15"/>
              </w:rPr>
              <w:t>13,810,870</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Average costs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30"/>
              <w:rPr>
                <w:rFonts w:eastAsia="Arial" w:cs="Arial"/>
                <w:sz w:val="15"/>
                <w:szCs w:val="15"/>
              </w:rPr>
            </w:pPr>
            <w:r w:rsidRPr="008E0469">
              <w:rPr>
                <w:spacing w:val="-4"/>
                <w:w w:val="103"/>
                <w:sz w:val="15"/>
              </w:rPr>
              <w:t>390,634.988</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165"/>
              <w:rPr>
                <w:rFonts w:eastAsia="Arial" w:cs="Arial"/>
                <w:sz w:val="15"/>
                <w:szCs w:val="15"/>
              </w:rPr>
            </w:pPr>
            <w:r w:rsidRPr="008E0469">
              <w:rPr>
                <w:spacing w:val="-4"/>
                <w:w w:val="103"/>
                <w:sz w:val="15"/>
              </w:rPr>
              <w:t>168.967</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61"/>
              <w:rPr>
                <w:rFonts w:eastAsia="Arial" w:cs="Arial"/>
                <w:sz w:val="15"/>
                <w:szCs w:val="15"/>
              </w:rPr>
            </w:pPr>
            <w:r w:rsidRPr="008E0469">
              <w:rPr>
                <w:spacing w:val="-4"/>
                <w:w w:val="103"/>
                <w:sz w:val="15"/>
              </w:rPr>
              <w:t>44,556.560</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103"/>
              <w:rPr>
                <w:rFonts w:eastAsia="Arial" w:cs="Arial"/>
                <w:sz w:val="15"/>
                <w:szCs w:val="15"/>
              </w:rPr>
            </w:pPr>
            <w:r w:rsidRPr="008E0469">
              <w:rPr>
                <w:spacing w:val="-4"/>
                <w:w w:val="103"/>
                <w:sz w:val="15"/>
              </w:rPr>
              <w:t>8,132.238</w:t>
            </w:r>
          </w:p>
        </w:tc>
      </w:tr>
    </w:tbl>
    <w:p w:rsidR="009F6E65" w:rsidRPr="008E0469" w:rsidRDefault="00D05136">
      <w:pPr>
        <w:spacing w:before="10" w:line="180" w:lineRule="exact"/>
        <w:rPr>
          <w:sz w:val="19"/>
          <w:szCs w:val="19"/>
        </w:rPr>
      </w:pPr>
    </w:p>
    <w:p w:rsidR="009F6E65" w:rsidRPr="008E0469" w:rsidRDefault="00D05136">
      <w:pPr>
        <w:spacing w:line="200" w:lineRule="exact"/>
      </w:pPr>
    </w:p>
    <w:p w:rsidR="009F6E65" w:rsidRPr="008E0469" w:rsidRDefault="00D05136" w:rsidP="009F6E65">
      <w:pPr>
        <w:pStyle w:val="ListParagraph"/>
        <w:numPr>
          <w:ilvl w:val="0"/>
          <w:numId w:val="21"/>
        </w:numPr>
        <w:spacing w:line="180" w:lineRule="exact"/>
        <w:rPr>
          <w:rFonts w:eastAsia="Arial" w:cs="Arial"/>
          <w:sz w:val="16"/>
          <w:szCs w:val="16"/>
        </w:rPr>
      </w:pPr>
      <w:r w:rsidRPr="008E0469">
        <w:rPr>
          <w:b/>
          <w:spacing w:val="5"/>
          <w:sz w:val="16"/>
        </w:rPr>
        <w:t>Indicators relating to technical safety of infrastructure and</w:t>
      </w:r>
      <w:r w:rsidRPr="008E0469">
        <w:rPr>
          <w:b/>
          <w:spacing w:val="5"/>
          <w:sz w:val="16"/>
        </w:rPr>
        <w:t xml:space="preserve"> its implementation</w:t>
      </w:r>
    </w:p>
    <w:p w:rsidR="009F6E65" w:rsidRPr="008E0469" w:rsidRDefault="00D05136">
      <w:pPr>
        <w:spacing w:before="14" w:line="220" w:lineRule="exact"/>
        <w:rPr>
          <w:sz w:val="22"/>
          <w:szCs w:val="22"/>
        </w:rPr>
      </w:pPr>
    </w:p>
    <w:p w:rsidR="009F6E65" w:rsidRPr="008E0469" w:rsidRDefault="00D05136" w:rsidP="009F6E65">
      <w:pPr>
        <w:pStyle w:val="ListParagraph"/>
        <w:numPr>
          <w:ilvl w:val="0"/>
          <w:numId w:val="23"/>
        </w:numPr>
        <w:spacing w:before="47" w:line="140" w:lineRule="exact"/>
        <w:ind w:left="709"/>
        <w:rPr>
          <w:rFonts w:eastAsia="Arial" w:cs="Arial"/>
          <w:sz w:val="13"/>
          <w:szCs w:val="13"/>
        </w:rPr>
      </w:pPr>
      <w:r w:rsidRPr="008E0469">
        <w:rPr>
          <w:b/>
          <w:spacing w:val="-10"/>
          <w:w w:val="103"/>
          <w:sz w:val="13"/>
        </w:rPr>
        <w:t>Train protection systems</w:t>
      </w:r>
    </w:p>
    <w:p w:rsidR="009F6E65" w:rsidRPr="008E0469" w:rsidRDefault="00D05136">
      <w:pPr>
        <w:spacing w:before="6" w:line="180" w:lineRule="exact"/>
        <w:rPr>
          <w:sz w:val="18"/>
          <w:szCs w:val="18"/>
        </w:rPr>
      </w:pPr>
    </w:p>
    <w:tbl>
      <w:tblPr>
        <w:tblW w:w="0" w:type="auto"/>
        <w:tblInd w:w="357" w:type="dxa"/>
        <w:tblLayout w:type="fixed"/>
        <w:tblCellMar>
          <w:left w:w="0" w:type="dxa"/>
          <w:right w:w="0" w:type="dxa"/>
        </w:tblCellMar>
        <w:tblLook w:val="01E0" w:firstRow="1" w:lastRow="1" w:firstColumn="1" w:lastColumn="1" w:noHBand="0" w:noVBand="0"/>
      </w:tblPr>
      <w:tblGrid>
        <w:gridCol w:w="1781"/>
        <w:gridCol w:w="901"/>
        <w:gridCol w:w="870"/>
        <w:gridCol w:w="870"/>
        <w:gridCol w:w="870"/>
      </w:tblGrid>
      <w:tr w:rsidR="00F3700C" w:rsidTr="009F6E65">
        <w:trPr>
          <w:trHeight w:hRule="exact" w:val="1138"/>
        </w:trPr>
        <w:tc>
          <w:tcPr>
            <w:tcW w:w="1781"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79"/>
              <w:jc w:val="center"/>
              <w:rPr>
                <w:rFonts w:eastAsia="Arial" w:cs="Arial"/>
                <w:sz w:val="8"/>
                <w:szCs w:val="8"/>
              </w:rPr>
            </w:pPr>
            <w:r w:rsidRPr="008E0469">
              <w:rPr>
                <w:w w:val="103"/>
                <w:sz w:val="8"/>
              </w:rPr>
              <w:t>warning</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68" w:right="168" w:firstLine="10"/>
              <w:jc w:val="center"/>
              <w:rPr>
                <w:rFonts w:eastAsia="Arial" w:cs="Arial"/>
                <w:sz w:val="8"/>
                <w:szCs w:val="8"/>
              </w:rPr>
            </w:pPr>
            <w:r w:rsidRPr="008E0469">
              <w:rPr>
                <w:sz w:val="8"/>
              </w:rPr>
              <w:t>warning and automatic stopping</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75" w:right="97" w:firstLine="32"/>
              <w:jc w:val="center"/>
              <w:rPr>
                <w:rFonts w:eastAsia="Arial" w:cs="Arial"/>
                <w:sz w:val="8"/>
                <w:szCs w:val="8"/>
              </w:rPr>
            </w:pPr>
            <w:r w:rsidRPr="008E0469">
              <w:rPr>
                <w:sz w:val="8"/>
              </w:rPr>
              <w:t>warning and automatic stopping as well as speed monitoring in sections</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75" w:right="97" w:firstLine="32"/>
              <w:jc w:val="center"/>
              <w:rPr>
                <w:rFonts w:eastAsia="Arial" w:cs="Arial"/>
                <w:sz w:val="8"/>
                <w:szCs w:val="8"/>
              </w:rPr>
            </w:pPr>
            <w:r w:rsidRPr="008E0469">
              <w:rPr>
                <w:sz w:val="8"/>
              </w:rPr>
              <w:t>warning and automatic stopping as well as continuous speed monitoring</w:t>
            </w:r>
          </w:p>
        </w:tc>
      </w:tr>
      <w:tr w:rsidR="00F3700C" w:rsidTr="009F6E65">
        <w:trPr>
          <w:trHeight w:hRule="exact" w:val="414"/>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89" w:line="297" w:lineRule="auto"/>
              <w:ind w:left="20" w:right="331"/>
              <w:rPr>
                <w:rFonts w:eastAsia="Arial" w:cs="Arial"/>
                <w:sz w:val="8"/>
                <w:szCs w:val="8"/>
              </w:rPr>
            </w:pPr>
            <w:r w:rsidRPr="008E0469">
              <w:rPr>
                <w:sz w:val="8"/>
              </w:rPr>
              <w:t xml:space="preserve">Percentage of lines with </w:t>
            </w:r>
            <w:r w:rsidRPr="008E0469">
              <w:rPr>
                <w:sz w:val="8"/>
              </w:rPr>
              <w:t>automatic train protection (EIUs only)</w:t>
            </w:r>
          </w:p>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79"/>
              <w:jc w:val="center"/>
              <w:rPr>
                <w:rFonts w:eastAsia="Arial" w:cs="Arial"/>
                <w:sz w:val="15"/>
                <w:szCs w:val="15"/>
              </w:rPr>
            </w:pPr>
            <w:r w:rsidRPr="008E0469">
              <w:rPr>
                <w:spacing w:val="-4"/>
                <w:w w:val="103"/>
                <w:sz w:val="15"/>
              </w:rPr>
              <w:t>1.8%</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58"/>
              <w:jc w:val="center"/>
              <w:rPr>
                <w:rFonts w:eastAsia="Arial" w:cs="Arial"/>
                <w:sz w:val="15"/>
                <w:szCs w:val="15"/>
              </w:rPr>
            </w:pPr>
            <w:r w:rsidRPr="008E0469">
              <w:rPr>
                <w:spacing w:val="-4"/>
                <w:w w:val="103"/>
                <w:sz w:val="15"/>
              </w:rPr>
              <w:t>1.7%</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16"/>
              <w:jc w:val="center"/>
              <w:rPr>
                <w:rFonts w:eastAsia="Arial" w:cs="Arial"/>
                <w:sz w:val="15"/>
                <w:szCs w:val="15"/>
              </w:rPr>
            </w:pPr>
            <w:r w:rsidRPr="008E0469">
              <w:rPr>
                <w:spacing w:val="-4"/>
                <w:w w:val="103"/>
                <w:sz w:val="15"/>
              </w:rPr>
              <w:t>88.7%</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58"/>
              <w:jc w:val="center"/>
              <w:rPr>
                <w:rFonts w:eastAsia="Arial" w:cs="Arial"/>
                <w:sz w:val="15"/>
                <w:szCs w:val="15"/>
              </w:rPr>
            </w:pPr>
            <w:r w:rsidRPr="008E0469">
              <w:rPr>
                <w:spacing w:val="-4"/>
                <w:w w:val="103"/>
                <w:sz w:val="15"/>
              </w:rPr>
              <w:t>7.6%</w:t>
            </w:r>
          </w:p>
        </w:tc>
      </w:tr>
      <w:tr w:rsidR="00F3700C" w:rsidTr="009F6E65">
        <w:trPr>
          <w:trHeight w:hRule="exact" w:val="414"/>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38" w:line="297" w:lineRule="auto"/>
              <w:ind w:left="20" w:right="349"/>
              <w:rPr>
                <w:rFonts w:eastAsia="Arial" w:cs="Arial"/>
                <w:sz w:val="8"/>
                <w:szCs w:val="8"/>
              </w:rPr>
            </w:pPr>
            <w:r w:rsidRPr="008E0469">
              <w:rPr>
                <w:sz w:val="8"/>
              </w:rPr>
              <w:t>Percentage of train-kilometres travelled for which on-board train protection systems are used*</w:t>
            </w:r>
          </w:p>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79"/>
              <w:jc w:val="center"/>
              <w:rPr>
                <w:rFonts w:eastAsia="Arial" w:cs="Arial"/>
                <w:sz w:val="15"/>
                <w:szCs w:val="15"/>
              </w:rPr>
            </w:pPr>
            <w:r w:rsidRPr="008E0469">
              <w:rPr>
                <w:spacing w:val="-4"/>
                <w:w w:val="103"/>
                <w:sz w:val="15"/>
              </w:rPr>
              <w:t>0.0%</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58"/>
              <w:jc w:val="center"/>
              <w:rPr>
                <w:rFonts w:eastAsia="Arial" w:cs="Arial"/>
                <w:sz w:val="15"/>
                <w:szCs w:val="15"/>
              </w:rPr>
            </w:pPr>
            <w:r w:rsidRPr="008E0469">
              <w:rPr>
                <w:spacing w:val="-4"/>
                <w:w w:val="103"/>
                <w:sz w:val="15"/>
              </w:rPr>
              <w:t>1.0%</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16"/>
              <w:jc w:val="center"/>
              <w:rPr>
                <w:rFonts w:eastAsia="Arial" w:cs="Arial"/>
                <w:sz w:val="15"/>
                <w:szCs w:val="15"/>
              </w:rPr>
            </w:pPr>
            <w:r w:rsidRPr="008E0469">
              <w:rPr>
                <w:spacing w:val="-4"/>
                <w:w w:val="103"/>
                <w:sz w:val="15"/>
              </w:rPr>
              <w:t>86.0%</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216"/>
              <w:jc w:val="center"/>
              <w:rPr>
                <w:rFonts w:eastAsia="Arial" w:cs="Arial"/>
                <w:sz w:val="15"/>
                <w:szCs w:val="15"/>
              </w:rPr>
            </w:pPr>
            <w:r w:rsidRPr="008E0469">
              <w:rPr>
                <w:spacing w:val="-4"/>
                <w:w w:val="103"/>
                <w:sz w:val="15"/>
              </w:rPr>
              <w:t>13.0%</w:t>
            </w:r>
          </w:p>
        </w:tc>
      </w:tr>
    </w:tbl>
    <w:p w:rsidR="009F6E65" w:rsidRPr="008E0469" w:rsidRDefault="00D05136">
      <w:pPr>
        <w:spacing w:before="2" w:line="140" w:lineRule="exact"/>
        <w:rPr>
          <w:sz w:val="14"/>
          <w:szCs w:val="14"/>
        </w:rPr>
      </w:pPr>
    </w:p>
    <w:p w:rsidR="009F6E65" w:rsidRPr="008E0469" w:rsidRDefault="00D05136">
      <w:pPr>
        <w:spacing w:line="200" w:lineRule="exact"/>
      </w:pPr>
    </w:p>
    <w:p w:rsidR="009F6E65" w:rsidRPr="008E0469" w:rsidRDefault="00D05136" w:rsidP="009F6E65">
      <w:pPr>
        <w:pStyle w:val="ListParagraph"/>
        <w:numPr>
          <w:ilvl w:val="0"/>
          <w:numId w:val="23"/>
        </w:numPr>
        <w:spacing w:before="47" w:line="140" w:lineRule="exact"/>
        <w:ind w:left="709"/>
        <w:rPr>
          <w:rFonts w:eastAsia="Arial" w:cs="Arial"/>
          <w:sz w:val="13"/>
          <w:szCs w:val="13"/>
        </w:rPr>
      </w:pPr>
      <w:r w:rsidRPr="008E0469">
        <w:rPr>
          <w:b/>
          <w:spacing w:val="-10"/>
          <w:sz w:val="13"/>
        </w:rPr>
        <w:t xml:space="preserve">Number of level crossings (in total, per line kilometre and per track </w:t>
      </w:r>
      <w:r w:rsidRPr="008E0469">
        <w:rPr>
          <w:b/>
          <w:spacing w:val="-10"/>
          <w:sz w:val="13"/>
        </w:rPr>
        <w:t>kilometre), broken down into the following five types:</w:t>
      </w:r>
    </w:p>
    <w:p w:rsidR="009F6E65" w:rsidRPr="008E0469" w:rsidRDefault="00D05136">
      <w:pPr>
        <w:spacing w:before="4" w:line="180" w:lineRule="exact"/>
        <w:rPr>
          <w:sz w:val="18"/>
          <w:szCs w:val="18"/>
        </w:rPr>
      </w:pPr>
    </w:p>
    <w:tbl>
      <w:tblPr>
        <w:tblW w:w="0" w:type="auto"/>
        <w:tblInd w:w="357" w:type="dxa"/>
        <w:tblLayout w:type="fixed"/>
        <w:tblCellMar>
          <w:left w:w="0" w:type="dxa"/>
          <w:right w:w="0" w:type="dxa"/>
        </w:tblCellMar>
        <w:tblLook w:val="01E0" w:firstRow="1" w:lastRow="1" w:firstColumn="1" w:lastColumn="1" w:noHBand="0" w:noVBand="0"/>
      </w:tblPr>
      <w:tblGrid>
        <w:gridCol w:w="1781"/>
        <w:gridCol w:w="901"/>
        <w:gridCol w:w="870"/>
        <w:gridCol w:w="870"/>
        <w:gridCol w:w="870"/>
      </w:tblGrid>
      <w:tr w:rsidR="00F3700C" w:rsidTr="009F6E65">
        <w:trPr>
          <w:trHeight w:hRule="exact" w:val="611"/>
        </w:trPr>
        <w:tc>
          <w:tcPr>
            <w:tcW w:w="1781"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ind w:left="310"/>
              <w:jc w:val="center"/>
              <w:rPr>
                <w:rFonts w:eastAsia="Arial" w:cs="Arial"/>
                <w:sz w:val="8"/>
                <w:szCs w:val="8"/>
              </w:rPr>
            </w:pPr>
            <w:r w:rsidRPr="008E0469">
              <w:rPr>
                <w:w w:val="103"/>
                <w:sz w:val="8"/>
              </w:rPr>
              <w:t>manual</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16" w:right="137" w:firstLine="10"/>
              <w:jc w:val="center"/>
              <w:rPr>
                <w:rFonts w:eastAsia="Arial" w:cs="Arial"/>
                <w:sz w:val="8"/>
                <w:szCs w:val="8"/>
              </w:rPr>
            </w:pPr>
            <w:r w:rsidRPr="008E0469">
              <w:rPr>
                <w:sz w:val="8"/>
              </w:rPr>
              <w:t>automatic with user warning</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line="297" w:lineRule="auto"/>
              <w:ind w:left="106" w:right="107" w:firstLine="11"/>
              <w:jc w:val="center"/>
              <w:rPr>
                <w:rFonts w:eastAsia="Arial" w:cs="Arial"/>
                <w:sz w:val="8"/>
                <w:szCs w:val="8"/>
              </w:rPr>
            </w:pPr>
            <w:r w:rsidRPr="008E0469">
              <w:rPr>
                <w:sz w:val="8"/>
              </w:rPr>
              <w:t>automatic with user protection</w:t>
            </w:r>
          </w:p>
        </w:tc>
        <w:tc>
          <w:tcPr>
            <w:tcW w:w="870" w:type="dxa"/>
            <w:tcBorders>
              <w:top w:val="single" w:sz="5" w:space="0" w:color="000000"/>
              <w:left w:val="single" w:sz="5" w:space="0" w:color="000000"/>
              <w:bottom w:val="single" w:sz="5" w:space="0" w:color="000000"/>
              <w:right w:val="single" w:sz="5" w:space="0" w:color="000000"/>
            </w:tcBorders>
            <w:vAlign w:val="center"/>
          </w:tcPr>
          <w:p w:rsidR="009F6E65" w:rsidRPr="008E0469" w:rsidRDefault="00D05136" w:rsidP="009F6E65">
            <w:pPr>
              <w:spacing w:before="22"/>
              <w:ind w:left="273" w:right="279"/>
              <w:jc w:val="center"/>
              <w:rPr>
                <w:rFonts w:eastAsia="Arial" w:cs="Arial"/>
                <w:sz w:val="8"/>
                <w:szCs w:val="8"/>
              </w:rPr>
            </w:pPr>
            <w:r w:rsidRPr="008E0469">
              <w:rPr>
                <w:sz w:val="8"/>
              </w:rPr>
              <w:t>with trackside protection</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Actively protected level crossings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1,078</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78" w:right="268"/>
              <w:jc w:val="center"/>
              <w:rPr>
                <w:rFonts w:eastAsia="Arial" w:cs="Arial"/>
                <w:sz w:val="15"/>
                <w:szCs w:val="15"/>
              </w:rPr>
            </w:pPr>
            <w:r w:rsidRPr="008E0469">
              <w:rPr>
                <w:spacing w:val="-4"/>
                <w:w w:val="103"/>
                <w:sz w:val="15"/>
              </w:rPr>
              <w:t>784</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6,967</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1,018</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Average number per line kilometre</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0.032</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0.024</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0.209</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0.031</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Average number per track kilometre</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0.018</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0.013</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0.115</w:t>
            </w:r>
          </w:p>
        </w:tc>
        <w:tc>
          <w:tcPr>
            <w:tcW w:w="87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47"/>
              <w:rPr>
                <w:rFonts w:eastAsia="Arial" w:cs="Arial"/>
                <w:sz w:val="15"/>
                <w:szCs w:val="15"/>
              </w:rPr>
            </w:pPr>
            <w:r w:rsidRPr="008E0469">
              <w:rPr>
                <w:spacing w:val="-4"/>
                <w:w w:val="103"/>
                <w:sz w:val="15"/>
              </w:rPr>
              <w:t>0.017</w:t>
            </w:r>
          </w:p>
        </w:tc>
      </w:tr>
    </w:tbl>
    <w:p w:rsidR="009F6E65" w:rsidRPr="008E0469" w:rsidRDefault="00D05136">
      <w:pPr>
        <w:spacing w:before="6" w:line="240" w:lineRule="exact"/>
        <w:rPr>
          <w:szCs w:val="24"/>
        </w:rPr>
      </w:pPr>
    </w:p>
    <w:tbl>
      <w:tblPr>
        <w:tblW w:w="0" w:type="auto"/>
        <w:tblInd w:w="357" w:type="dxa"/>
        <w:tblLayout w:type="fixed"/>
        <w:tblCellMar>
          <w:left w:w="0" w:type="dxa"/>
          <w:right w:w="0" w:type="dxa"/>
        </w:tblCellMar>
        <w:tblLook w:val="01E0" w:firstRow="1" w:lastRow="1" w:firstColumn="1" w:lastColumn="1" w:noHBand="0" w:noVBand="0"/>
      </w:tblPr>
      <w:tblGrid>
        <w:gridCol w:w="1781"/>
        <w:gridCol w:w="901"/>
      </w:tblGrid>
      <w:tr w:rsidR="00F3700C">
        <w:trPr>
          <w:trHeight w:hRule="exact" w:val="269"/>
        </w:trPr>
        <w:tc>
          <w:tcPr>
            <w:tcW w:w="1781" w:type="dxa"/>
            <w:tcBorders>
              <w:top w:val="nil"/>
              <w:left w:val="nil"/>
              <w:bottom w:val="single" w:sz="5" w:space="0" w:color="000000"/>
              <w:right w:val="single" w:sz="5" w:space="0" w:color="000000"/>
            </w:tcBorders>
          </w:tcPr>
          <w:p w:rsidR="009F6E65" w:rsidRPr="008E0469" w:rsidRDefault="00D05136"/>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27"/>
              <w:rPr>
                <w:rFonts w:eastAsia="Arial" w:cs="Arial"/>
                <w:sz w:val="8"/>
                <w:szCs w:val="8"/>
              </w:rPr>
            </w:pPr>
            <w:r w:rsidRPr="008E0469">
              <w:rPr>
                <w:w w:val="103"/>
                <w:sz w:val="8"/>
              </w:rPr>
              <w:t>Total</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Passively protected level crossings</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4,357</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17"/>
              <w:ind w:left="20"/>
              <w:rPr>
                <w:rFonts w:eastAsia="Arial" w:cs="Arial"/>
                <w:sz w:val="8"/>
                <w:szCs w:val="8"/>
              </w:rPr>
            </w:pPr>
            <w:r w:rsidRPr="008E0469">
              <w:rPr>
                <w:sz w:val="8"/>
              </w:rPr>
              <w:t>Average number per line kilometre</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0.131</w:t>
            </w:r>
          </w:p>
        </w:tc>
      </w:tr>
      <w:tr w:rsidR="00F3700C">
        <w:trPr>
          <w:trHeight w:hRule="exact" w:val="269"/>
        </w:trPr>
        <w:tc>
          <w:tcPr>
            <w:tcW w:w="178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79"/>
              <w:ind w:left="20"/>
              <w:rPr>
                <w:rFonts w:eastAsia="Arial" w:cs="Arial"/>
                <w:sz w:val="8"/>
                <w:szCs w:val="8"/>
              </w:rPr>
            </w:pPr>
            <w:r w:rsidRPr="008E0469">
              <w:rPr>
                <w:sz w:val="8"/>
              </w:rPr>
              <w:t>Average number per track kilometre</w:t>
            </w:r>
          </w:p>
        </w:tc>
        <w:tc>
          <w:tcPr>
            <w:tcW w:w="90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44"/>
              <w:ind w:left="258"/>
              <w:rPr>
                <w:rFonts w:eastAsia="Arial" w:cs="Arial"/>
                <w:sz w:val="15"/>
                <w:szCs w:val="15"/>
              </w:rPr>
            </w:pPr>
            <w:r w:rsidRPr="008E0469">
              <w:rPr>
                <w:spacing w:val="-4"/>
                <w:w w:val="103"/>
                <w:sz w:val="15"/>
              </w:rPr>
              <w:t>0.072</w:t>
            </w:r>
          </w:p>
        </w:tc>
      </w:tr>
    </w:tbl>
    <w:p w:rsidR="009F6E65" w:rsidRPr="008E0469" w:rsidRDefault="00D05136">
      <w:pPr>
        <w:spacing w:before="14" w:line="260" w:lineRule="exact"/>
        <w:rPr>
          <w:sz w:val="26"/>
          <w:szCs w:val="26"/>
        </w:rPr>
      </w:pPr>
    </w:p>
    <w:p w:rsidR="009F6E65" w:rsidRPr="008E0469" w:rsidRDefault="00D05136">
      <w:pPr>
        <w:spacing w:line="294" w:lineRule="auto"/>
        <w:ind w:left="390" w:right="465"/>
        <w:rPr>
          <w:rFonts w:eastAsia="Arial" w:cs="Arial"/>
          <w:sz w:val="11"/>
          <w:szCs w:val="11"/>
        </w:rPr>
        <w:sectPr w:rsidR="009F6E65" w:rsidRPr="008E0469">
          <w:pgSz w:w="11920" w:h="16840"/>
          <w:pgMar w:top="1920" w:right="1300" w:bottom="280" w:left="1340" w:header="721" w:footer="735" w:gutter="0"/>
          <w:cols w:space="720"/>
        </w:sectPr>
      </w:pPr>
      <w:r w:rsidRPr="008E0469">
        <w:rPr>
          <w:sz w:val="11"/>
        </w:rPr>
        <w:t xml:space="preserve">* The train-kilometres </w:t>
      </w:r>
      <w:r w:rsidRPr="008E0469">
        <w:rPr>
          <w:sz w:val="11"/>
        </w:rPr>
        <w:t>travelled using on-board train protection systems are available for only some of the railway undertakings. These undertakings together provide approximately 70% of train-kilometres.</w:t>
      </w:r>
    </w:p>
    <w:p w:rsidR="009F6E65" w:rsidRPr="008E0469" w:rsidRDefault="00D05136">
      <w:pPr>
        <w:spacing w:before="8" w:line="160" w:lineRule="exact"/>
        <w:rPr>
          <w:sz w:val="16"/>
          <w:szCs w:val="16"/>
        </w:rPr>
      </w:pPr>
    </w:p>
    <w:p w:rsidR="009F6E65" w:rsidRPr="008E0469" w:rsidRDefault="00D05136" w:rsidP="009F6E65">
      <w:pPr>
        <w:pStyle w:val="AnhangToc"/>
      </w:pPr>
      <w:bookmarkStart w:id="65" w:name="_Toc467669087"/>
      <w:bookmarkStart w:id="66" w:name="_Toc471208524"/>
      <w:r w:rsidRPr="008E0469">
        <w:t>ANNEX B: Amended legal provisions</w:t>
      </w:r>
      <w:bookmarkEnd w:id="65"/>
      <w:bookmarkEnd w:id="66"/>
    </w:p>
    <w:p w:rsidR="009F6E65" w:rsidRPr="008E0469" w:rsidRDefault="00D05136">
      <w:pPr>
        <w:spacing w:before="9" w:line="100" w:lineRule="exact"/>
        <w:rPr>
          <w:sz w:val="10"/>
          <w:szCs w:val="10"/>
        </w:rPr>
      </w:pPr>
    </w:p>
    <w:p w:rsidR="009F6E65" w:rsidRPr="008E0469" w:rsidRDefault="00D05136">
      <w:pPr>
        <w:spacing w:line="200" w:lineRule="exact"/>
      </w:pPr>
    </w:p>
    <w:p w:rsidR="009F6E65" w:rsidRPr="008E0469" w:rsidRDefault="00D05136">
      <w:pPr>
        <w:spacing w:line="200" w:lineRule="exact"/>
      </w:pPr>
    </w:p>
    <w:p w:rsidR="009F6E65" w:rsidRPr="008E0469" w:rsidRDefault="00D05136" w:rsidP="009F6E65">
      <w:pPr>
        <w:pStyle w:val="Tabelletoc"/>
      </w:pPr>
      <w:bookmarkStart w:id="67" w:name="Tabelle1Umsetzung"/>
      <w:bookmarkStart w:id="68" w:name="_Toc467669088"/>
      <w:bookmarkStart w:id="69" w:name="_Toc471208525"/>
      <w:r w:rsidRPr="008E0469">
        <w:t>Table 1: Implementation of the</w:t>
      </w:r>
      <w:bookmarkEnd w:id="67"/>
      <w:r w:rsidRPr="008E0469">
        <w:t xml:space="preserve"> amendments to Directive 2004/49/EC</w:t>
      </w:r>
      <w:bookmarkEnd w:id="68"/>
      <w:bookmarkEnd w:id="69"/>
    </w:p>
    <w:p w:rsidR="009F6E65" w:rsidRPr="008E0469" w:rsidRDefault="00D05136">
      <w:pPr>
        <w:spacing w:before="11" w:line="240" w:lineRule="exact"/>
        <w:rPr>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278"/>
        <w:gridCol w:w="1430"/>
        <w:gridCol w:w="3631"/>
        <w:gridCol w:w="1925"/>
      </w:tblGrid>
      <w:tr w:rsidR="00F3700C">
        <w:trPr>
          <w:trHeight w:hRule="exact" w:val="499"/>
        </w:trPr>
        <w:tc>
          <w:tcPr>
            <w:tcW w:w="2278"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3"/>
              <w:ind w:left="102"/>
              <w:rPr>
                <w:rFonts w:eastAsia="Arial" w:cs="Arial"/>
                <w:sz w:val="16"/>
                <w:szCs w:val="16"/>
              </w:rPr>
            </w:pPr>
            <w:r w:rsidRPr="008E0469">
              <w:rPr>
                <w:b/>
                <w:spacing w:val="-6"/>
                <w:sz w:val="16"/>
              </w:rPr>
              <w:t>Amendments to Directive</w:t>
            </w:r>
          </w:p>
          <w:p w:rsidR="009F6E65" w:rsidRPr="008E0469" w:rsidRDefault="00D05136">
            <w:pPr>
              <w:ind w:left="102"/>
              <w:rPr>
                <w:rFonts w:eastAsia="Arial" w:cs="Arial"/>
                <w:sz w:val="16"/>
                <w:szCs w:val="16"/>
              </w:rPr>
            </w:pPr>
            <w:r w:rsidRPr="008E0469">
              <w:rPr>
                <w:b/>
                <w:spacing w:val="-1"/>
                <w:sz w:val="16"/>
              </w:rPr>
              <w:t>2004/49/EC</w:t>
            </w:r>
          </w:p>
        </w:tc>
        <w:tc>
          <w:tcPr>
            <w:tcW w:w="143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3"/>
              <w:ind w:left="102"/>
              <w:rPr>
                <w:rFonts w:eastAsia="Arial" w:cs="Arial"/>
                <w:sz w:val="16"/>
                <w:szCs w:val="16"/>
              </w:rPr>
            </w:pPr>
            <w:r w:rsidRPr="008E0469">
              <w:rPr>
                <w:b/>
                <w:spacing w:val="-1"/>
                <w:sz w:val="16"/>
              </w:rPr>
              <w:t>Implemented (Yes/No)</w:t>
            </w:r>
          </w:p>
        </w:tc>
        <w:tc>
          <w:tcPr>
            <w:tcW w:w="363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3"/>
              <w:ind w:left="102"/>
              <w:rPr>
                <w:rFonts w:eastAsia="Arial" w:cs="Arial"/>
                <w:sz w:val="16"/>
                <w:szCs w:val="16"/>
              </w:rPr>
            </w:pPr>
            <w:r w:rsidRPr="008E0469">
              <w:rPr>
                <w:b/>
                <w:spacing w:val="2"/>
                <w:sz w:val="16"/>
              </w:rPr>
              <w:t>Main legislative act</w:t>
            </w:r>
          </w:p>
        </w:tc>
        <w:tc>
          <w:tcPr>
            <w:tcW w:w="1925"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3"/>
              <w:ind w:left="100" w:right="176"/>
              <w:rPr>
                <w:rFonts w:eastAsia="Arial" w:cs="Arial"/>
                <w:sz w:val="16"/>
                <w:szCs w:val="16"/>
              </w:rPr>
            </w:pPr>
            <w:r w:rsidRPr="008E0469">
              <w:rPr>
                <w:b/>
                <w:spacing w:val="-1"/>
                <w:sz w:val="16"/>
              </w:rPr>
              <w:t>Date of entry into force</w:t>
            </w:r>
          </w:p>
        </w:tc>
      </w:tr>
      <w:tr w:rsidR="00F3700C">
        <w:trPr>
          <w:trHeight w:hRule="exact" w:val="622"/>
        </w:trPr>
        <w:tc>
          <w:tcPr>
            <w:tcW w:w="2278" w:type="dxa"/>
            <w:vMerge w:val="restart"/>
            <w:tcBorders>
              <w:top w:val="single" w:sz="5" w:space="0" w:color="000000"/>
              <w:left w:val="single" w:sz="5" w:space="0" w:color="000000"/>
              <w:right w:val="single" w:sz="5" w:space="0" w:color="000000"/>
            </w:tcBorders>
          </w:tcPr>
          <w:p w:rsidR="009F6E65" w:rsidRPr="008E0469" w:rsidRDefault="00D05136">
            <w:pPr>
              <w:spacing w:before="55"/>
              <w:ind w:left="102"/>
              <w:rPr>
                <w:rFonts w:eastAsia="Arial" w:cs="Arial"/>
                <w:sz w:val="16"/>
                <w:szCs w:val="16"/>
              </w:rPr>
            </w:pPr>
            <w:r w:rsidRPr="008E0469">
              <w:rPr>
                <w:spacing w:val="-1"/>
                <w:sz w:val="16"/>
              </w:rPr>
              <w:t>Directive 2008/57/EC</w:t>
            </w:r>
          </w:p>
        </w:tc>
        <w:tc>
          <w:tcPr>
            <w:tcW w:w="1430" w:type="dxa"/>
            <w:vMerge w:val="restart"/>
            <w:tcBorders>
              <w:top w:val="single" w:sz="5" w:space="0" w:color="000000"/>
              <w:left w:val="single" w:sz="5" w:space="0" w:color="000000"/>
              <w:right w:val="single" w:sz="5" w:space="0" w:color="000000"/>
            </w:tcBorders>
          </w:tcPr>
          <w:p w:rsidR="009F6E65" w:rsidRPr="008E0469" w:rsidRDefault="00D05136">
            <w:pPr>
              <w:spacing w:before="55"/>
              <w:ind w:left="102"/>
              <w:rPr>
                <w:rFonts w:eastAsia="Arial" w:cs="Arial"/>
                <w:sz w:val="16"/>
                <w:szCs w:val="16"/>
              </w:rPr>
            </w:pPr>
            <w:r w:rsidRPr="008E0469">
              <w:rPr>
                <w:sz w:val="16"/>
              </w:rPr>
              <w:t>Yes</w:t>
            </w:r>
          </w:p>
        </w:tc>
        <w:tc>
          <w:tcPr>
            <w:tcW w:w="363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ight="179"/>
              <w:rPr>
                <w:rFonts w:eastAsia="Arial" w:cs="Arial"/>
                <w:sz w:val="16"/>
                <w:szCs w:val="16"/>
              </w:rPr>
            </w:pPr>
            <w:r w:rsidRPr="008E0469">
              <w:rPr>
                <w:spacing w:val="1"/>
                <w:sz w:val="16"/>
              </w:rPr>
              <w:t xml:space="preserve">Eighth Act Amending the Statutory Provisions Governing Railways of 12 September 2012 </w:t>
            </w:r>
            <w:r w:rsidRPr="008E0469">
              <w:rPr>
                <w:spacing w:val="1"/>
                <w:sz w:val="16"/>
              </w:rPr>
              <w:t>(BGBl. I p. 1421)</w:t>
            </w:r>
          </w:p>
        </w:tc>
        <w:tc>
          <w:tcPr>
            <w:tcW w:w="192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0"/>
              <w:rPr>
                <w:rFonts w:eastAsia="Arial" w:cs="Arial"/>
                <w:sz w:val="16"/>
                <w:szCs w:val="16"/>
              </w:rPr>
            </w:pPr>
            <w:r w:rsidRPr="008E0469">
              <w:rPr>
                <w:spacing w:val="-1"/>
                <w:sz w:val="16"/>
              </w:rPr>
              <w:t>18.09.2012</w:t>
            </w:r>
          </w:p>
        </w:tc>
      </w:tr>
      <w:tr w:rsidR="00F3700C">
        <w:trPr>
          <w:trHeight w:hRule="exact" w:val="622"/>
        </w:trPr>
        <w:tc>
          <w:tcPr>
            <w:tcW w:w="2278" w:type="dxa"/>
            <w:vMerge/>
            <w:tcBorders>
              <w:left w:val="single" w:sz="5" w:space="0" w:color="000000"/>
              <w:right w:val="single" w:sz="5" w:space="0" w:color="000000"/>
            </w:tcBorders>
          </w:tcPr>
          <w:p w:rsidR="009F6E65" w:rsidRPr="008E0469" w:rsidRDefault="00D05136"/>
        </w:tc>
        <w:tc>
          <w:tcPr>
            <w:tcW w:w="1430" w:type="dxa"/>
            <w:vMerge/>
            <w:tcBorders>
              <w:left w:val="single" w:sz="5" w:space="0" w:color="000000"/>
              <w:right w:val="single" w:sz="5" w:space="0" w:color="000000"/>
            </w:tcBorders>
          </w:tcPr>
          <w:p w:rsidR="009F6E65" w:rsidRPr="008E0469" w:rsidRDefault="00D05136"/>
        </w:tc>
        <w:tc>
          <w:tcPr>
            <w:tcW w:w="3631"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60" w:line="180" w:lineRule="exact"/>
              <w:ind w:left="102" w:right="315"/>
              <w:rPr>
                <w:rFonts w:eastAsia="Arial" w:cs="Arial"/>
                <w:sz w:val="16"/>
                <w:szCs w:val="16"/>
              </w:rPr>
            </w:pPr>
            <w:r w:rsidRPr="008E0469">
              <w:rPr>
                <w:spacing w:val="1"/>
                <w:sz w:val="16"/>
              </w:rPr>
              <w:t>Seventh Act Amending the Statutory Provisions Governing Railways of 10 December 2012 (BGBl. I p. 2632)</w:t>
            </w:r>
          </w:p>
        </w:tc>
        <w:tc>
          <w:tcPr>
            <w:tcW w:w="192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0"/>
              <w:rPr>
                <w:rFonts w:eastAsia="Arial" w:cs="Arial"/>
                <w:sz w:val="16"/>
                <w:szCs w:val="16"/>
              </w:rPr>
            </w:pPr>
            <w:r w:rsidRPr="008E0469">
              <w:rPr>
                <w:spacing w:val="-1"/>
                <w:sz w:val="16"/>
              </w:rPr>
              <w:t>20.12.2012</w:t>
            </w:r>
          </w:p>
        </w:tc>
      </w:tr>
      <w:tr w:rsidR="00F3700C">
        <w:trPr>
          <w:trHeight w:hRule="exact" w:val="622"/>
        </w:trPr>
        <w:tc>
          <w:tcPr>
            <w:tcW w:w="2278" w:type="dxa"/>
            <w:vMerge/>
            <w:tcBorders>
              <w:left w:val="single" w:sz="5" w:space="0" w:color="000000"/>
              <w:bottom w:val="single" w:sz="5" w:space="0" w:color="000000"/>
              <w:right w:val="single" w:sz="5" w:space="0" w:color="000000"/>
            </w:tcBorders>
          </w:tcPr>
          <w:p w:rsidR="009F6E65" w:rsidRPr="008E0469" w:rsidRDefault="00D05136"/>
        </w:tc>
        <w:tc>
          <w:tcPr>
            <w:tcW w:w="1430" w:type="dxa"/>
            <w:vMerge/>
            <w:tcBorders>
              <w:left w:val="single" w:sz="5" w:space="0" w:color="000000"/>
              <w:bottom w:val="single" w:sz="5" w:space="0" w:color="000000"/>
              <w:right w:val="single" w:sz="5" w:space="0" w:color="000000"/>
            </w:tcBorders>
          </w:tcPr>
          <w:p w:rsidR="009F6E65" w:rsidRPr="008E0469" w:rsidRDefault="00D05136"/>
        </w:tc>
        <w:tc>
          <w:tcPr>
            <w:tcW w:w="3631"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5"/>
              <w:ind w:left="102" w:right="358"/>
              <w:rPr>
                <w:rFonts w:eastAsia="Arial" w:cs="Arial"/>
                <w:sz w:val="16"/>
                <w:szCs w:val="16"/>
              </w:rPr>
            </w:pPr>
            <w:r w:rsidRPr="008E0469">
              <w:rPr>
                <w:spacing w:val="1"/>
                <w:sz w:val="16"/>
              </w:rPr>
              <w:t>Eighth Act Amending the Statutory Provisions Governing Railways of 22 November 2013 (BGBl. I p. 4008)</w:t>
            </w:r>
          </w:p>
        </w:tc>
        <w:tc>
          <w:tcPr>
            <w:tcW w:w="192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0"/>
              <w:rPr>
                <w:rFonts w:eastAsia="Arial" w:cs="Arial"/>
                <w:sz w:val="16"/>
                <w:szCs w:val="16"/>
              </w:rPr>
            </w:pPr>
            <w:r w:rsidRPr="008E0469">
              <w:rPr>
                <w:spacing w:val="-1"/>
                <w:sz w:val="16"/>
              </w:rPr>
              <w:t>29.11.2013</w:t>
            </w:r>
          </w:p>
        </w:tc>
      </w:tr>
      <w:tr w:rsidR="00F3700C">
        <w:trPr>
          <w:trHeight w:hRule="exact" w:val="622"/>
        </w:trPr>
        <w:tc>
          <w:tcPr>
            <w:tcW w:w="2278"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Pr>
                <w:rFonts w:eastAsia="Arial" w:cs="Arial"/>
                <w:sz w:val="16"/>
                <w:szCs w:val="16"/>
              </w:rPr>
            </w:pPr>
            <w:r w:rsidRPr="008E0469">
              <w:rPr>
                <w:spacing w:val="-1"/>
                <w:sz w:val="16"/>
              </w:rPr>
              <w:t>Directive 2008/110/EC</w:t>
            </w:r>
          </w:p>
        </w:tc>
        <w:tc>
          <w:tcPr>
            <w:tcW w:w="143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Pr>
                <w:rFonts w:eastAsia="Arial" w:cs="Arial"/>
                <w:sz w:val="16"/>
                <w:szCs w:val="16"/>
              </w:rPr>
            </w:pPr>
            <w:r w:rsidRPr="008E0469">
              <w:rPr>
                <w:sz w:val="16"/>
              </w:rPr>
              <w:t>Yes</w:t>
            </w:r>
          </w:p>
        </w:tc>
        <w:tc>
          <w:tcPr>
            <w:tcW w:w="363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ight="179"/>
              <w:rPr>
                <w:rFonts w:eastAsia="Arial" w:cs="Arial"/>
                <w:sz w:val="16"/>
                <w:szCs w:val="16"/>
              </w:rPr>
            </w:pPr>
            <w:r w:rsidRPr="008E0469">
              <w:rPr>
                <w:spacing w:val="1"/>
                <w:sz w:val="16"/>
              </w:rPr>
              <w:t>Eighth Act Amending the Statutory Provisions Governing Railways of 12 September 2012 (BGBl. I p. 1421)</w:t>
            </w:r>
          </w:p>
        </w:tc>
        <w:tc>
          <w:tcPr>
            <w:tcW w:w="192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0"/>
              <w:rPr>
                <w:rFonts w:eastAsia="Arial" w:cs="Arial"/>
                <w:sz w:val="16"/>
                <w:szCs w:val="16"/>
              </w:rPr>
            </w:pPr>
            <w:r w:rsidRPr="008E0469">
              <w:rPr>
                <w:spacing w:val="-1"/>
                <w:sz w:val="16"/>
              </w:rPr>
              <w:t>18.09.2012</w:t>
            </w:r>
          </w:p>
        </w:tc>
      </w:tr>
      <w:tr w:rsidR="00F3700C">
        <w:trPr>
          <w:trHeight w:hRule="exact" w:val="622"/>
        </w:trPr>
        <w:tc>
          <w:tcPr>
            <w:tcW w:w="2278"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Pr>
                <w:rFonts w:eastAsia="Arial" w:cs="Arial"/>
                <w:sz w:val="16"/>
                <w:szCs w:val="16"/>
              </w:rPr>
            </w:pPr>
            <w:r w:rsidRPr="008E0469">
              <w:rPr>
                <w:spacing w:val="-1"/>
                <w:sz w:val="16"/>
              </w:rPr>
              <w:t>Directive 2009/149/EC</w:t>
            </w:r>
          </w:p>
        </w:tc>
        <w:tc>
          <w:tcPr>
            <w:tcW w:w="143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Pr>
                <w:rFonts w:eastAsia="Arial" w:cs="Arial"/>
                <w:sz w:val="16"/>
                <w:szCs w:val="16"/>
              </w:rPr>
            </w:pPr>
            <w:r w:rsidRPr="008E0469">
              <w:rPr>
                <w:sz w:val="16"/>
              </w:rPr>
              <w:t>Yes</w:t>
            </w:r>
          </w:p>
        </w:tc>
        <w:tc>
          <w:tcPr>
            <w:tcW w:w="3631"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5"/>
              <w:ind w:left="102" w:right="269"/>
              <w:rPr>
                <w:rFonts w:eastAsia="Arial" w:cs="Arial"/>
                <w:sz w:val="16"/>
                <w:szCs w:val="16"/>
              </w:rPr>
            </w:pPr>
            <w:r w:rsidRPr="008E0469">
              <w:rPr>
                <w:sz w:val="16"/>
              </w:rPr>
              <w:t xml:space="preserve">Fifth Regulation on the Enactment and Amendment of the Statutory Provisions </w:t>
            </w:r>
            <w:r w:rsidRPr="008E0469">
              <w:rPr>
                <w:sz w:val="16"/>
              </w:rPr>
              <w:t>Governing Railways dated 29.04.2011 (BGBl. I p. 705)</w:t>
            </w:r>
          </w:p>
        </w:tc>
        <w:tc>
          <w:tcPr>
            <w:tcW w:w="192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0"/>
              <w:rPr>
                <w:rFonts w:eastAsia="Arial" w:cs="Arial"/>
                <w:sz w:val="16"/>
                <w:szCs w:val="16"/>
              </w:rPr>
            </w:pPr>
            <w:r w:rsidRPr="008E0469">
              <w:rPr>
                <w:spacing w:val="-1"/>
                <w:sz w:val="16"/>
              </w:rPr>
              <w:t>07.05.2011</w:t>
            </w:r>
          </w:p>
        </w:tc>
      </w:tr>
      <w:tr w:rsidR="00F3700C">
        <w:trPr>
          <w:trHeight w:hRule="exact" w:val="624"/>
        </w:trPr>
        <w:tc>
          <w:tcPr>
            <w:tcW w:w="2278"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Pr>
                <w:rFonts w:eastAsia="Arial" w:cs="Arial"/>
                <w:sz w:val="16"/>
                <w:szCs w:val="16"/>
              </w:rPr>
            </w:pPr>
            <w:r w:rsidRPr="008E0469">
              <w:rPr>
                <w:spacing w:val="-1"/>
                <w:sz w:val="16"/>
              </w:rPr>
              <w:t>Directive 2014/88/EU</w:t>
            </w:r>
          </w:p>
        </w:tc>
        <w:tc>
          <w:tcPr>
            <w:tcW w:w="1430"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Pr>
                <w:rFonts w:eastAsia="Arial" w:cs="Arial"/>
                <w:sz w:val="16"/>
                <w:szCs w:val="16"/>
              </w:rPr>
            </w:pPr>
            <w:r w:rsidRPr="008E0469">
              <w:rPr>
                <w:sz w:val="16"/>
              </w:rPr>
              <w:t>Yes</w:t>
            </w:r>
          </w:p>
        </w:tc>
        <w:tc>
          <w:tcPr>
            <w:tcW w:w="3631"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ight="143"/>
              <w:rPr>
                <w:rFonts w:eastAsia="Arial" w:cs="Arial"/>
                <w:sz w:val="16"/>
                <w:szCs w:val="16"/>
              </w:rPr>
            </w:pPr>
            <w:r w:rsidRPr="008E0469">
              <w:rPr>
                <w:spacing w:val="-1"/>
                <w:sz w:val="16"/>
              </w:rPr>
              <w:t>Ninth Regulation on the Amendment of the Statutory Provisions Governing Railways dated 19.11.2015 (BGBl. I p. 2105)</w:t>
            </w:r>
          </w:p>
        </w:tc>
        <w:tc>
          <w:tcPr>
            <w:tcW w:w="1925"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0"/>
              <w:rPr>
                <w:rFonts w:eastAsia="Arial" w:cs="Arial"/>
                <w:sz w:val="16"/>
                <w:szCs w:val="16"/>
              </w:rPr>
            </w:pPr>
            <w:r w:rsidRPr="008E0469">
              <w:rPr>
                <w:spacing w:val="-1"/>
                <w:sz w:val="16"/>
              </w:rPr>
              <w:t>01.01.2016</w:t>
            </w:r>
          </w:p>
        </w:tc>
      </w:tr>
    </w:tbl>
    <w:p w:rsidR="009F6E65" w:rsidRPr="008E0469" w:rsidRDefault="00D05136">
      <w:pPr>
        <w:sectPr w:rsidR="009F6E65" w:rsidRPr="008E0469">
          <w:pgSz w:w="11920" w:h="16840"/>
          <w:pgMar w:top="1920" w:right="1200" w:bottom="280" w:left="1220" w:header="721" w:footer="735" w:gutter="0"/>
          <w:cols w:space="720"/>
        </w:sectPr>
      </w:pPr>
    </w:p>
    <w:p w:rsidR="009F6E65" w:rsidRPr="008E0469" w:rsidRDefault="00D05136">
      <w:pPr>
        <w:spacing w:before="9" w:line="160" w:lineRule="exact"/>
        <w:rPr>
          <w:sz w:val="16"/>
          <w:szCs w:val="16"/>
        </w:rPr>
      </w:pPr>
    </w:p>
    <w:p w:rsidR="009F6E65" w:rsidRPr="008E0469" w:rsidRDefault="00D05136" w:rsidP="009F6E65">
      <w:pPr>
        <w:pStyle w:val="Tabelletoc"/>
      </w:pPr>
      <w:bookmarkStart w:id="70" w:name="_Toc467669089"/>
      <w:bookmarkStart w:id="71" w:name="Tabelle2Änderungen"/>
      <w:bookmarkStart w:id="72" w:name="_Toc471208526"/>
      <w:r w:rsidRPr="008E0469">
        <w:t>Table 2: Changes to</w:t>
      </w:r>
      <w:r w:rsidRPr="008E0469">
        <w:t xml:space="preserve"> the national legal framework during 2015</w:t>
      </w:r>
      <w:bookmarkEnd w:id="70"/>
      <w:bookmarkEnd w:id="71"/>
      <w:bookmarkEnd w:id="72"/>
    </w:p>
    <w:p w:rsidR="009F6E65" w:rsidRPr="008E0469" w:rsidRDefault="00D05136">
      <w:pPr>
        <w:spacing w:before="18" w:line="240" w:lineRule="exact"/>
        <w:rPr>
          <w:szCs w:val="24"/>
        </w:rPr>
      </w:pPr>
    </w:p>
    <w:tbl>
      <w:tblPr>
        <w:tblW w:w="9463" w:type="dxa"/>
        <w:tblInd w:w="106" w:type="dxa"/>
        <w:tblLayout w:type="fixed"/>
        <w:tblCellMar>
          <w:left w:w="0" w:type="dxa"/>
          <w:right w:w="0" w:type="dxa"/>
        </w:tblCellMar>
        <w:tblLook w:val="01E0" w:firstRow="1" w:lastRow="1" w:firstColumn="1" w:lastColumn="1" w:noHBand="0" w:noVBand="0"/>
      </w:tblPr>
      <w:tblGrid>
        <w:gridCol w:w="1589"/>
        <w:gridCol w:w="2552"/>
        <w:gridCol w:w="1276"/>
        <w:gridCol w:w="2488"/>
        <w:gridCol w:w="1558"/>
      </w:tblGrid>
      <w:tr w:rsidR="00F3700C" w:rsidTr="00AD29A7">
        <w:trPr>
          <w:trHeight w:val="20"/>
        </w:trPr>
        <w:tc>
          <w:tcPr>
            <w:tcW w:w="1589"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3"/>
              <w:ind w:left="102" w:right="267"/>
              <w:rPr>
                <w:rFonts w:eastAsia="Arial" w:cs="Arial"/>
                <w:sz w:val="16"/>
                <w:szCs w:val="16"/>
              </w:rPr>
            </w:pPr>
            <w:r w:rsidRPr="008E0469">
              <w:rPr>
                <w:b/>
                <w:spacing w:val="-1"/>
                <w:sz w:val="16"/>
              </w:rPr>
              <w:t>Laws and administrative provisions</w:t>
            </w:r>
          </w:p>
        </w:tc>
        <w:tc>
          <w:tcPr>
            <w:tcW w:w="255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3"/>
              <w:ind w:left="102"/>
              <w:rPr>
                <w:rFonts w:eastAsia="Arial" w:cs="Arial"/>
                <w:sz w:val="16"/>
                <w:szCs w:val="16"/>
              </w:rPr>
            </w:pPr>
            <w:r w:rsidRPr="008E0469">
              <w:rPr>
                <w:b/>
                <w:spacing w:val="1"/>
                <w:sz w:val="16"/>
              </w:rPr>
              <w:t>Provision</w:t>
            </w:r>
          </w:p>
        </w:tc>
        <w:tc>
          <w:tcPr>
            <w:tcW w:w="1276"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3"/>
              <w:ind w:left="102"/>
              <w:rPr>
                <w:rFonts w:eastAsia="Arial" w:cs="Arial"/>
                <w:sz w:val="16"/>
                <w:szCs w:val="16"/>
              </w:rPr>
            </w:pPr>
            <w:r w:rsidRPr="008E0469">
              <w:rPr>
                <w:b/>
                <w:spacing w:val="-1"/>
                <w:sz w:val="16"/>
              </w:rPr>
              <w:t>Date of entry into force</w:t>
            </w:r>
          </w:p>
        </w:tc>
        <w:tc>
          <w:tcPr>
            <w:tcW w:w="2488"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3"/>
              <w:ind w:left="102" w:right="196"/>
              <w:rPr>
                <w:rFonts w:eastAsia="Arial" w:cs="Arial"/>
                <w:sz w:val="16"/>
                <w:szCs w:val="16"/>
              </w:rPr>
            </w:pPr>
            <w:r w:rsidRPr="008E0469">
              <w:rPr>
                <w:b/>
                <w:spacing w:val="-1"/>
                <w:sz w:val="16"/>
              </w:rPr>
              <w:t>Description of the main change</w:t>
            </w:r>
          </w:p>
        </w:tc>
        <w:tc>
          <w:tcPr>
            <w:tcW w:w="1558"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3"/>
              <w:ind w:left="102"/>
              <w:rPr>
                <w:rFonts w:eastAsia="Arial" w:cs="Arial"/>
                <w:sz w:val="16"/>
                <w:szCs w:val="16"/>
              </w:rPr>
            </w:pPr>
            <w:r w:rsidRPr="008E0469">
              <w:rPr>
                <w:b/>
                <w:spacing w:val="-1"/>
                <w:sz w:val="16"/>
              </w:rPr>
              <w:t>Reasons for the change</w:t>
            </w:r>
          </w:p>
        </w:tc>
      </w:tr>
      <w:tr w:rsidR="00F3700C" w:rsidTr="00AD29A7">
        <w:trPr>
          <w:trHeight w:val="20"/>
        </w:trPr>
        <w:tc>
          <w:tcPr>
            <w:tcW w:w="1589"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62" w:line="180" w:lineRule="exact"/>
              <w:ind w:left="102" w:right="410"/>
              <w:rPr>
                <w:rFonts w:eastAsia="Arial" w:cs="Arial"/>
                <w:sz w:val="16"/>
                <w:szCs w:val="16"/>
              </w:rPr>
            </w:pPr>
            <w:r w:rsidRPr="008E0469">
              <w:rPr>
                <w:spacing w:val="1"/>
                <w:sz w:val="16"/>
              </w:rPr>
              <w:t>Concerns national safety authority</w:t>
            </w:r>
          </w:p>
        </w:tc>
        <w:tc>
          <w:tcPr>
            <w:tcW w:w="2552"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8"/>
              <w:ind w:left="102" w:right="193"/>
              <w:rPr>
                <w:rFonts w:eastAsia="Arial" w:cs="Arial"/>
                <w:sz w:val="16"/>
                <w:szCs w:val="16"/>
              </w:rPr>
            </w:pPr>
            <w:r w:rsidRPr="008E0469">
              <w:rPr>
                <w:spacing w:val="-1"/>
                <w:sz w:val="16"/>
              </w:rPr>
              <w:t>Ninth Act Amending the Statutory Provisions Governing</w:t>
            </w:r>
            <w:r w:rsidRPr="008E0469">
              <w:rPr>
                <w:spacing w:val="-1"/>
                <w:sz w:val="16"/>
              </w:rPr>
              <w:t xml:space="preserve"> Railways of 28/05/2015 (BGBl. I, p. 825)</w:t>
            </w:r>
          </w:p>
        </w:tc>
        <w:tc>
          <w:tcPr>
            <w:tcW w:w="1276"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7"/>
              <w:ind w:left="102"/>
              <w:rPr>
                <w:rFonts w:eastAsia="Arial" w:cs="Arial"/>
                <w:sz w:val="16"/>
                <w:szCs w:val="16"/>
              </w:rPr>
            </w:pPr>
            <w:r w:rsidRPr="008E0469">
              <w:rPr>
                <w:spacing w:val="-1"/>
                <w:sz w:val="16"/>
              </w:rPr>
              <w:t>06.06.2015</w:t>
            </w:r>
          </w:p>
        </w:tc>
        <w:tc>
          <w:tcPr>
            <w:tcW w:w="2488"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7"/>
              <w:ind w:left="102" w:right="166"/>
              <w:rPr>
                <w:rFonts w:eastAsia="Arial" w:cs="Arial"/>
                <w:sz w:val="16"/>
                <w:szCs w:val="16"/>
              </w:rPr>
            </w:pPr>
            <w:r w:rsidRPr="008E0469">
              <w:rPr>
                <w:spacing w:val="-2"/>
                <w:sz w:val="16"/>
              </w:rPr>
              <w:t>Possibility for private bodies to take over essential examination tasks in the context of procedures for the granting of authorisations for placing in service;</w:t>
            </w:r>
          </w:p>
          <w:p w:rsidR="009F6E65" w:rsidRPr="008E0469" w:rsidRDefault="00D05136">
            <w:pPr>
              <w:spacing w:before="58"/>
              <w:ind w:left="103" w:right="79"/>
              <w:rPr>
                <w:rFonts w:eastAsia="Arial" w:cs="Arial"/>
                <w:sz w:val="16"/>
                <w:szCs w:val="16"/>
              </w:rPr>
            </w:pPr>
            <w:r w:rsidRPr="008E0469">
              <w:rPr>
                <w:spacing w:val="1"/>
                <w:sz w:val="16"/>
              </w:rPr>
              <w:t>Recognition of by the EBA of Notified Bodie</w:t>
            </w:r>
            <w:r w:rsidRPr="008E0469">
              <w:rPr>
                <w:spacing w:val="1"/>
                <w:sz w:val="16"/>
              </w:rPr>
              <w:t>s, Designated Bodies and Assessment Bodies.</w:t>
            </w:r>
          </w:p>
        </w:tc>
        <w:tc>
          <w:tcPr>
            <w:tcW w:w="1558"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7"/>
              <w:ind w:left="103" w:right="242"/>
              <w:rPr>
                <w:rFonts w:eastAsia="Arial" w:cs="Arial"/>
                <w:sz w:val="16"/>
                <w:szCs w:val="16"/>
              </w:rPr>
            </w:pPr>
            <w:r w:rsidRPr="008E0469">
              <w:rPr>
                <w:spacing w:val="1"/>
                <w:sz w:val="16"/>
              </w:rPr>
              <w:t>Amendment necessary for the application of Directive 2008/57/EC and Regulation (EU) No 402/2013</w:t>
            </w:r>
          </w:p>
        </w:tc>
      </w:tr>
      <w:tr w:rsidR="00F3700C" w:rsidTr="00AD29A7">
        <w:trPr>
          <w:trHeight w:val="20"/>
        </w:trPr>
        <w:tc>
          <w:tcPr>
            <w:tcW w:w="1589"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7"/>
              <w:ind w:left="102" w:right="127"/>
              <w:rPr>
                <w:rFonts w:eastAsia="Arial" w:cs="Arial"/>
                <w:sz w:val="16"/>
                <w:szCs w:val="16"/>
              </w:rPr>
            </w:pPr>
            <w:r w:rsidRPr="008E0469">
              <w:rPr>
                <w:spacing w:val="1"/>
                <w:sz w:val="16"/>
              </w:rPr>
              <w:t>Concerns NoBo, DeBo, AsBo, third parties with regard to registration, examination etc.</w:t>
            </w:r>
          </w:p>
        </w:tc>
        <w:tc>
          <w:tcPr>
            <w:tcW w:w="2552"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8"/>
              <w:ind w:left="102" w:right="193"/>
              <w:rPr>
                <w:rFonts w:eastAsia="Arial" w:cs="Arial"/>
                <w:sz w:val="16"/>
                <w:szCs w:val="16"/>
              </w:rPr>
            </w:pPr>
            <w:r w:rsidRPr="008E0469">
              <w:rPr>
                <w:spacing w:val="-1"/>
                <w:sz w:val="16"/>
              </w:rPr>
              <w:t xml:space="preserve">Ninth Act Amending the </w:t>
            </w:r>
            <w:r w:rsidRPr="008E0469">
              <w:rPr>
                <w:spacing w:val="-1"/>
                <w:sz w:val="16"/>
              </w:rPr>
              <w:t>Statutory Provisions Governing Railways of 28/05/2015 (BGBl. I, p. 825)</w:t>
            </w:r>
          </w:p>
        </w:tc>
        <w:tc>
          <w:tcPr>
            <w:tcW w:w="1276"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7"/>
              <w:ind w:left="102"/>
              <w:rPr>
                <w:rFonts w:eastAsia="Arial" w:cs="Arial"/>
                <w:sz w:val="16"/>
                <w:szCs w:val="16"/>
              </w:rPr>
            </w:pPr>
            <w:r w:rsidRPr="008E0469">
              <w:rPr>
                <w:spacing w:val="-1"/>
                <w:sz w:val="16"/>
              </w:rPr>
              <w:t>06.06.2015</w:t>
            </w:r>
          </w:p>
        </w:tc>
        <w:tc>
          <w:tcPr>
            <w:tcW w:w="2488"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7"/>
              <w:ind w:left="102" w:right="166"/>
              <w:rPr>
                <w:rFonts w:eastAsia="Arial" w:cs="Arial"/>
                <w:sz w:val="16"/>
                <w:szCs w:val="16"/>
              </w:rPr>
            </w:pPr>
            <w:r w:rsidRPr="008E0469">
              <w:rPr>
                <w:spacing w:val="-2"/>
                <w:sz w:val="16"/>
              </w:rPr>
              <w:t>Possibility for private bodies to take over essential examination tasks in the context of procedures for the granting of authorisations for placing in service;</w:t>
            </w:r>
          </w:p>
          <w:p w:rsidR="009F6E65" w:rsidRPr="008E0469" w:rsidRDefault="00D05136">
            <w:pPr>
              <w:spacing w:before="58"/>
              <w:ind w:left="103" w:right="79"/>
              <w:rPr>
                <w:rFonts w:eastAsia="Arial" w:cs="Arial"/>
                <w:sz w:val="16"/>
                <w:szCs w:val="16"/>
              </w:rPr>
            </w:pPr>
            <w:r w:rsidRPr="008E0469">
              <w:rPr>
                <w:spacing w:val="1"/>
                <w:sz w:val="16"/>
              </w:rPr>
              <w:t xml:space="preserve">Recognition </w:t>
            </w:r>
            <w:r w:rsidRPr="008E0469">
              <w:rPr>
                <w:spacing w:val="1"/>
                <w:sz w:val="16"/>
              </w:rPr>
              <w:t>of by the EBA of Notified Bodies, Designated Bodies and Assessment Bodies.</w:t>
            </w:r>
          </w:p>
        </w:tc>
        <w:tc>
          <w:tcPr>
            <w:tcW w:w="1558"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7"/>
              <w:ind w:left="103" w:right="242"/>
              <w:rPr>
                <w:rFonts w:eastAsia="Arial" w:cs="Arial"/>
                <w:sz w:val="16"/>
                <w:szCs w:val="16"/>
              </w:rPr>
            </w:pPr>
            <w:r w:rsidRPr="008E0469">
              <w:rPr>
                <w:spacing w:val="1"/>
                <w:sz w:val="16"/>
              </w:rPr>
              <w:t>Amendment necessary for the application of Directive 2008/57/EC and Regulation (EU) No 402/2013</w:t>
            </w:r>
          </w:p>
        </w:tc>
      </w:tr>
      <w:tr w:rsidR="00F3700C" w:rsidTr="00AD29A7">
        <w:trPr>
          <w:trHeight w:val="20"/>
        </w:trPr>
        <w:tc>
          <w:tcPr>
            <w:tcW w:w="1589"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ight="234"/>
              <w:rPr>
                <w:rFonts w:eastAsia="Arial" w:cs="Arial"/>
                <w:sz w:val="16"/>
                <w:szCs w:val="16"/>
              </w:rPr>
            </w:pPr>
            <w:r w:rsidRPr="008E0469">
              <w:rPr>
                <w:spacing w:val="1"/>
                <w:sz w:val="16"/>
              </w:rPr>
              <w:t>Concerns railway undertakings / infrastructure managers / ECMs</w:t>
            </w:r>
          </w:p>
        </w:tc>
        <w:tc>
          <w:tcPr>
            <w:tcW w:w="2552"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5"/>
              <w:ind w:left="102" w:right="95"/>
              <w:rPr>
                <w:rFonts w:eastAsia="Arial" w:cs="Arial"/>
                <w:sz w:val="16"/>
                <w:szCs w:val="16"/>
              </w:rPr>
            </w:pPr>
            <w:r w:rsidRPr="008E0469">
              <w:rPr>
                <w:spacing w:val="-1"/>
                <w:sz w:val="16"/>
              </w:rPr>
              <w:t>Ninth Regulation on t</w:t>
            </w:r>
            <w:r w:rsidRPr="008E0469">
              <w:rPr>
                <w:spacing w:val="-1"/>
                <w:sz w:val="16"/>
              </w:rPr>
              <w:t>he Amendment of the Statutory Provisions Governing Railways dated 19.11.2015 (BGBl. I p. 2105)</w:t>
            </w:r>
          </w:p>
        </w:tc>
        <w:tc>
          <w:tcPr>
            <w:tcW w:w="1276"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9" w:line="180" w:lineRule="exact"/>
              <w:ind w:left="102" w:right="334"/>
              <w:rPr>
                <w:rFonts w:eastAsia="Arial" w:cs="Arial"/>
                <w:sz w:val="16"/>
                <w:szCs w:val="16"/>
              </w:rPr>
            </w:pPr>
            <w:r w:rsidRPr="008E0469">
              <w:rPr>
                <w:spacing w:val="-1"/>
                <w:sz w:val="16"/>
              </w:rPr>
              <w:t>03.12.2015 and 01.01.2016</w:t>
            </w:r>
          </w:p>
        </w:tc>
        <w:tc>
          <w:tcPr>
            <w:tcW w:w="2488" w:type="dxa"/>
            <w:tcBorders>
              <w:top w:val="single" w:sz="5" w:space="0" w:color="000000"/>
              <w:left w:val="single" w:sz="5" w:space="0" w:color="000000"/>
              <w:bottom w:val="single" w:sz="5" w:space="0" w:color="000000"/>
              <w:right w:val="single" w:sz="5" w:space="0" w:color="000000"/>
            </w:tcBorders>
          </w:tcPr>
          <w:p w:rsidR="009F6E65" w:rsidRPr="008E0469" w:rsidRDefault="00D05136">
            <w:pPr>
              <w:spacing w:before="59" w:line="180" w:lineRule="exact"/>
              <w:ind w:left="102" w:right="268"/>
              <w:rPr>
                <w:rFonts w:eastAsia="Arial" w:cs="Arial"/>
                <w:sz w:val="16"/>
                <w:szCs w:val="16"/>
              </w:rPr>
            </w:pPr>
            <w:r w:rsidRPr="008E0469">
              <w:rPr>
                <w:sz w:val="16"/>
              </w:rPr>
              <w:t>Traction Vehicle Driver's Licence Checking Regulation (TfV):</w:t>
            </w:r>
          </w:p>
          <w:p w:rsidR="009F6E65" w:rsidRPr="008E0469" w:rsidRDefault="00D05136" w:rsidP="009F6E65">
            <w:pPr>
              <w:pStyle w:val="ListParagraph"/>
              <w:numPr>
                <w:ilvl w:val="0"/>
                <w:numId w:val="28"/>
              </w:numPr>
              <w:spacing w:before="1"/>
              <w:ind w:left="340" w:hanging="170"/>
              <w:rPr>
                <w:rFonts w:eastAsia="Arial" w:cs="Arial"/>
                <w:sz w:val="16"/>
                <w:szCs w:val="16"/>
              </w:rPr>
            </w:pPr>
            <w:r w:rsidRPr="008E0469">
              <w:rPr>
                <w:sz w:val="16"/>
              </w:rPr>
              <w:t>Change to the requirement as regards vision</w:t>
            </w:r>
          </w:p>
          <w:p w:rsidR="009F6E65" w:rsidRPr="008E0469" w:rsidRDefault="00D05136" w:rsidP="009F6E65">
            <w:pPr>
              <w:pStyle w:val="ListParagraph"/>
              <w:numPr>
                <w:ilvl w:val="0"/>
                <w:numId w:val="28"/>
              </w:numPr>
              <w:spacing w:before="1"/>
              <w:ind w:left="340" w:hanging="170"/>
              <w:rPr>
                <w:rFonts w:eastAsia="Arial" w:cs="Arial"/>
                <w:sz w:val="16"/>
                <w:szCs w:val="16"/>
              </w:rPr>
            </w:pPr>
            <w:r w:rsidRPr="008E0469">
              <w:rPr>
                <w:sz w:val="16"/>
              </w:rPr>
              <w:t xml:space="preserve">Provision of greater detail </w:t>
            </w:r>
            <w:r w:rsidRPr="008E0469">
              <w:rPr>
                <w:sz w:val="16"/>
              </w:rPr>
              <w:t>regarding general technical knowledge, revised version of the rules in terms of linguistic knowledge</w:t>
            </w:r>
          </w:p>
          <w:p w:rsidR="009F6E65" w:rsidRPr="008E0469" w:rsidRDefault="00D05136" w:rsidP="009F6E65">
            <w:pPr>
              <w:pStyle w:val="ListParagraph"/>
              <w:numPr>
                <w:ilvl w:val="0"/>
                <w:numId w:val="28"/>
              </w:numPr>
              <w:spacing w:before="1"/>
              <w:ind w:left="340" w:hanging="170"/>
              <w:rPr>
                <w:rFonts w:eastAsia="Arial" w:cs="Arial"/>
                <w:sz w:val="16"/>
                <w:szCs w:val="16"/>
              </w:rPr>
            </w:pPr>
            <w:r w:rsidRPr="008E0469">
              <w:rPr>
                <w:sz w:val="16"/>
              </w:rPr>
              <w:t>Rules regarding language on border operations and through-lines</w:t>
            </w:r>
          </w:p>
          <w:p w:rsidR="009F6E65" w:rsidRPr="008E0469" w:rsidRDefault="00D05136" w:rsidP="009F6E65">
            <w:pPr>
              <w:pStyle w:val="ListParagraph"/>
              <w:numPr>
                <w:ilvl w:val="0"/>
                <w:numId w:val="28"/>
              </w:numPr>
              <w:spacing w:before="1"/>
              <w:ind w:left="340" w:hanging="170"/>
              <w:rPr>
                <w:rFonts w:eastAsia="Arial" w:cs="Arial"/>
                <w:sz w:val="16"/>
                <w:szCs w:val="16"/>
              </w:rPr>
            </w:pPr>
            <w:r w:rsidRPr="008E0469">
              <w:rPr>
                <w:sz w:val="16"/>
              </w:rPr>
              <w:t>Rules for the participation of doctors and psychologists in the further training sessions o</w:t>
            </w:r>
            <w:r w:rsidRPr="008E0469">
              <w:rPr>
                <w:sz w:val="16"/>
              </w:rPr>
              <w:t>f the EBA following their recognition.</w:t>
            </w:r>
          </w:p>
          <w:p w:rsidR="009F6E65" w:rsidRPr="008E0469" w:rsidRDefault="00D05136">
            <w:pPr>
              <w:spacing w:before="6" w:line="100" w:lineRule="exact"/>
              <w:rPr>
                <w:rFonts w:cs="Arial"/>
                <w:sz w:val="13"/>
                <w:szCs w:val="13"/>
              </w:rPr>
            </w:pPr>
          </w:p>
          <w:p w:rsidR="009F6E65" w:rsidRPr="008E0469" w:rsidRDefault="00D05136">
            <w:pPr>
              <w:spacing w:line="200" w:lineRule="exact"/>
              <w:rPr>
                <w:rFonts w:cs="Arial"/>
                <w:sz w:val="13"/>
                <w:szCs w:val="13"/>
              </w:rPr>
            </w:pPr>
          </w:p>
          <w:p w:rsidR="009F6E65" w:rsidRPr="008E0469" w:rsidRDefault="00D05136" w:rsidP="009F6E65">
            <w:pPr>
              <w:ind w:left="102"/>
              <w:rPr>
                <w:rFonts w:eastAsia="Arial" w:cs="Arial"/>
                <w:spacing w:val="-1"/>
                <w:sz w:val="16"/>
                <w:szCs w:val="16"/>
              </w:rPr>
            </w:pPr>
            <w:r w:rsidRPr="008E0469">
              <w:rPr>
                <w:spacing w:val="-1"/>
                <w:sz w:val="16"/>
              </w:rPr>
              <w:t>Railway Construction and Operations Order (EBO):</w:t>
            </w:r>
          </w:p>
          <w:p w:rsidR="009F6E65" w:rsidRPr="008E0469" w:rsidRDefault="00D05136" w:rsidP="009F6E65">
            <w:pPr>
              <w:pStyle w:val="ListParagraph"/>
              <w:numPr>
                <w:ilvl w:val="0"/>
                <w:numId w:val="28"/>
              </w:numPr>
              <w:spacing w:before="1"/>
              <w:ind w:left="340" w:hanging="170"/>
              <w:rPr>
                <w:rFonts w:eastAsia="Arial" w:cs="Arial"/>
                <w:sz w:val="16"/>
                <w:szCs w:val="16"/>
              </w:rPr>
            </w:pPr>
            <w:r w:rsidRPr="008E0469">
              <w:rPr>
                <w:sz w:val="16"/>
              </w:rPr>
              <w:t>Permissibility of a further operational language alongside German for communication on border operations and through-lines</w:t>
            </w:r>
          </w:p>
          <w:p w:rsidR="009F6E65" w:rsidRPr="008E0469" w:rsidRDefault="00D05136">
            <w:pPr>
              <w:spacing w:line="200" w:lineRule="exact"/>
            </w:pPr>
          </w:p>
          <w:p w:rsidR="009F6E65" w:rsidRPr="008E0469" w:rsidRDefault="00D05136">
            <w:pPr>
              <w:ind w:left="103" w:right="384"/>
              <w:rPr>
                <w:rFonts w:eastAsia="Arial" w:cs="Arial"/>
                <w:sz w:val="16"/>
                <w:szCs w:val="16"/>
              </w:rPr>
            </w:pPr>
            <w:r w:rsidRPr="008E0469">
              <w:rPr>
                <w:spacing w:val="1"/>
                <w:sz w:val="16"/>
              </w:rPr>
              <w:t>Railway Safety Regulation (ESiV):</w:t>
            </w:r>
          </w:p>
          <w:p w:rsidR="009F6E65" w:rsidRPr="008E0469" w:rsidRDefault="00D05136" w:rsidP="009F6E65">
            <w:pPr>
              <w:pStyle w:val="ListParagraph"/>
              <w:numPr>
                <w:ilvl w:val="0"/>
                <w:numId w:val="28"/>
              </w:numPr>
              <w:spacing w:before="1"/>
              <w:ind w:left="340" w:hanging="170"/>
              <w:rPr>
                <w:rFonts w:eastAsia="Arial" w:cs="Arial"/>
                <w:sz w:val="16"/>
                <w:szCs w:val="16"/>
              </w:rPr>
            </w:pPr>
            <w:r w:rsidRPr="008E0469">
              <w:rPr>
                <w:sz w:val="16"/>
              </w:rPr>
              <w:t>Application of the new Annex I to Directive 2004/49/EC in the version amended by Directive 2014/88/EU for safety reports</w:t>
            </w:r>
          </w:p>
        </w:tc>
        <w:tc>
          <w:tcPr>
            <w:tcW w:w="1558" w:type="dxa"/>
            <w:tcBorders>
              <w:top w:val="single" w:sz="5" w:space="0" w:color="000000"/>
              <w:left w:val="single" w:sz="5" w:space="0" w:color="000000"/>
              <w:bottom w:val="single" w:sz="5" w:space="0" w:color="000000"/>
              <w:right w:val="single" w:sz="5" w:space="0" w:color="000000"/>
            </w:tcBorders>
          </w:tcPr>
          <w:p w:rsidR="009F6E65" w:rsidRPr="008E0469" w:rsidRDefault="00D05136" w:rsidP="009F6E65">
            <w:pPr>
              <w:spacing w:before="55"/>
              <w:ind w:left="102" w:right="319"/>
              <w:jc w:val="both"/>
              <w:rPr>
                <w:rFonts w:eastAsia="Arial" w:cs="Arial"/>
                <w:sz w:val="16"/>
                <w:szCs w:val="16"/>
              </w:rPr>
            </w:pPr>
            <w:r w:rsidRPr="008E0469">
              <w:rPr>
                <w:spacing w:val="-1"/>
                <w:sz w:val="16"/>
              </w:rPr>
              <w:t>Implementation of Directive 2014/82/EU and Directive 2014/88/EU</w:t>
            </w:r>
          </w:p>
        </w:tc>
      </w:tr>
    </w:tbl>
    <w:p w:rsidR="009F6E65" w:rsidRPr="008E0469" w:rsidRDefault="00D05136">
      <w:pPr>
        <w:spacing w:line="200" w:lineRule="exact"/>
      </w:pPr>
    </w:p>
    <w:p w:rsidR="009F6E65" w:rsidRPr="008E0469" w:rsidRDefault="00D05136" w:rsidP="009F6E65">
      <w:pPr>
        <w:pStyle w:val="AnhangToc"/>
        <w:pageBreakBefore/>
      </w:pPr>
      <w:bookmarkStart w:id="73" w:name="_Toc467669090"/>
      <w:bookmarkStart w:id="74" w:name="_Toc471208527"/>
      <w:r w:rsidRPr="008E0469">
        <w:t>ANNEX C – Abbreviations</w:t>
      </w:r>
      <w:bookmarkEnd w:id="73"/>
      <w:bookmarkEnd w:id="74"/>
    </w:p>
    <w:p w:rsidR="009F6E65" w:rsidRPr="008E0469" w:rsidRDefault="00D05136">
      <w:pPr>
        <w:spacing w:line="200" w:lineRule="exact"/>
      </w:pPr>
    </w:p>
    <w:p w:rsidR="009F6E65" w:rsidRPr="008E0469" w:rsidRDefault="00D05136">
      <w:pPr>
        <w:spacing w:before="10" w:line="220" w:lineRule="exact"/>
        <w:rPr>
          <w:sz w:val="22"/>
          <w:szCs w:val="22"/>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7892"/>
      </w:tblGrid>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AEG</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General Railway Act [</w:t>
            </w:r>
            <w:r w:rsidRPr="008E0469">
              <w:rPr>
                <w:i/>
                <w:spacing w:val="1"/>
                <w:sz w:val="16"/>
              </w:rPr>
              <w:t xml:space="preserve">Allgemeines </w:t>
            </w:r>
            <w:r w:rsidRPr="008E0469">
              <w:rPr>
                <w:i/>
                <w:spacing w:val="1"/>
                <w:sz w:val="16"/>
              </w:rPr>
              <w:t>Eisenbahngesetz</w:t>
            </w:r>
            <w:r w:rsidRPr="008E0469">
              <w:rPr>
                <w:spacing w:val="1"/>
                <w:sz w:val="16"/>
              </w:rPr>
              <w:t>]</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AsBo</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Assessment Body</w:t>
            </w:r>
          </w:p>
        </w:tc>
      </w:tr>
      <w:tr w:rsidR="00F3700C" w:rsidTr="009F6E65">
        <w:tc>
          <w:tcPr>
            <w:tcW w:w="1293" w:type="dxa"/>
          </w:tcPr>
          <w:p w:rsidR="009F6E65" w:rsidRPr="008E0469" w:rsidRDefault="00D05136" w:rsidP="009F6E65">
            <w:pPr>
              <w:spacing w:before="1"/>
              <w:rPr>
                <w:rFonts w:eastAsia="Arial" w:cs="Arial"/>
                <w:sz w:val="16"/>
                <w:szCs w:val="16"/>
              </w:rPr>
            </w:pPr>
            <w:r w:rsidRPr="008E0469">
              <w:rPr>
                <w:spacing w:val="1"/>
                <w:sz w:val="16"/>
              </w:rPr>
              <w:t>BEGebV</w:t>
            </w:r>
          </w:p>
        </w:tc>
        <w:tc>
          <w:tcPr>
            <w:tcW w:w="7938" w:type="dxa"/>
          </w:tcPr>
          <w:p w:rsidR="009F6E65" w:rsidRPr="008E0469" w:rsidRDefault="00D05136" w:rsidP="009F6E65">
            <w:pPr>
              <w:spacing w:before="1"/>
              <w:rPr>
                <w:rFonts w:eastAsia="Arial" w:cs="Arial"/>
                <w:spacing w:val="1"/>
                <w:sz w:val="16"/>
                <w:szCs w:val="16"/>
              </w:rPr>
            </w:pPr>
            <w:r w:rsidRPr="008E0469">
              <w:rPr>
                <w:spacing w:val="1"/>
                <w:sz w:val="16"/>
              </w:rPr>
              <w:t>Regulation on Fees and Charges of the Federal Railway Administrations (Federal Railway Fees Regulation) [</w:t>
            </w:r>
            <w:r w:rsidRPr="008E0469">
              <w:rPr>
                <w:i/>
                <w:spacing w:val="1"/>
                <w:sz w:val="16"/>
              </w:rPr>
              <w:t xml:space="preserve">Verordnung über die Gebühren und Auslagen der Eisenbahnverkehrsverwaltungen des Bundes </w:t>
            </w:r>
            <w:r w:rsidRPr="008E0469">
              <w:rPr>
                <w:i/>
                <w:spacing w:val="1"/>
                <w:sz w:val="16"/>
              </w:rPr>
              <w:t>(Bundeseisenbahngebührenverordnung)</w:t>
            </w:r>
            <w:r w:rsidRPr="008E0469">
              <w:rPr>
                <w:spacing w:val="1"/>
                <w:sz w:val="16"/>
              </w:rPr>
              <w:t>]</w:t>
            </w:r>
          </w:p>
        </w:tc>
      </w:tr>
      <w:tr w:rsidR="00F3700C" w:rsidTr="009F6E65">
        <w:tc>
          <w:tcPr>
            <w:tcW w:w="1293" w:type="dxa"/>
          </w:tcPr>
          <w:p w:rsidR="009F6E65" w:rsidRPr="008E0469" w:rsidRDefault="00D05136" w:rsidP="009F6E65">
            <w:pPr>
              <w:rPr>
                <w:rFonts w:eastAsia="Arial" w:cs="Arial"/>
                <w:sz w:val="16"/>
                <w:szCs w:val="16"/>
              </w:rPr>
            </w:pPr>
            <w:r w:rsidRPr="008E0469">
              <w:rPr>
                <w:spacing w:val="1"/>
                <w:sz w:val="16"/>
              </w:rPr>
              <w:t>BEVVG</w:t>
            </w:r>
          </w:p>
        </w:tc>
        <w:tc>
          <w:tcPr>
            <w:tcW w:w="7938" w:type="dxa"/>
          </w:tcPr>
          <w:p w:rsidR="009F6E65" w:rsidRPr="008E0469" w:rsidRDefault="00D05136" w:rsidP="009F6E65">
            <w:pPr>
              <w:rPr>
                <w:rFonts w:eastAsia="Arial" w:cs="Arial"/>
                <w:spacing w:val="1"/>
                <w:sz w:val="16"/>
                <w:szCs w:val="16"/>
              </w:rPr>
            </w:pPr>
            <w:r w:rsidRPr="008E0469">
              <w:rPr>
                <w:spacing w:val="-1"/>
                <w:sz w:val="16"/>
              </w:rPr>
              <w:t>Federal Rail Traffic Management Act (Federal Railway Administration Act) [</w:t>
            </w:r>
            <w:r w:rsidRPr="008E0469">
              <w:rPr>
                <w:i/>
                <w:spacing w:val="-1"/>
                <w:sz w:val="16"/>
              </w:rPr>
              <w:t xml:space="preserve">Gesetz über die </w:t>
            </w:r>
            <w:r w:rsidRPr="008E0469">
              <w:rPr>
                <w:rFonts w:eastAsia="Calibri" w:cs="Arial"/>
                <w:spacing w:val="-1"/>
                <w:sz w:val="16"/>
                <w:szCs w:val="16"/>
              </w:rPr>
              <w:br/>
            </w:r>
            <w:r w:rsidRPr="008E0469">
              <w:rPr>
                <w:i/>
                <w:spacing w:val="-1"/>
                <w:sz w:val="16"/>
              </w:rPr>
              <w:t>Eisenbahnverkehrsverwaltung des Bundes (Bundeseisenbahnverkehrsverwaltungsgesetz)]</w:t>
            </w:r>
            <w:r w:rsidRPr="008E0469">
              <w:rPr>
                <w:spacing w:val="-1"/>
                <w:sz w:val="16"/>
              </w:rPr>
              <w:t xml:space="preserve"> </w:t>
            </w:r>
          </w:p>
        </w:tc>
      </w:tr>
      <w:tr w:rsidR="00F3700C" w:rsidTr="009F6E65">
        <w:tc>
          <w:tcPr>
            <w:tcW w:w="1293" w:type="dxa"/>
          </w:tcPr>
          <w:p w:rsidR="009F6E65" w:rsidRPr="008E0469" w:rsidRDefault="00D05136" w:rsidP="009F6E65">
            <w:pPr>
              <w:spacing w:before="1"/>
              <w:rPr>
                <w:rFonts w:eastAsia="Arial" w:cs="Arial"/>
                <w:spacing w:val="-1"/>
                <w:sz w:val="16"/>
                <w:szCs w:val="16"/>
              </w:rPr>
            </w:pPr>
            <w:r w:rsidRPr="008E0469">
              <w:rPr>
                <w:spacing w:val="1"/>
                <w:sz w:val="16"/>
              </w:rPr>
              <w:t>BGBl</w:t>
            </w:r>
          </w:p>
        </w:tc>
        <w:tc>
          <w:tcPr>
            <w:tcW w:w="7938" w:type="dxa"/>
          </w:tcPr>
          <w:p w:rsidR="009F6E65" w:rsidRPr="008E0469" w:rsidRDefault="00D05136" w:rsidP="009F6E65">
            <w:pPr>
              <w:spacing w:before="1"/>
              <w:rPr>
                <w:rFonts w:eastAsia="Arial" w:cs="Arial"/>
                <w:spacing w:val="-1"/>
                <w:sz w:val="16"/>
                <w:szCs w:val="16"/>
              </w:rPr>
            </w:pPr>
            <w:r w:rsidRPr="008E0469">
              <w:rPr>
                <w:spacing w:val="1"/>
                <w:sz w:val="16"/>
              </w:rPr>
              <w:t>Federal Gazette [</w:t>
            </w:r>
            <w:r w:rsidRPr="008E0469">
              <w:rPr>
                <w:i/>
                <w:spacing w:val="1"/>
                <w:sz w:val="16"/>
              </w:rPr>
              <w:t>Bundesgesetzblatt</w:t>
            </w:r>
            <w:r w:rsidRPr="008E0469">
              <w:rPr>
                <w:spacing w:val="1"/>
                <w:sz w:val="16"/>
              </w:rPr>
              <w:t>]</w:t>
            </w:r>
          </w:p>
        </w:tc>
      </w:tr>
      <w:tr w:rsidR="00F3700C" w:rsidTr="009F6E65">
        <w:tc>
          <w:tcPr>
            <w:tcW w:w="1293" w:type="dxa"/>
          </w:tcPr>
          <w:p w:rsidR="009F6E65" w:rsidRPr="008E0469" w:rsidRDefault="00D05136" w:rsidP="009F6E65">
            <w:pPr>
              <w:spacing w:before="1"/>
              <w:rPr>
                <w:rFonts w:eastAsia="Arial" w:cs="Arial"/>
                <w:sz w:val="16"/>
                <w:szCs w:val="16"/>
              </w:rPr>
            </w:pPr>
            <w:r w:rsidRPr="008E0469">
              <w:rPr>
                <w:spacing w:val="-1"/>
                <w:sz w:val="16"/>
              </w:rPr>
              <w:t>CSI</w:t>
            </w:r>
          </w:p>
        </w:tc>
        <w:tc>
          <w:tcPr>
            <w:tcW w:w="7938" w:type="dxa"/>
          </w:tcPr>
          <w:p w:rsidR="009F6E65" w:rsidRPr="008E0469" w:rsidRDefault="00D05136" w:rsidP="009F6E65">
            <w:pPr>
              <w:spacing w:before="1"/>
              <w:rPr>
                <w:rFonts w:eastAsia="Arial" w:cs="Arial"/>
                <w:spacing w:val="-1"/>
                <w:sz w:val="16"/>
                <w:szCs w:val="16"/>
              </w:rPr>
            </w:pPr>
            <w:r w:rsidRPr="008E0469">
              <w:rPr>
                <w:sz w:val="16"/>
              </w:rPr>
              <w:t>Common Safety Indicators</w:t>
            </w:r>
          </w:p>
        </w:tc>
      </w:tr>
      <w:tr w:rsidR="00F3700C" w:rsidTr="009F6E65">
        <w:tc>
          <w:tcPr>
            <w:tcW w:w="1293" w:type="dxa"/>
          </w:tcPr>
          <w:p w:rsidR="009F6E65" w:rsidRPr="008E0469" w:rsidRDefault="00D05136" w:rsidP="009F6E65">
            <w:pPr>
              <w:spacing w:before="1"/>
              <w:rPr>
                <w:rFonts w:eastAsia="Arial" w:cs="Arial"/>
                <w:spacing w:val="-1"/>
                <w:sz w:val="16"/>
                <w:szCs w:val="16"/>
              </w:rPr>
            </w:pPr>
            <w:r w:rsidRPr="008E0469">
              <w:rPr>
                <w:spacing w:val="-1"/>
                <w:sz w:val="16"/>
              </w:rPr>
              <w:t>CSM</w:t>
            </w:r>
          </w:p>
        </w:tc>
        <w:tc>
          <w:tcPr>
            <w:tcW w:w="7938" w:type="dxa"/>
          </w:tcPr>
          <w:p w:rsidR="009F6E65" w:rsidRPr="008E0469" w:rsidRDefault="00D05136" w:rsidP="009F6E65">
            <w:pPr>
              <w:spacing w:before="1"/>
              <w:rPr>
                <w:rFonts w:eastAsia="Arial" w:cs="Arial"/>
                <w:spacing w:val="-1"/>
                <w:sz w:val="16"/>
                <w:szCs w:val="16"/>
              </w:rPr>
            </w:pPr>
            <w:r w:rsidRPr="008E0469">
              <w:rPr>
                <w:sz w:val="16"/>
              </w:rPr>
              <w:t>Common Safety Methods</w:t>
            </w:r>
          </w:p>
        </w:tc>
      </w:tr>
      <w:tr w:rsidR="00F3700C" w:rsidTr="009F6E65">
        <w:tc>
          <w:tcPr>
            <w:tcW w:w="1293" w:type="dxa"/>
          </w:tcPr>
          <w:p w:rsidR="009F6E65" w:rsidRPr="008E0469" w:rsidRDefault="00D05136" w:rsidP="009F6E65">
            <w:pPr>
              <w:spacing w:before="1"/>
              <w:rPr>
                <w:rFonts w:eastAsia="Arial" w:cs="Arial"/>
                <w:sz w:val="16"/>
                <w:szCs w:val="16"/>
              </w:rPr>
            </w:pPr>
            <w:r w:rsidRPr="008E0469">
              <w:rPr>
                <w:spacing w:val="-1"/>
                <w:sz w:val="16"/>
              </w:rPr>
              <w:t>DeBo</w:t>
            </w:r>
          </w:p>
        </w:tc>
        <w:tc>
          <w:tcPr>
            <w:tcW w:w="7938" w:type="dxa"/>
          </w:tcPr>
          <w:p w:rsidR="009F6E65" w:rsidRPr="008E0469" w:rsidRDefault="00D05136" w:rsidP="009F6E65">
            <w:pPr>
              <w:spacing w:before="1"/>
              <w:rPr>
                <w:rFonts w:eastAsia="Arial" w:cs="Arial"/>
                <w:spacing w:val="-1"/>
                <w:sz w:val="16"/>
                <w:szCs w:val="16"/>
              </w:rPr>
            </w:pPr>
            <w:r w:rsidRPr="008E0469">
              <w:rPr>
                <w:spacing w:val="1"/>
                <w:sz w:val="16"/>
              </w:rPr>
              <w:t xml:space="preserve">Designated Body </w:t>
            </w:r>
          </w:p>
        </w:tc>
      </w:tr>
      <w:tr w:rsidR="00F3700C" w:rsidTr="009F6E65">
        <w:tc>
          <w:tcPr>
            <w:tcW w:w="1293" w:type="dxa"/>
          </w:tcPr>
          <w:p w:rsidR="009F6E65" w:rsidRPr="008E0469" w:rsidRDefault="00D05136" w:rsidP="009F6E65">
            <w:pPr>
              <w:spacing w:before="1"/>
              <w:rPr>
                <w:rFonts w:eastAsia="Arial" w:cs="Arial"/>
                <w:spacing w:val="-1"/>
                <w:sz w:val="16"/>
                <w:szCs w:val="16"/>
              </w:rPr>
            </w:pPr>
            <w:r w:rsidRPr="008E0469">
              <w:rPr>
                <w:spacing w:val="1"/>
                <w:sz w:val="16"/>
              </w:rPr>
              <w:t>EBA</w:t>
            </w:r>
          </w:p>
        </w:tc>
        <w:tc>
          <w:tcPr>
            <w:tcW w:w="7938" w:type="dxa"/>
          </w:tcPr>
          <w:p w:rsidR="009F6E65" w:rsidRPr="008E0469" w:rsidRDefault="00D05136" w:rsidP="009F6E65">
            <w:pPr>
              <w:spacing w:before="1"/>
              <w:rPr>
                <w:rFonts w:eastAsia="Arial" w:cs="Arial"/>
                <w:spacing w:val="1"/>
                <w:sz w:val="16"/>
                <w:szCs w:val="16"/>
              </w:rPr>
            </w:pPr>
            <w:r w:rsidRPr="008E0469">
              <w:rPr>
                <w:spacing w:val="1"/>
                <w:sz w:val="16"/>
              </w:rPr>
              <w:t>Federal Railway Authority [</w:t>
            </w:r>
            <w:r w:rsidRPr="008E0469">
              <w:rPr>
                <w:i/>
                <w:spacing w:val="1"/>
                <w:sz w:val="16"/>
              </w:rPr>
              <w:t>Eisenbahn-Bundesamt</w:t>
            </w:r>
            <w:r w:rsidRPr="008E0469">
              <w:rPr>
                <w:spacing w:val="1"/>
                <w:sz w:val="16"/>
              </w:rPr>
              <w:t>]</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EBO</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Railway Construction and Operations Order [</w:t>
            </w:r>
            <w:r w:rsidRPr="008E0469">
              <w:rPr>
                <w:i/>
                <w:spacing w:val="1"/>
                <w:sz w:val="16"/>
              </w:rPr>
              <w:t>Eisenbahn-Bau und Betriebsordnung</w:t>
            </w:r>
            <w:r w:rsidRPr="008E0469">
              <w:rPr>
                <w:spacing w:val="1"/>
                <w:sz w:val="16"/>
              </w:rPr>
              <w:t>]</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EBPV</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 xml:space="preserve">Regulation on </w:t>
            </w:r>
            <w:r w:rsidRPr="008E0469">
              <w:rPr>
                <w:spacing w:val="1"/>
                <w:sz w:val="16"/>
              </w:rPr>
              <w:t>the Examination for Railway Operations Managers [</w:t>
            </w:r>
            <w:r w:rsidRPr="008E0469">
              <w:rPr>
                <w:i/>
                <w:spacing w:val="1"/>
                <w:sz w:val="16"/>
              </w:rPr>
              <w:t>Verordnung über die Prüfung zum Betriebsleiter für Eisenbahnen</w:t>
            </w:r>
            <w:r w:rsidRPr="008E0469">
              <w:rPr>
                <w:spacing w:val="1"/>
                <w:sz w:val="16"/>
              </w:rPr>
              <w:t>]</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EBV</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Regulation on the Appointment, Confirmation, Tasks and Powers of Railway Operations Managers [</w:t>
            </w:r>
            <w:r w:rsidRPr="008E0469">
              <w:rPr>
                <w:i/>
                <w:spacing w:val="1"/>
                <w:sz w:val="16"/>
              </w:rPr>
              <w:t>Verordnung über die Bestellung und Bestätigu</w:t>
            </w:r>
            <w:r w:rsidRPr="008E0469">
              <w:rPr>
                <w:i/>
                <w:spacing w:val="1"/>
                <w:sz w:val="16"/>
              </w:rPr>
              <w:t>ng sowie die Aufgaben und Befugnisse von Betriebsleitern für Eisenbahnen</w:t>
            </w:r>
            <w:r w:rsidRPr="008E0469">
              <w:rPr>
                <w:spacing w:val="1"/>
                <w:sz w:val="16"/>
              </w:rPr>
              <w:t>]</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EBZugV</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Regulation on Access to the Profession of Railway Entrepreneur [</w:t>
            </w:r>
            <w:r w:rsidRPr="008E0469">
              <w:rPr>
                <w:i/>
                <w:spacing w:val="1"/>
                <w:sz w:val="16"/>
              </w:rPr>
              <w:t>Eisenbahnunternehmer-Berufszugangsverordnung</w:t>
            </w:r>
            <w:r w:rsidRPr="008E0469">
              <w:rPr>
                <w:spacing w:val="1"/>
                <w:sz w:val="16"/>
              </w:rPr>
              <w:t>]</w:t>
            </w:r>
          </w:p>
        </w:tc>
      </w:tr>
      <w:tr w:rsidR="00F3700C" w:rsidTr="009F6E65">
        <w:tc>
          <w:tcPr>
            <w:tcW w:w="1293" w:type="dxa"/>
          </w:tcPr>
          <w:p w:rsidR="009F6E65" w:rsidRPr="008E0469" w:rsidRDefault="00D05136" w:rsidP="009F6E65">
            <w:pPr>
              <w:tabs>
                <w:tab w:val="left" w:pos="1360"/>
              </w:tabs>
              <w:spacing w:before="5"/>
              <w:rPr>
                <w:rFonts w:eastAsia="Arial" w:cs="Arial"/>
                <w:sz w:val="16"/>
                <w:szCs w:val="16"/>
              </w:rPr>
            </w:pPr>
            <w:r w:rsidRPr="008E0469">
              <w:rPr>
                <w:spacing w:val="1"/>
                <w:sz w:val="16"/>
              </w:rPr>
              <w:t xml:space="preserve">ECM </w:t>
            </w:r>
          </w:p>
        </w:tc>
        <w:tc>
          <w:tcPr>
            <w:tcW w:w="7938" w:type="dxa"/>
          </w:tcPr>
          <w:p w:rsidR="009F6E65" w:rsidRPr="008E0469" w:rsidRDefault="00D05136" w:rsidP="009F6E65">
            <w:pPr>
              <w:tabs>
                <w:tab w:val="left" w:pos="1360"/>
              </w:tabs>
              <w:spacing w:before="5"/>
              <w:rPr>
                <w:rFonts w:eastAsia="Arial" w:cs="Arial"/>
                <w:spacing w:val="1"/>
                <w:sz w:val="16"/>
                <w:szCs w:val="16"/>
              </w:rPr>
            </w:pPr>
            <w:r w:rsidRPr="008E0469">
              <w:rPr>
                <w:sz w:val="16"/>
              </w:rPr>
              <w:t>Entity in charge of maintenance</w:t>
            </w:r>
          </w:p>
        </w:tc>
      </w:tr>
      <w:tr w:rsidR="00F3700C" w:rsidTr="009F6E65">
        <w:tc>
          <w:tcPr>
            <w:tcW w:w="1293" w:type="dxa"/>
          </w:tcPr>
          <w:p w:rsidR="009F6E65" w:rsidRPr="008E0469" w:rsidRDefault="00D05136" w:rsidP="009F6E65">
            <w:pPr>
              <w:tabs>
                <w:tab w:val="left" w:pos="1360"/>
              </w:tabs>
              <w:spacing w:before="5"/>
              <w:rPr>
                <w:rFonts w:eastAsia="Arial" w:cs="Arial"/>
                <w:spacing w:val="1"/>
                <w:sz w:val="16"/>
                <w:szCs w:val="16"/>
              </w:rPr>
            </w:pPr>
            <w:r w:rsidRPr="008E0469">
              <w:rPr>
                <w:spacing w:val="1"/>
                <w:sz w:val="16"/>
              </w:rPr>
              <w:t>EC</w:t>
            </w:r>
          </w:p>
        </w:tc>
        <w:tc>
          <w:tcPr>
            <w:tcW w:w="7938" w:type="dxa"/>
          </w:tcPr>
          <w:p w:rsidR="009F6E65" w:rsidRPr="008E0469" w:rsidRDefault="00D05136" w:rsidP="009F6E65">
            <w:pPr>
              <w:tabs>
                <w:tab w:val="left" w:pos="1360"/>
              </w:tabs>
              <w:spacing w:before="5"/>
              <w:rPr>
                <w:rFonts w:eastAsia="Arial" w:cs="Arial"/>
                <w:sz w:val="16"/>
                <w:szCs w:val="16"/>
              </w:rPr>
            </w:pPr>
            <w:r w:rsidRPr="008E0469">
              <w:rPr>
                <w:spacing w:val="1"/>
                <w:sz w:val="16"/>
              </w:rPr>
              <w:t>European Community</w:t>
            </w:r>
          </w:p>
        </w:tc>
      </w:tr>
      <w:tr w:rsidR="00F3700C" w:rsidTr="009F6E65">
        <w:tc>
          <w:tcPr>
            <w:tcW w:w="1293" w:type="dxa"/>
          </w:tcPr>
          <w:p w:rsidR="009F6E65" w:rsidRPr="008E0469" w:rsidRDefault="00D05136" w:rsidP="009F6E65">
            <w:pPr>
              <w:tabs>
                <w:tab w:val="left" w:pos="1360"/>
              </w:tabs>
              <w:spacing w:before="1"/>
              <w:rPr>
                <w:rFonts w:eastAsia="Arial" w:cs="Arial"/>
                <w:sz w:val="16"/>
                <w:szCs w:val="16"/>
              </w:rPr>
            </w:pPr>
            <w:r w:rsidRPr="008E0469">
              <w:rPr>
                <w:spacing w:val="1"/>
                <w:sz w:val="16"/>
              </w:rPr>
              <w:t xml:space="preserve">ESiV </w:t>
            </w:r>
          </w:p>
        </w:tc>
        <w:tc>
          <w:tcPr>
            <w:tcW w:w="7938" w:type="dxa"/>
          </w:tcPr>
          <w:p w:rsidR="009F6E65" w:rsidRPr="008E0469" w:rsidRDefault="00D05136" w:rsidP="009F6E65">
            <w:pPr>
              <w:tabs>
                <w:tab w:val="left" w:pos="1360"/>
              </w:tabs>
              <w:spacing w:before="1"/>
              <w:rPr>
                <w:rFonts w:eastAsia="Arial" w:cs="Arial"/>
                <w:spacing w:val="1"/>
                <w:sz w:val="16"/>
                <w:szCs w:val="16"/>
              </w:rPr>
            </w:pPr>
            <w:r w:rsidRPr="008E0469">
              <w:rPr>
                <w:spacing w:val="1"/>
                <w:sz w:val="16"/>
              </w:rPr>
              <w:t>Railway Safety Regulation [</w:t>
            </w:r>
            <w:r w:rsidRPr="008E0469">
              <w:rPr>
                <w:i/>
                <w:spacing w:val="1"/>
                <w:sz w:val="16"/>
              </w:rPr>
              <w:t>Verordnung über die Sicherheit des Eisenbahnwesens (Eisenbahn-Sicherheitsverordnung)</w:t>
            </w:r>
            <w:r w:rsidRPr="008E0469">
              <w:rPr>
                <w:spacing w:val="1"/>
                <w:sz w:val="16"/>
              </w:rPr>
              <w:t>]</w:t>
            </w:r>
          </w:p>
        </w:tc>
      </w:tr>
      <w:tr w:rsidR="00F3700C" w:rsidTr="009F6E65">
        <w:tc>
          <w:tcPr>
            <w:tcW w:w="1293" w:type="dxa"/>
          </w:tcPr>
          <w:p w:rsidR="009F6E65" w:rsidRPr="008E0469" w:rsidRDefault="00D05136" w:rsidP="009F6E65">
            <w:pPr>
              <w:tabs>
                <w:tab w:val="left" w:pos="1360"/>
              </w:tabs>
              <w:spacing w:before="1"/>
              <w:rPr>
                <w:rFonts w:eastAsia="Arial" w:cs="Arial"/>
                <w:spacing w:val="1"/>
                <w:sz w:val="16"/>
                <w:szCs w:val="16"/>
              </w:rPr>
            </w:pPr>
            <w:r w:rsidRPr="008E0469">
              <w:rPr>
                <w:spacing w:val="1"/>
                <w:sz w:val="16"/>
              </w:rPr>
              <w:t>EU</w:t>
            </w:r>
          </w:p>
        </w:tc>
        <w:tc>
          <w:tcPr>
            <w:tcW w:w="7938" w:type="dxa"/>
          </w:tcPr>
          <w:p w:rsidR="009F6E65" w:rsidRPr="008E0469" w:rsidRDefault="00D05136" w:rsidP="009F6E65">
            <w:pPr>
              <w:tabs>
                <w:tab w:val="left" w:pos="1360"/>
              </w:tabs>
              <w:spacing w:before="1"/>
              <w:rPr>
                <w:rFonts w:eastAsia="Arial" w:cs="Arial"/>
                <w:spacing w:val="1"/>
                <w:sz w:val="16"/>
                <w:szCs w:val="16"/>
              </w:rPr>
            </w:pPr>
            <w:r w:rsidRPr="008E0469">
              <w:rPr>
                <w:spacing w:val="1"/>
                <w:sz w:val="16"/>
              </w:rPr>
              <w:t>European Union</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EUB</w:t>
            </w:r>
          </w:p>
        </w:tc>
        <w:tc>
          <w:tcPr>
            <w:tcW w:w="7938" w:type="dxa"/>
          </w:tcPr>
          <w:p w:rsidR="009F6E65" w:rsidRPr="008E0469" w:rsidRDefault="00D05136" w:rsidP="009F6E65">
            <w:pPr>
              <w:pStyle w:val="Style2"/>
              <w:rPr>
                <w:spacing w:val="1"/>
              </w:rPr>
            </w:pPr>
            <w:r w:rsidRPr="008E0469">
              <w:t xml:space="preserve">Federal Railway Accident Investigation Office </w:t>
            </w:r>
            <w:r w:rsidRPr="008E0469">
              <w:br/>
              <w:t>[</w:t>
            </w:r>
            <w:r w:rsidRPr="008E0469">
              <w:rPr>
                <w:i/>
              </w:rPr>
              <w:t>Eisenbahn-Unfalluntersuchungsstelle des Bundes</w:t>
            </w:r>
            <w:r w:rsidRPr="008E0469">
              <w:t>]</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EUV</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 xml:space="preserve">Regulation </w:t>
            </w:r>
            <w:r w:rsidRPr="008E0469">
              <w:rPr>
                <w:spacing w:val="1"/>
                <w:sz w:val="16"/>
              </w:rPr>
              <w:t>on the Investigation of Dangerous Occurrences in Railway Operations [</w:t>
            </w:r>
            <w:r w:rsidRPr="008E0469">
              <w:rPr>
                <w:i/>
                <w:spacing w:val="1"/>
                <w:sz w:val="16"/>
              </w:rPr>
              <w:t>Verordnung über die Untersuchung gefährlicher Ereignisse im Eisenbahnbetrieb</w:t>
            </w:r>
            <w:r w:rsidRPr="008E0469">
              <w:rPr>
                <w:spacing w:val="1"/>
                <w:sz w:val="16"/>
              </w:rPr>
              <w:t>]</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ICE</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Intercity-Express</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2"/>
                <w:sz w:val="16"/>
              </w:rPr>
              <w:t>MoU</w:t>
            </w:r>
          </w:p>
        </w:tc>
        <w:tc>
          <w:tcPr>
            <w:tcW w:w="7938" w:type="dxa"/>
          </w:tcPr>
          <w:p w:rsidR="009F6E65" w:rsidRPr="008E0469" w:rsidRDefault="00D05136" w:rsidP="009F6E65">
            <w:pPr>
              <w:jc w:val="both"/>
              <w:rPr>
                <w:rFonts w:eastAsia="Arial" w:cs="Arial"/>
                <w:spacing w:val="-2"/>
                <w:sz w:val="16"/>
                <w:szCs w:val="16"/>
              </w:rPr>
            </w:pPr>
            <w:r w:rsidRPr="008E0469">
              <w:rPr>
                <w:spacing w:val="-2"/>
                <w:sz w:val="16"/>
              </w:rPr>
              <w:t>Memorandum of Understanding</w:t>
            </w:r>
          </w:p>
        </w:tc>
      </w:tr>
      <w:tr w:rsidR="00F3700C" w:rsidTr="009F6E65">
        <w:tc>
          <w:tcPr>
            <w:tcW w:w="1293" w:type="dxa"/>
          </w:tcPr>
          <w:p w:rsidR="009F6E65" w:rsidRPr="008E0469" w:rsidRDefault="00D05136" w:rsidP="009F6E65">
            <w:pPr>
              <w:rPr>
                <w:rFonts w:eastAsia="Arial" w:cs="Arial"/>
                <w:sz w:val="16"/>
                <w:szCs w:val="16"/>
              </w:rPr>
            </w:pPr>
            <w:r w:rsidRPr="008E0469">
              <w:rPr>
                <w:spacing w:val="-1"/>
                <w:sz w:val="16"/>
              </w:rPr>
              <w:t>NoBo</w:t>
            </w:r>
          </w:p>
        </w:tc>
        <w:tc>
          <w:tcPr>
            <w:tcW w:w="7938" w:type="dxa"/>
          </w:tcPr>
          <w:p w:rsidR="009F6E65" w:rsidRPr="008E0469" w:rsidRDefault="00D05136" w:rsidP="009F6E65">
            <w:pPr>
              <w:rPr>
                <w:rFonts w:eastAsia="Arial" w:cs="Arial"/>
                <w:spacing w:val="-1"/>
                <w:sz w:val="16"/>
                <w:szCs w:val="16"/>
              </w:rPr>
            </w:pPr>
            <w:r w:rsidRPr="008E0469">
              <w:rPr>
                <w:spacing w:val="1"/>
                <w:sz w:val="16"/>
              </w:rPr>
              <w:t>Notified Body Interoperability</w:t>
            </w:r>
          </w:p>
        </w:tc>
      </w:tr>
      <w:tr w:rsidR="00F3700C" w:rsidTr="009F6E65">
        <w:tc>
          <w:tcPr>
            <w:tcW w:w="1293" w:type="dxa"/>
          </w:tcPr>
          <w:p w:rsidR="009F6E65" w:rsidRPr="008E0469" w:rsidRDefault="00D05136" w:rsidP="009F6E65">
            <w:pPr>
              <w:rPr>
                <w:rFonts w:eastAsia="Arial" w:cs="Arial"/>
                <w:spacing w:val="-1"/>
                <w:sz w:val="16"/>
                <w:szCs w:val="16"/>
              </w:rPr>
            </w:pPr>
            <w:r w:rsidRPr="008E0469">
              <w:rPr>
                <w:spacing w:val="1"/>
                <w:sz w:val="16"/>
              </w:rPr>
              <w:t>PZB</w:t>
            </w:r>
          </w:p>
        </w:tc>
        <w:tc>
          <w:tcPr>
            <w:tcW w:w="7938" w:type="dxa"/>
          </w:tcPr>
          <w:p w:rsidR="009F6E65" w:rsidRPr="008E0469" w:rsidRDefault="00D05136" w:rsidP="009F6E65">
            <w:pPr>
              <w:rPr>
                <w:rFonts w:eastAsia="Arial" w:cs="Arial"/>
                <w:spacing w:val="1"/>
                <w:sz w:val="16"/>
                <w:szCs w:val="16"/>
              </w:rPr>
            </w:pPr>
            <w:r w:rsidRPr="008E0469">
              <w:rPr>
                <w:spacing w:val="1"/>
                <w:sz w:val="16"/>
              </w:rPr>
              <w:t>Intermittent automatic train control</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 xml:space="preserve"> </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 xml:space="preserve"> </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Ril</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Deutsche Bahn Group Guideline</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SIRF</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Rolling Stock Safety Regulations [</w:t>
            </w:r>
            <w:r w:rsidRPr="008E0469">
              <w:rPr>
                <w:i/>
                <w:spacing w:val="1"/>
                <w:sz w:val="16"/>
              </w:rPr>
              <w:t>Sicherheits-Regelwerk Fahrzeuge</w:t>
            </w:r>
            <w:r w:rsidRPr="008E0469">
              <w:rPr>
                <w:spacing w:val="1"/>
                <w:sz w:val="16"/>
              </w:rPr>
              <w:t>]</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STE</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Signalling, telecommunication and electrical engineering [</w:t>
            </w:r>
            <w:r w:rsidRPr="008E0469">
              <w:rPr>
                <w:i/>
                <w:spacing w:val="1"/>
                <w:sz w:val="16"/>
              </w:rPr>
              <w:t xml:space="preserve">Signaltechnik, Telekommunikation und </w:t>
            </w:r>
            <w:r w:rsidRPr="008E0469">
              <w:rPr>
                <w:rFonts w:eastAsia="Arial" w:cs="Arial"/>
                <w:spacing w:val="1"/>
                <w:sz w:val="16"/>
                <w:szCs w:val="16"/>
              </w:rPr>
              <w:br/>
            </w:r>
            <w:r w:rsidRPr="008E0469">
              <w:rPr>
                <w:i/>
                <w:spacing w:val="1"/>
                <w:sz w:val="16"/>
              </w:rPr>
              <w:t>Elektrotechnik</w:t>
            </w:r>
            <w:r w:rsidRPr="008E0469">
              <w:rPr>
                <w:spacing w:val="1"/>
                <w:sz w:val="16"/>
              </w:rPr>
              <w:t>]</w:t>
            </w:r>
          </w:p>
        </w:tc>
      </w:tr>
      <w:tr w:rsidR="00F3700C" w:rsidTr="009F6E65">
        <w:tc>
          <w:tcPr>
            <w:tcW w:w="1293" w:type="dxa"/>
          </w:tcPr>
          <w:p w:rsidR="009F6E65" w:rsidRPr="008E0469" w:rsidRDefault="00D05136" w:rsidP="009F6E65">
            <w:pPr>
              <w:rPr>
                <w:rFonts w:eastAsia="Arial" w:cs="Arial"/>
                <w:sz w:val="16"/>
                <w:szCs w:val="16"/>
              </w:rPr>
            </w:pPr>
            <w:r w:rsidRPr="008E0469">
              <w:rPr>
                <w:sz w:val="16"/>
              </w:rPr>
              <w:t>TEIV</w:t>
            </w:r>
          </w:p>
        </w:tc>
        <w:tc>
          <w:tcPr>
            <w:tcW w:w="7938" w:type="dxa"/>
          </w:tcPr>
          <w:p w:rsidR="009F6E65" w:rsidRPr="008E0469" w:rsidRDefault="00D05136" w:rsidP="009F6E65">
            <w:pPr>
              <w:rPr>
                <w:rFonts w:eastAsia="Arial" w:cs="Arial"/>
                <w:sz w:val="16"/>
                <w:szCs w:val="16"/>
              </w:rPr>
            </w:pPr>
            <w:r w:rsidRPr="008E0469">
              <w:rPr>
                <w:spacing w:val="1"/>
                <w:sz w:val="16"/>
              </w:rPr>
              <w:t>Trans-European Railway Interoperability Regulation [</w:t>
            </w:r>
            <w:r w:rsidRPr="008E0469">
              <w:rPr>
                <w:i/>
                <w:spacing w:val="1"/>
                <w:sz w:val="16"/>
              </w:rPr>
              <w:t xml:space="preserve">Verordnung über die Interoperabilität des </w:t>
            </w:r>
            <w:r w:rsidRPr="008E0469">
              <w:rPr>
                <w:rFonts w:eastAsia="Arial" w:cs="Arial"/>
                <w:spacing w:val="1"/>
                <w:sz w:val="16"/>
                <w:szCs w:val="16"/>
              </w:rPr>
              <w:br/>
            </w:r>
            <w:r w:rsidRPr="008E0469">
              <w:rPr>
                <w:i/>
                <w:spacing w:val="1"/>
                <w:sz w:val="16"/>
              </w:rPr>
              <w:t>transeuropäischen Eisenbahnsystems (Transeuropäische-Eisenbahn-Interoperabilitätsverordnung)</w:t>
            </w:r>
            <w:r w:rsidRPr="008E0469">
              <w:rPr>
                <w:spacing w:val="1"/>
                <w:sz w:val="16"/>
              </w:rPr>
              <w:t>]</w:t>
            </w:r>
          </w:p>
        </w:tc>
      </w:tr>
      <w:tr w:rsidR="00F3700C" w:rsidTr="009F6E65">
        <w:tc>
          <w:tcPr>
            <w:tcW w:w="1293" w:type="dxa"/>
          </w:tcPr>
          <w:p w:rsidR="009F6E65" w:rsidRPr="008E0469" w:rsidRDefault="00D05136" w:rsidP="009F6E65">
            <w:pPr>
              <w:jc w:val="both"/>
              <w:rPr>
                <w:rFonts w:eastAsia="Arial" w:cs="Arial"/>
                <w:sz w:val="16"/>
                <w:szCs w:val="16"/>
              </w:rPr>
            </w:pPr>
            <w:r w:rsidRPr="008E0469">
              <w:rPr>
                <w:sz w:val="16"/>
              </w:rPr>
              <w:t>TSI</w:t>
            </w:r>
          </w:p>
        </w:tc>
        <w:tc>
          <w:tcPr>
            <w:tcW w:w="7938" w:type="dxa"/>
          </w:tcPr>
          <w:p w:rsidR="009F6E65" w:rsidRPr="008E0469" w:rsidRDefault="00D05136" w:rsidP="009F6E65">
            <w:pPr>
              <w:jc w:val="both"/>
              <w:rPr>
                <w:rFonts w:eastAsia="Arial" w:cs="Arial"/>
                <w:sz w:val="16"/>
                <w:szCs w:val="16"/>
              </w:rPr>
            </w:pPr>
            <w:r w:rsidRPr="008E0469">
              <w:rPr>
                <w:sz w:val="16"/>
              </w:rPr>
              <w:t xml:space="preserve">Technical Specification for </w:t>
            </w:r>
            <w:r w:rsidRPr="008E0469">
              <w:rPr>
                <w:sz w:val="16"/>
              </w:rPr>
              <w:t>Interoperability</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VDV</w:t>
            </w:r>
          </w:p>
        </w:tc>
        <w:tc>
          <w:tcPr>
            <w:tcW w:w="7938" w:type="dxa"/>
          </w:tcPr>
          <w:p w:rsidR="009F6E65" w:rsidRPr="008E0469" w:rsidRDefault="00D05136" w:rsidP="009F6E65">
            <w:pPr>
              <w:jc w:val="both"/>
              <w:rPr>
                <w:rFonts w:eastAsia="Arial" w:cs="Arial"/>
                <w:sz w:val="16"/>
                <w:szCs w:val="16"/>
              </w:rPr>
            </w:pPr>
            <w:r w:rsidRPr="008E0469">
              <w:rPr>
                <w:spacing w:val="1"/>
                <w:sz w:val="16"/>
              </w:rPr>
              <w:t>Verband Deutscher Verkehrsunternehmen e. V. (Association of German Transport Undertakings)</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 xml:space="preserve"> </w:t>
            </w:r>
          </w:p>
        </w:tc>
        <w:tc>
          <w:tcPr>
            <w:tcW w:w="7938" w:type="dxa"/>
          </w:tcPr>
          <w:p w:rsidR="009F6E65" w:rsidRPr="008E0469" w:rsidRDefault="00D05136" w:rsidP="009F6E65">
            <w:pPr>
              <w:jc w:val="both"/>
              <w:rPr>
                <w:rFonts w:eastAsia="Arial" w:cs="Arial"/>
                <w:sz w:val="16"/>
                <w:szCs w:val="16"/>
              </w:rPr>
            </w:pPr>
            <w:r w:rsidRPr="008E0469">
              <w:rPr>
                <w:spacing w:val="1"/>
                <w:sz w:val="16"/>
              </w:rPr>
              <w:t xml:space="preserve"> </w:t>
            </w:r>
          </w:p>
        </w:tc>
      </w:tr>
      <w:tr w:rsidR="00F3700C" w:rsidTr="009F6E65">
        <w:tc>
          <w:tcPr>
            <w:tcW w:w="1293" w:type="dxa"/>
          </w:tcPr>
          <w:p w:rsidR="009F6E65" w:rsidRPr="008E0469" w:rsidRDefault="00D05136" w:rsidP="009F6E65">
            <w:pPr>
              <w:jc w:val="both"/>
              <w:rPr>
                <w:rFonts w:eastAsia="Arial" w:cs="Arial"/>
                <w:sz w:val="16"/>
                <w:szCs w:val="16"/>
              </w:rPr>
            </w:pPr>
            <w:r w:rsidRPr="008E0469">
              <w:rPr>
                <w:spacing w:val="1"/>
                <w:sz w:val="16"/>
              </w:rPr>
              <w:t>VV IBG</w:t>
            </w:r>
          </w:p>
        </w:tc>
        <w:tc>
          <w:tcPr>
            <w:tcW w:w="7938" w:type="dxa"/>
          </w:tcPr>
          <w:p w:rsidR="009F6E65" w:rsidRPr="008E0469" w:rsidRDefault="00D05136" w:rsidP="009F6E65">
            <w:pPr>
              <w:jc w:val="both"/>
              <w:rPr>
                <w:rFonts w:eastAsia="Arial" w:cs="Arial"/>
                <w:spacing w:val="1"/>
                <w:sz w:val="16"/>
                <w:szCs w:val="16"/>
              </w:rPr>
            </w:pPr>
            <w:r w:rsidRPr="008E0469">
              <w:rPr>
                <w:spacing w:val="1"/>
                <w:sz w:val="16"/>
              </w:rPr>
              <w:t>Administrative Regulation on Authorisation for Placing Rolling Stock in Service [</w:t>
            </w:r>
            <w:r w:rsidRPr="008E0469">
              <w:rPr>
                <w:i/>
                <w:spacing w:val="1"/>
                <w:sz w:val="16"/>
              </w:rPr>
              <w:t>Verwaltungsvorschrift über die Inbetriebnahmegene</w:t>
            </w:r>
            <w:r w:rsidRPr="008E0469">
              <w:rPr>
                <w:i/>
                <w:spacing w:val="1"/>
                <w:sz w:val="16"/>
              </w:rPr>
              <w:t>hmigung von Eisenbahnfahrzeugen</w:t>
            </w:r>
            <w:r w:rsidRPr="008E0469">
              <w:rPr>
                <w:spacing w:val="1"/>
                <w:sz w:val="16"/>
              </w:rPr>
              <w:t>]</w:t>
            </w:r>
          </w:p>
        </w:tc>
      </w:tr>
    </w:tbl>
    <w:p w:rsidR="009F6E65" w:rsidRPr="008E0469" w:rsidRDefault="00D05136" w:rsidP="009F6E65">
      <w:pPr>
        <w:spacing w:before="8" w:line="240" w:lineRule="exact"/>
        <w:rPr>
          <w:szCs w:val="24"/>
        </w:rPr>
      </w:pPr>
    </w:p>
    <w:sectPr w:rsidR="009F6E65" w:rsidRPr="008E0469" w:rsidSect="009F6E65">
      <w:pgSz w:w="11920" w:h="16840"/>
      <w:pgMar w:top="1940" w:right="1300" w:bottom="280" w:left="1320" w:header="701"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36" w:rsidRDefault="00D05136">
      <w:r>
        <w:separator/>
      </w:r>
    </w:p>
  </w:endnote>
  <w:endnote w:type="continuationSeparator" w:id="0">
    <w:p w:rsidR="00D05136" w:rsidRDefault="00D0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65" w:rsidRPr="000F36B6" w:rsidRDefault="00D05136" w:rsidP="009F6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65" w:rsidRDefault="00D05136">
    <w:pPr>
      <w:spacing w:line="200" w:lineRule="exact"/>
    </w:pPr>
    <w:r>
      <w:pict>
        <v:shapetype id="_x0000_t202" coordsize="21600,21600" o:spt="202" path="m,l,21600r21600,l21600,xe">
          <v:stroke joinstyle="miter"/>
          <v:path gradientshapeok="t" o:connecttype="rect"/>
        </v:shapetype>
        <v:shape id="_x0000_s2049" type="#_x0000_t202" style="position:absolute;margin-left:510.15pt;margin-top:794.15pt;width:16.25pt;height:13.05pt;z-index:-251658752;mso-position-horizontal-relative:page;mso-position-vertical-relative:page" filled="f" stroked="f">
          <v:textbox inset="0,0,0,0">
            <w:txbxContent>
              <w:p w:rsidR="009F6E65" w:rsidRDefault="00D05136">
                <w:pPr>
                  <w:spacing w:line="240" w:lineRule="exact"/>
                  <w:ind w:left="40"/>
                  <w:rPr>
                    <w:rFonts w:eastAsia="Arial" w:cs="Arial"/>
                    <w:sz w:val="22"/>
                    <w:szCs w:val="22"/>
                  </w:rPr>
                </w:pPr>
                <w:r>
                  <w:fldChar w:fldCharType="begin"/>
                </w:r>
                <w:r>
                  <w:rPr>
                    <w:rFonts w:eastAsia="Arial" w:cs="Arial"/>
                    <w:sz w:val="22"/>
                    <w:szCs w:val="22"/>
                  </w:rPr>
                  <w:instrText xml:space="preserve"> PAGE </w:instrText>
                </w:r>
                <w:r>
                  <w:fldChar w:fldCharType="separate"/>
                </w:r>
                <w:r>
                  <w:rPr>
                    <w:rFonts w:eastAsia="Arial" w:cs="Arial"/>
                    <w:noProof/>
                    <w:sz w:val="22"/>
                    <w:szCs w:val="22"/>
                  </w:rPr>
                  <w:t>12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962682"/>
      <w:docPartObj>
        <w:docPartGallery w:val="Page Numbers (Bottom of Page)"/>
        <w:docPartUnique/>
      </w:docPartObj>
    </w:sdtPr>
    <w:sdtEndPr>
      <w:rPr>
        <w:rFonts w:cs="Arial"/>
        <w:noProof/>
      </w:rPr>
    </w:sdtEndPr>
    <w:sdtContent>
      <w:p w:rsidR="009F6E65" w:rsidRPr="000F36B6" w:rsidRDefault="00D05136">
        <w:pPr>
          <w:pStyle w:val="Footer"/>
          <w:jc w:val="right"/>
          <w:rPr>
            <w:rFonts w:cs="Arial"/>
          </w:rPr>
        </w:pPr>
        <w:r w:rsidRPr="000F36B6">
          <w:rPr>
            <w:rFonts w:cs="Arial"/>
          </w:rPr>
          <w:fldChar w:fldCharType="begin"/>
        </w:r>
        <w:r w:rsidRPr="000F36B6">
          <w:rPr>
            <w:rFonts w:cs="Arial"/>
          </w:rPr>
          <w:instrText xml:space="preserve"> PAGE   \* MERGEFORMAT </w:instrText>
        </w:r>
        <w:r w:rsidRPr="000F36B6">
          <w:rPr>
            <w:rFonts w:cs="Arial"/>
          </w:rPr>
          <w:fldChar w:fldCharType="separate"/>
        </w:r>
        <w:r>
          <w:rPr>
            <w:rFonts w:cs="Arial"/>
            <w:noProof/>
          </w:rPr>
          <w:t>35</w:t>
        </w:r>
        <w:r w:rsidRPr="000F36B6">
          <w:rPr>
            <w:rFonts w:cs="Arial"/>
            <w:noProof/>
          </w:rPr>
          <w:fldChar w:fldCharType="end"/>
        </w:r>
      </w:p>
    </w:sdtContent>
  </w:sdt>
  <w:p w:rsidR="009F6E65" w:rsidRPr="000F36B6" w:rsidRDefault="00D05136" w:rsidP="009F6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36" w:rsidRDefault="00D05136">
      <w:r>
        <w:separator/>
      </w:r>
    </w:p>
  </w:footnote>
  <w:footnote w:type="continuationSeparator" w:id="0">
    <w:p w:rsidR="00D05136" w:rsidRDefault="00D05136">
      <w:r>
        <w:continuationSeparator/>
      </w:r>
    </w:p>
  </w:footnote>
  <w:footnote w:id="1">
    <w:p w:rsidR="009F6E65" w:rsidRPr="00B2354B" w:rsidRDefault="00D05136">
      <w:pPr>
        <w:pStyle w:val="FootnoteText"/>
        <w:rPr>
          <w:lang w:val="fr-CA"/>
        </w:rPr>
      </w:pPr>
      <w:r>
        <w:rPr>
          <w:rStyle w:val="FootnoteReference"/>
        </w:rPr>
        <w:footnoteRef/>
      </w:r>
      <w:r>
        <w:t xml:space="preserve"> </w:t>
      </w:r>
      <w:r>
        <w:rPr>
          <w:sz w:val="16"/>
        </w:rPr>
        <w:t>Accidents are deemed ‘significant’ under Directive 2004/49/EC if they involve at least one rail vehicle in motion and at least one person is killed or seriously injured, or significant material damage is done (at least EUR 150 000) to rail vehicles, rails,</w:t>
      </w:r>
      <w:r>
        <w:rPr>
          <w:sz w:val="16"/>
        </w:rPr>
        <w:t xml:space="preserve"> other installations or the environment, or significant operational disruption occurs (suspension of service on a mainline route for at least six hours).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65" w:rsidRDefault="00D05136">
    <w:pPr>
      <w:pStyle w:val="Header"/>
    </w:pPr>
    <w:r>
      <w:rPr>
        <w:noProof/>
        <w:lang w:val="en-US" w:eastAsia="zh-CN" w:bidi="ar-SA"/>
      </w:rPr>
      <w:drawing>
        <wp:inline distT="0" distB="0" distL="0" distR="0">
          <wp:extent cx="1691640" cy="821455"/>
          <wp:effectExtent l="0" t="0" r="381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91640" cy="8214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A1F"/>
    <w:multiLevelType w:val="multilevel"/>
    <w:tmpl w:val="BAFA7FEA"/>
    <w:lvl w:ilvl="0">
      <w:start w:val="1"/>
      <w:numFmt w:val="upperLetter"/>
      <w:pStyle w:val="Heading1"/>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A6D39EC"/>
    <w:multiLevelType w:val="hybridMultilevel"/>
    <w:tmpl w:val="87228ECE"/>
    <w:lvl w:ilvl="0" w:tplc="2230F8AC">
      <w:numFmt w:val="bullet"/>
      <w:lvlText w:val="•"/>
      <w:lvlJc w:val="left"/>
      <w:pPr>
        <w:ind w:left="480" w:hanging="360"/>
      </w:pPr>
      <w:rPr>
        <w:rFonts w:ascii="Times New Roman" w:eastAsia="Times New Roman" w:hAnsi="Times New Roman" w:cs="Times New Roman" w:hint="default"/>
        <w:w w:val="131"/>
      </w:rPr>
    </w:lvl>
    <w:lvl w:ilvl="1" w:tplc="95986A04" w:tentative="1">
      <w:start w:val="1"/>
      <w:numFmt w:val="bullet"/>
      <w:lvlText w:val="o"/>
      <w:lvlJc w:val="left"/>
      <w:pPr>
        <w:ind w:left="1200" w:hanging="360"/>
      </w:pPr>
      <w:rPr>
        <w:rFonts w:ascii="Courier New" w:hAnsi="Courier New" w:cs="Courier New" w:hint="default"/>
      </w:rPr>
    </w:lvl>
    <w:lvl w:ilvl="2" w:tplc="B540FDB2" w:tentative="1">
      <w:start w:val="1"/>
      <w:numFmt w:val="bullet"/>
      <w:lvlText w:val=""/>
      <w:lvlJc w:val="left"/>
      <w:pPr>
        <w:ind w:left="1920" w:hanging="360"/>
      </w:pPr>
      <w:rPr>
        <w:rFonts w:ascii="Wingdings" w:hAnsi="Wingdings" w:hint="default"/>
      </w:rPr>
    </w:lvl>
    <w:lvl w:ilvl="3" w:tplc="43325B1E" w:tentative="1">
      <w:start w:val="1"/>
      <w:numFmt w:val="bullet"/>
      <w:lvlText w:val=""/>
      <w:lvlJc w:val="left"/>
      <w:pPr>
        <w:ind w:left="2640" w:hanging="360"/>
      </w:pPr>
      <w:rPr>
        <w:rFonts w:ascii="Symbol" w:hAnsi="Symbol" w:hint="default"/>
      </w:rPr>
    </w:lvl>
    <w:lvl w:ilvl="4" w:tplc="1C5A1696" w:tentative="1">
      <w:start w:val="1"/>
      <w:numFmt w:val="bullet"/>
      <w:lvlText w:val="o"/>
      <w:lvlJc w:val="left"/>
      <w:pPr>
        <w:ind w:left="3360" w:hanging="360"/>
      </w:pPr>
      <w:rPr>
        <w:rFonts w:ascii="Courier New" w:hAnsi="Courier New" w:cs="Courier New" w:hint="default"/>
      </w:rPr>
    </w:lvl>
    <w:lvl w:ilvl="5" w:tplc="BE124952" w:tentative="1">
      <w:start w:val="1"/>
      <w:numFmt w:val="bullet"/>
      <w:lvlText w:val=""/>
      <w:lvlJc w:val="left"/>
      <w:pPr>
        <w:ind w:left="4080" w:hanging="360"/>
      </w:pPr>
      <w:rPr>
        <w:rFonts w:ascii="Wingdings" w:hAnsi="Wingdings" w:hint="default"/>
      </w:rPr>
    </w:lvl>
    <w:lvl w:ilvl="6" w:tplc="64E05AD6" w:tentative="1">
      <w:start w:val="1"/>
      <w:numFmt w:val="bullet"/>
      <w:lvlText w:val=""/>
      <w:lvlJc w:val="left"/>
      <w:pPr>
        <w:ind w:left="4800" w:hanging="360"/>
      </w:pPr>
      <w:rPr>
        <w:rFonts w:ascii="Symbol" w:hAnsi="Symbol" w:hint="default"/>
      </w:rPr>
    </w:lvl>
    <w:lvl w:ilvl="7" w:tplc="58841598" w:tentative="1">
      <w:start w:val="1"/>
      <w:numFmt w:val="bullet"/>
      <w:lvlText w:val="o"/>
      <w:lvlJc w:val="left"/>
      <w:pPr>
        <w:ind w:left="5520" w:hanging="360"/>
      </w:pPr>
      <w:rPr>
        <w:rFonts w:ascii="Courier New" w:hAnsi="Courier New" w:cs="Courier New" w:hint="default"/>
      </w:rPr>
    </w:lvl>
    <w:lvl w:ilvl="8" w:tplc="D17E5AB0" w:tentative="1">
      <w:start w:val="1"/>
      <w:numFmt w:val="bullet"/>
      <w:lvlText w:val=""/>
      <w:lvlJc w:val="left"/>
      <w:pPr>
        <w:ind w:left="6240" w:hanging="360"/>
      </w:pPr>
      <w:rPr>
        <w:rFonts w:ascii="Wingdings" w:hAnsi="Wingdings" w:hint="default"/>
      </w:rPr>
    </w:lvl>
  </w:abstractNum>
  <w:abstractNum w:abstractNumId="2" w15:restartNumberingAfterBreak="0">
    <w:nsid w:val="0C402195"/>
    <w:multiLevelType w:val="hybridMultilevel"/>
    <w:tmpl w:val="0E60B950"/>
    <w:lvl w:ilvl="0" w:tplc="07BAE822">
      <w:numFmt w:val="bullet"/>
      <w:lvlText w:val="-"/>
      <w:lvlJc w:val="left"/>
      <w:pPr>
        <w:ind w:left="667" w:hanging="360"/>
      </w:pPr>
      <w:rPr>
        <w:rFonts w:ascii="Arial" w:eastAsia="Arial" w:hAnsi="Arial" w:cs="Arial" w:hint="default"/>
      </w:rPr>
    </w:lvl>
    <w:lvl w:ilvl="1" w:tplc="0CDE24FE" w:tentative="1">
      <w:start w:val="1"/>
      <w:numFmt w:val="bullet"/>
      <w:lvlText w:val="o"/>
      <w:lvlJc w:val="left"/>
      <w:pPr>
        <w:ind w:left="1627" w:hanging="360"/>
      </w:pPr>
      <w:rPr>
        <w:rFonts w:ascii="Courier New" w:hAnsi="Courier New" w:cs="Courier New" w:hint="default"/>
      </w:rPr>
    </w:lvl>
    <w:lvl w:ilvl="2" w:tplc="72AC9E10" w:tentative="1">
      <w:start w:val="1"/>
      <w:numFmt w:val="bullet"/>
      <w:lvlText w:val=""/>
      <w:lvlJc w:val="left"/>
      <w:pPr>
        <w:ind w:left="2347" w:hanging="360"/>
      </w:pPr>
      <w:rPr>
        <w:rFonts w:ascii="Wingdings" w:hAnsi="Wingdings" w:hint="default"/>
      </w:rPr>
    </w:lvl>
    <w:lvl w:ilvl="3" w:tplc="335A5CEE" w:tentative="1">
      <w:start w:val="1"/>
      <w:numFmt w:val="bullet"/>
      <w:lvlText w:val=""/>
      <w:lvlJc w:val="left"/>
      <w:pPr>
        <w:ind w:left="3067" w:hanging="360"/>
      </w:pPr>
      <w:rPr>
        <w:rFonts w:ascii="Symbol" w:hAnsi="Symbol" w:hint="default"/>
      </w:rPr>
    </w:lvl>
    <w:lvl w:ilvl="4" w:tplc="7A86D876" w:tentative="1">
      <w:start w:val="1"/>
      <w:numFmt w:val="bullet"/>
      <w:lvlText w:val="o"/>
      <w:lvlJc w:val="left"/>
      <w:pPr>
        <w:ind w:left="3787" w:hanging="360"/>
      </w:pPr>
      <w:rPr>
        <w:rFonts w:ascii="Courier New" w:hAnsi="Courier New" w:cs="Courier New" w:hint="default"/>
      </w:rPr>
    </w:lvl>
    <w:lvl w:ilvl="5" w:tplc="9F504246" w:tentative="1">
      <w:start w:val="1"/>
      <w:numFmt w:val="bullet"/>
      <w:lvlText w:val=""/>
      <w:lvlJc w:val="left"/>
      <w:pPr>
        <w:ind w:left="4507" w:hanging="360"/>
      </w:pPr>
      <w:rPr>
        <w:rFonts w:ascii="Wingdings" w:hAnsi="Wingdings" w:hint="default"/>
      </w:rPr>
    </w:lvl>
    <w:lvl w:ilvl="6" w:tplc="03B8086C" w:tentative="1">
      <w:start w:val="1"/>
      <w:numFmt w:val="bullet"/>
      <w:lvlText w:val=""/>
      <w:lvlJc w:val="left"/>
      <w:pPr>
        <w:ind w:left="5227" w:hanging="360"/>
      </w:pPr>
      <w:rPr>
        <w:rFonts w:ascii="Symbol" w:hAnsi="Symbol" w:hint="default"/>
      </w:rPr>
    </w:lvl>
    <w:lvl w:ilvl="7" w:tplc="7EF6422A" w:tentative="1">
      <w:start w:val="1"/>
      <w:numFmt w:val="bullet"/>
      <w:lvlText w:val="o"/>
      <w:lvlJc w:val="left"/>
      <w:pPr>
        <w:ind w:left="5947" w:hanging="360"/>
      </w:pPr>
      <w:rPr>
        <w:rFonts w:ascii="Courier New" w:hAnsi="Courier New" w:cs="Courier New" w:hint="default"/>
      </w:rPr>
    </w:lvl>
    <w:lvl w:ilvl="8" w:tplc="B112B0E8" w:tentative="1">
      <w:start w:val="1"/>
      <w:numFmt w:val="bullet"/>
      <w:lvlText w:val=""/>
      <w:lvlJc w:val="left"/>
      <w:pPr>
        <w:ind w:left="6667" w:hanging="360"/>
      </w:pPr>
      <w:rPr>
        <w:rFonts w:ascii="Wingdings" w:hAnsi="Wingdings" w:hint="default"/>
      </w:rPr>
    </w:lvl>
  </w:abstractNum>
  <w:abstractNum w:abstractNumId="3" w15:restartNumberingAfterBreak="0">
    <w:nsid w:val="0D386264"/>
    <w:multiLevelType w:val="hybridMultilevel"/>
    <w:tmpl w:val="A8AA16F4"/>
    <w:lvl w:ilvl="0" w:tplc="02B8D03C">
      <w:start w:val="1"/>
      <w:numFmt w:val="bullet"/>
      <w:lvlText w:val="•"/>
      <w:lvlJc w:val="left"/>
      <w:pPr>
        <w:ind w:left="734" w:hanging="360"/>
      </w:pPr>
      <w:rPr>
        <w:rFonts w:ascii="Times New Roman" w:eastAsia="Times New Roman" w:hAnsi="Times New Roman" w:cs="Times New Roman" w:hint="default"/>
        <w:w w:val="131"/>
      </w:rPr>
    </w:lvl>
    <w:lvl w:ilvl="1" w:tplc="05EEC342" w:tentative="1">
      <w:start w:val="1"/>
      <w:numFmt w:val="bullet"/>
      <w:lvlText w:val="o"/>
      <w:lvlJc w:val="left"/>
      <w:pPr>
        <w:ind w:left="1627" w:hanging="360"/>
      </w:pPr>
      <w:rPr>
        <w:rFonts w:ascii="Courier New" w:hAnsi="Courier New" w:cs="Courier New" w:hint="default"/>
      </w:rPr>
    </w:lvl>
    <w:lvl w:ilvl="2" w:tplc="6F6E6FC6" w:tentative="1">
      <w:start w:val="1"/>
      <w:numFmt w:val="bullet"/>
      <w:lvlText w:val=""/>
      <w:lvlJc w:val="left"/>
      <w:pPr>
        <w:ind w:left="2347" w:hanging="360"/>
      </w:pPr>
      <w:rPr>
        <w:rFonts w:ascii="Wingdings" w:hAnsi="Wingdings" w:hint="default"/>
      </w:rPr>
    </w:lvl>
    <w:lvl w:ilvl="3" w:tplc="A0CE907C" w:tentative="1">
      <w:start w:val="1"/>
      <w:numFmt w:val="bullet"/>
      <w:lvlText w:val=""/>
      <w:lvlJc w:val="left"/>
      <w:pPr>
        <w:ind w:left="3067" w:hanging="360"/>
      </w:pPr>
      <w:rPr>
        <w:rFonts w:ascii="Symbol" w:hAnsi="Symbol" w:hint="default"/>
      </w:rPr>
    </w:lvl>
    <w:lvl w:ilvl="4" w:tplc="63E002A8" w:tentative="1">
      <w:start w:val="1"/>
      <w:numFmt w:val="bullet"/>
      <w:lvlText w:val="o"/>
      <w:lvlJc w:val="left"/>
      <w:pPr>
        <w:ind w:left="3787" w:hanging="360"/>
      </w:pPr>
      <w:rPr>
        <w:rFonts w:ascii="Courier New" w:hAnsi="Courier New" w:cs="Courier New" w:hint="default"/>
      </w:rPr>
    </w:lvl>
    <w:lvl w:ilvl="5" w:tplc="201AEE2A" w:tentative="1">
      <w:start w:val="1"/>
      <w:numFmt w:val="bullet"/>
      <w:lvlText w:val=""/>
      <w:lvlJc w:val="left"/>
      <w:pPr>
        <w:ind w:left="4507" w:hanging="360"/>
      </w:pPr>
      <w:rPr>
        <w:rFonts w:ascii="Wingdings" w:hAnsi="Wingdings" w:hint="default"/>
      </w:rPr>
    </w:lvl>
    <w:lvl w:ilvl="6" w:tplc="71CAC63C" w:tentative="1">
      <w:start w:val="1"/>
      <w:numFmt w:val="bullet"/>
      <w:lvlText w:val=""/>
      <w:lvlJc w:val="left"/>
      <w:pPr>
        <w:ind w:left="5227" w:hanging="360"/>
      </w:pPr>
      <w:rPr>
        <w:rFonts w:ascii="Symbol" w:hAnsi="Symbol" w:hint="default"/>
      </w:rPr>
    </w:lvl>
    <w:lvl w:ilvl="7" w:tplc="7F08D8C6" w:tentative="1">
      <w:start w:val="1"/>
      <w:numFmt w:val="bullet"/>
      <w:lvlText w:val="o"/>
      <w:lvlJc w:val="left"/>
      <w:pPr>
        <w:ind w:left="5947" w:hanging="360"/>
      </w:pPr>
      <w:rPr>
        <w:rFonts w:ascii="Courier New" w:hAnsi="Courier New" w:cs="Courier New" w:hint="default"/>
      </w:rPr>
    </w:lvl>
    <w:lvl w:ilvl="8" w:tplc="DA3260FC" w:tentative="1">
      <w:start w:val="1"/>
      <w:numFmt w:val="bullet"/>
      <w:lvlText w:val=""/>
      <w:lvlJc w:val="left"/>
      <w:pPr>
        <w:ind w:left="6667" w:hanging="360"/>
      </w:pPr>
      <w:rPr>
        <w:rFonts w:ascii="Wingdings" w:hAnsi="Wingdings" w:hint="default"/>
      </w:rPr>
    </w:lvl>
  </w:abstractNum>
  <w:abstractNum w:abstractNumId="4" w15:restartNumberingAfterBreak="0">
    <w:nsid w:val="13DA416D"/>
    <w:multiLevelType w:val="multilevel"/>
    <w:tmpl w:val="8B9EA650"/>
    <w:lvl w:ilvl="0">
      <w:start w:val="1"/>
      <w:numFmt w:val="upperLetter"/>
      <w:lvlText w:val="%1."/>
      <w:lvlJc w:val="left"/>
      <w:pPr>
        <w:ind w:left="360" w:hanging="360"/>
      </w:pPr>
      <w:rPr>
        <w:rFonts w:ascii="Cambria" w:hAnsi="Cambria" w:hint="default"/>
        <w:b/>
        <w:i w:val="0"/>
        <w:sz w:val="3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1736B7"/>
    <w:multiLevelType w:val="hybridMultilevel"/>
    <w:tmpl w:val="C49ACBDC"/>
    <w:lvl w:ilvl="0" w:tplc="C8FE5E9E">
      <w:start w:val="1"/>
      <w:numFmt w:val="decimal"/>
      <w:lvlText w:val="%1."/>
      <w:lvlJc w:val="left"/>
      <w:pPr>
        <w:ind w:left="462" w:hanging="360"/>
      </w:pPr>
      <w:rPr>
        <w:rFonts w:hint="default"/>
      </w:rPr>
    </w:lvl>
    <w:lvl w:ilvl="1" w:tplc="60308D94" w:tentative="1">
      <w:start w:val="1"/>
      <w:numFmt w:val="lowerLetter"/>
      <w:lvlText w:val="%2."/>
      <w:lvlJc w:val="left"/>
      <w:pPr>
        <w:ind w:left="1182" w:hanging="360"/>
      </w:pPr>
    </w:lvl>
    <w:lvl w:ilvl="2" w:tplc="F490DEF4" w:tentative="1">
      <w:start w:val="1"/>
      <w:numFmt w:val="lowerRoman"/>
      <w:lvlText w:val="%3."/>
      <w:lvlJc w:val="right"/>
      <w:pPr>
        <w:ind w:left="1902" w:hanging="180"/>
      </w:pPr>
    </w:lvl>
    <w:lvl w:ilvl="3" w:tplc="CF38452A" w:tentative="1">
      <w:start w:val="1"/>
      <w:numFmt w:val="decimal"/>
      <w:lvlText w:val="%4."/>
      <w:lvlJc w:val="left"/>
      <w:pPr>
        <w:ind w:left="2622" w:hanging="360"/>
      </w:pPr>
    </w:lvl>
    <w:lvl w:ilvl="4" w:tplc="CBD0A0A2" w:tentative="1">
      <w:start w:val="1"/>
      <w:numFmt w:val="lowerLetter"/>
      <w:lvlText w:val="%5."/>
      <w:lvlJc w:val="left"/>
      <w:pPr>
        <w:ind w:left="3342" w:hanging="360"/>
      </w:pPr>
    </w:lvl>
    <w:lvl w:ilvl="5" w:tplc="E130997E" w:tentative="1">
      <w:start w:val="1"/>
      <w:numFmt w:val="lowerRoman"/>
      <w:lvlText w:val="%6."/>
      <w:lvlJc w:val="right"/>
      <w:pPr>
        <w:ind w:left="4062" w:hanging="180"/>
      </w:pPr>
    </w:lvl>
    <w:lvl w:ilvl="6" w:tplc="FAA41F28" w:tentative="1">
      <w:start w:val="1"/>
      <w:numFmt w:val="decimal"/>
      <w:lvlText w:val="%7."/>
      <w:lvlJc w:val="left"/>
      <w:pPr>
        <w:ind w:left="4782" w:hanging="360"/>
      </w:pPr>
    </w:lvl>
    <w:lvl w:ilvl="7" w:tplc="A57E5058" w:tentative="1">
      <w:start w:val="1"/>
      <w:numFmt w:val="lowerLetter"/>
      <w:lvlText w:val="%8."/>
      <w:lvlJc w:val="left"/>
      <w:pPr>
        <w:ind w:left="5502" w:hanging="360"/>
      </w:pPr>
    </w:lvl>
    <w:lvl w:ilvl="8" w:tplc="95B83FEC" w:tentative="1">
      <w:start w:val="1"/>
      <w:numFmt w:val="lowerRoman"/>
      <w:lvlText w:val="%9."/>
      <w:lvlJc w:val="right"/>
      <w:pPr>
        <w:ind w:left="6222" w:hanging="180"/>
      </w:pPr>
    </w:lvl>
  </w:abstractNum>
  <w:abstractNum w:abstractNumId="6" w15:restartNumberingAfterBreak="0">
    <w:nsid w:val="19254B74"/>
    <w:multiLevelType w:val="hybridMultilevel"/>
    <w:tmpl w:val="A6DA8790"/>
    <w:lvl w:ilvl="0" w:tplc="0660F78A">
      <w:start w:val="1"/>
      <w:numFmt w:val="decimal"/>
      <w:lvlText w:val="%1."/>
      <w:lvlJc w:val="left"/>
      <w:pPr>
        <w:ind w:left="720" w:hanging="360"/>
      </w:pPr>
    </w:lvl>
    <w:lvl w:ilvl="1" w:tplc="F20A2CC0" w:tentative="1">
      <w:start w:val="1"/>
      <w:numFmt w:val="lowerLetter"/>
      <w:lvlText w:val="%2."/>
      <w:lvlJc w:val="left"/>
      <w:pPr>
        <w:ind w:left="1440" w:hanging="360"/>
      </w:pPr>
    </w:lvl>
    <w:lvl w:ilvl="2" w:tplc="2E06F330" w:tentative="1">
      <w:start w:val="1"/>
      <w:numFmt w:val="lowerRoman"/>
      <w:lvlText w:val="%3."/>
      <w:lvlJc w:val="right"/>
      <w:pPr>
        <w:ind w:left="2160" w:hanging="180"/>
      </w:pPr>
    </w:lvl>
    <w:lvl w:ilvl="3" w:tplc="2710E464" w:tentative="1">
      <w:start w:val="1"/>
      <w:numFmt w:val="decimal"/>
      <w:lvlText w:val="%4."/>
      <w:lvlJc w:val="left"/>
      <w:pPr>
        <w:ind w:left="2880" w:hanging="360"/>
      </w:pPr>
    </w:lvl>
    <w:lvl w:ilvl="4" w:tplc="7B0E3C3E" w:tentative="1">
      <w:start w:val="1"/>
      <w:numFmt w:val="lowerLetter"/>
      <w:lvlText w:val="%5."/>
      <w:lvlJc w:val="left"/>
      <w:pPr>
        <w:ind w:left="3600" w:hanging="360"/>
      </w:pPr>
    </w:lvl>
    <w:lvl w:ilvl="5" w:tplc="A77A9B96" w:tentative="1">
      <w:start w:val="1"/>
      <w:numFmt w:val="lowerRoman"/>
      <w:lvlText w:val="%6."/>
      <w:lvlJc w:val="right"/>
      <w:pPr>
        <w:ind w:left="4320" w:hanging="180"/>
      </w:pPr>
    </w:lvl>
    <w:lvl w:ilvl="6" w:tplc="780AA88C" w:tentative="1">
      <w:start w:val="1"/>
      <w:numFmt w:val="decimal"/>
      <w:lvlText w:val="%7."/>
      <w:lvlJc w:val="left"/>
      <w:pPr>
        <w:ind w:left="5040" w:hanging="360"/>
      </w:pPr>
    </w:lvl>
    <w:lvl w:ilvl="7" w:tplc="746CED7E" w:tentative="1">
      <w:start w:val="1"/>
      <w:numFmt w:val="lowerLetter"/>
      <w:lvlText w:val="%8."/>
      <w:lvlJc w:val="left"/>
      <w:pPr>
        <w:ind w:left="5760" w:hanging="360"/>
      </w:pPr>
    </w:lvl>
    <w:lvl w:ilvl="8" w:tplc="9EEADD3E" w:tentative="1">
      <w:start w:val="1"/>
      <w:numFmt w:val="lowerRoman"/>
      <w:lvlText w:val="%9."/>
      <w:lvlJc w:val="right"/>
      <w:pPr>
        <w:ind w:left="6480" w:hanging="180"/>
      </w:pPr>
    </w:lvl>
  </w:abstractNum>
  <w:abstractNum w:abstractNumId="7" w15:restartNumberingAfterBreak="0">
    <w:nsid w:val="1EDC02FE"/>
    <w:multiLevelType w:val="hybridMultilevel"/>
    <w:tmpl w:val="45FC2B8C"/>
    <w:lvl w:ilvl="0" w:tplc="58320FE8">
      <w:start w:val="1"/>
      <w:numFmt w:val="decimal"/>
      <w:lvlText w:val="1.%1."/>
      <w:lvlJc w:val="left"/>
      <w:pPr>
        <w:ind w:left="1440" w:hanging="360"/>
      </w:pPr>
      <w:rPr>
        <w:rFonts w:ascii="Arial" w:hAnsi="Arial" w:hint="default"/>
        <w:b/>
        <w:bCs/>
        <w:i w:val="0"/>
        <w:sz w:val="13"/>
      </w:rPr>
    </w:lvl>
    <w:lvl w:ilvl="1" w:tplc="A49EB308">
      <w:start w:val="6"/>
      <w:numFmt w:val="bullet"/>
      <w:lvlText w:val="-"/>
      <w:lvlJc w:val="left"/>
      <w:pPr>
        <w:ind w:left="2160" w:hanging="360"/>
      </w:pPr>
      <w:rPr>
        <w:rFonts w:ascii="Arial" w:eastAsia="Arial" w:hAnsi="Arial" w:cs="Arial" w:hint="default"/>
      </w:rPr>
    </w:lvl>
    <w:lvl w:ilvl="2" w:tplc="B21C8886" w:tentative="1">
      <w:start w:val="1"/>
      <w:numFmt w:val="lowerRoman"/>
      <w:lvlText w:val="%3."/>
      <w:lvlJc w:val="right"/>
      <w:pPr>
        <w:ind w:left="2880" w:hanging="180"/>
      </w:pPr>
    </w:lvl>
    <w:lvl w:ilvl="3" w:tplc="20968868" w:tentative="1">
      <w:start w:val="1"/>
      <w:numFmt w:val="decimal"/>
      <w:lvlText w:val="%4."/>
      <w:lvlJc w:val="left"/>
      <w:pPr>
        <w:ind w:left="3600" w:hanging="360"/>
      </w:pPr>
    </w:lvl>
    <w:lvl w:ilvl="4" w:tplc="9CD62CB6" w:tentative="1">
      <w:start w:val="1"/>
      <w:numFmt w:val="lowerLetter"/>
      <w:lvlText w:val="%5."/>
      <w:lvlJc w:val="left"/>
      <w:pPr>
        <w:ind w:left="4320" w:hanging="360"/>
      </w:pPr>
    </w:lvl>
    <w:lvl w:ilvl="5" w:tplc="C0226C70" w:tentative="1">
      <w:start w:val="1"/>
      <w:numFmt w:val="lowerRoman"/>
      <w:lvlText w:val="%6."/>
      <w:lvlJc w:val="right"/>
      <w:pPr>
        <w:ind w:left="5040" w:hanging="180"/>
      </w:pPr>
    </w:lvl>
    <w:lvl w:ilvl="6" w:tplc="8E26F20A" w:tentative="1">
      <w:start w:val="1"/>
      <w:numFmt w:val="decimal"/>
      <w:lvlText w:val="%7."/>
      <w:lvlJc w:val="left"/>
      <w:pPr>
        <w:ind w:left="5760" w:hanging="360"/>
      </w:pPr>
    </w:lvl>
    <w:lvl w:ilvl="7" w:tplc="2664467E" w:tentative="1">
      <w:start w:val="1"/>
      <w:numFmt w:val="lowerLetter"/>
      <w:lvlText w:val="%8."/>
      <w:lvlJc w:val="left"/>
      <w:pPr>
        <w:ind w:left="6480" w:hanging="360"/>
      </w:pPr>
    </w:lvl>
    <w:lvl w:ilvl="8" w:tplc="B83C45BC" w:tentative="1">
      <w:start w:val="1"/>
      <w:numFmt w:val="lowerRoman"/>
      <w:lvlText w:val="%9."/>
      <w:lvlJc w:val="right"/>
      <w:pPr>
        <w:ind w:left="7200" w:hanging="180"/>
      </w:pPr>
    </w:lvl>
  </w:abstractNum>
  <w:abstractNum w:abstractNumId="8" w15:restartNumberingAfterBreak="0">
    <w:nsid w:val="20D23F3D"/>
    <w:multiLevelType w:val="hybridMultilevel"/>
    <w:tmpl w:val="6E6E0122"/>
    <w:lvl w:ilvl="0" w:tplc="AA12073C">
      <w:start w:val="1"/>
      <w:numFmt w:val="decimal"/>
      <w:lvlText w:val="1.2.%1."/>
      <w:lvlJc w:val="left"/>
      <w:pPr>
        <w:ind w:left="1110" w:hanging="360"/>
      </w:pPr>
      <w:rPr>
        <w:rFonts w:ascii="Arial" w:hAnsi="Arial" w:hint="default"/>
        <w:b w:val="0"/>
        <w:i w:val="0"/>
        <w:sz w:val="13"/>
      </w:rPr>
    </w:lvl>
    <w:lvl w:ilvl="1" w:tplc="D4647A28" w:tentative="1">
      <w:start w:val="1"/>
      <w:numFmt w:val="lowerLetter"/>
      <w:lvlText w:val="%2."/>
      <w:lvlJc w:val="left"/>
      <w:pPr>
        <w:ind w:left="1440" w:hanging="360"/>
      </w:pPr>
    </w:lvl>
    <w:lvl w:ilvl="2" w:tplc="C0400CF4" w:tentative="1">
      <w:start w:val="1"/>
      <w:numFmt w:val="lowerRoman"/>
      <w:lvlText w:val="%3."/>
      <w:lvlJc w:val="right"/>
      <w:pPr>
        <w:ind w:left="2160" w:hanging="180"/>
      </w:pPr>
    </w:lvl>
    <w:lvl w:ilvl="3" w:tplc="2E66554E" w:tentative="1">
      <w:start w:val="1"/>
      <w:numFmt w:val="decimal"/>
      <w:lvlText w:val="%4."/>
      <w:lvlJc w:val="left"/>
      <w:pPr>
        <w:ind w:left="2880" w:hanging="360"/>
      </w:pPr>
    </w:lvl>
    <w:lvl w:ilvl="4" w:tplc="1A42C7D6" w:tentative="1">
      <w:start w:val="1"/>
      <w:numFmt w:val="lowerLetter"/>
      <w:lvlText w:val="%5."/>
      <w:lvlJc w:val="left"/>
      <w:pPr>
        <w:ind w:left="3600" w:hanging="360"/>
      </w:pPr>
    </w:lvl>
    <w:lvl w:ilvl="5" w:tplc="E88AB614" w:tentative="1">
      <w:start w:val="1"/>
      <w:numFmt w:val="lowerRoman"/>
      <w:lvlText w:val="%6."/>
      <w:lvlJc w:val="right"/>
      <w:pPr>
        <w:ind w:left="4320" w:hanging="180"/>
      </w:pPr>
    </w:lvl>
    <w:lvl w:ilvl="6" w:tplc="9BCED8B6" w:tentative="1">
      <w:start w:val="1"/>
      <w:numFmt w:val="decimal"/>
      <w:lvlText w:val="%7."/>
      <w:lvlJc w:val="left"/>
      <w:pPr>
        <w:ind w:left="5040" w:hanging="360"/>
      </w:pPr>
    </w:lvl>
    <w:lvl w:ilvl="7" w:tplc="45564DB6" w:tentative="1">
      <w:start w:val="1"/>
      <w:numFmt w:val="lowerLetter"/>
      <w:lvlText w:val="%8."/>
      <w:lvlJc w:val="left"/>
      <w:pPr>
        <w:ind w:left="5760" w:hanging="360"/>
      </w:pPr>
    </w:lvl>
    <w:lvl w:ilvl="8" w:tplc="C66469C4" w:tentative="1">
      <w:start w:val="1"/>
      <w:numFmt w:val="lowerRoman"/>
      <w:lvlText w:val="%9."/>
      <w:lvlJc w:val="right"/>
      <w:pPr>
        <w:ind w:left="6480" w:hanging="180"/>
      </w:pPr>
    </w:lvl>
  </w:abstractNum>
  <w:abstractNum w:abstractNumId="9" w15:restartNumberingAfterBreak="0">
    <w:nsid w:val="24D4044C"/>
    <w:multiLevelType w:val="hybridMultilevel"/>
    <w:tmpl w:val="EAD6CE6A"/>
    <w:lvl w:ilvl="0" w:tplc="696818A8">
      <w:start w:val="1"/>
      <w:numFmt w:val="bullet"/>
      <w:lvlText w:val=""/>
      <w:lvlJc w:val="left"/>
      <w:pPr>
        <w:ind w:left="720" w:hanging="360"/>
      </w:pPr>
      <w:rPr>
        <w:rFonts w:ascii="Symbol" w:hAnsi="Symbol" w:hint="default"/>
        <w:sz w:val="16"/>
      </w:rPr>
    </w:lvl>
    <w:lvl w:ilvl="1" w:tplc="62DC1174">
      <w:start w:val="1"/>
      <w:numFmt w:val="bullet"/>
      <w:lvlText w:val="o"/>
      <w:lvlJc w:val="left"/>
      <w:pPr>
        <w:ind w:left="1440" w:hanging="360"/>
      </w:pPr>
      <w:rPr>
        <w:rFonts w:ascii="Courier New" w:hAnsi="Courier New" w:cs="Courier New" w:hint="default"/>
      </w:rPr>
    </w:lvl>
    <w:lvl w:ilvl="2" w:tplc="D6588B7C" w:tentative="1">
      <w:start w:val="1"/>
      <w:numFmt w:val="bullet"/>
      <w:lvlText w:val=""/>
      <w:lvlJc w:val="left"/>
      <w:pPr>
        <w:ind w:left="2160" w:hanging="360"/>
      </w:pPr>
      <w:rPr>
        <w:rFonts w:ascii="Wingdings" w:hAnsi="Wingdings" w:hint="default"/>
      </w:rPr>
    </w:lvl>
    <w:lvl w:ilvl="3" w:tplc="B9F80FC2" w:tentative="1">
      <w:start w:val="1"/>
      <w:numFmt w:val="bullet"/>
      <w:lvlText w:val=""/>
      <w:lvlJc w:val="left"/>
      <w:pPr>
        <w:ind w:left="2880" w:hanging="360"/>
      </w:pPr>
      <w:rPr>
        <w:rFonts w:ascii="Symbol" w:hAnsi="Symbol" w:hint="default"/>
      </w:rPr>
    </w:lvl>
    <w:lvl w:ilvl="4" w:tplc="F01AC97C" w:tentative="1">
      <w:start w:val="1"/>
      <w:numFmt w:val="bullet"/>
      <w:lvlText w:val="o"/>
      <w:lvlJc w:val="left"/>
      <w:pPr>
        <w:ind w:left="3600" w:hanging="360"/>
      </w:pPr>
      <w:rPr>
        <w:rFonts w:ascii="Courier New" w:hAnsi="Courier New" w:cs="Courier New" w:hint="default"/>
      </w:rPr>
    </w:lvl>
    <w:lvl w:ilvl="5" w:tplc="4FBEB470" w:tentative="1">
      <w:start w:val="1"/>
      <w:numFmt w:val="bullet"/>
      <w:lvlText w:val=""/>
      <w:lvlJc w:val="left"/>
      <w:pPr>
        <w:ind w:left="4320" w:hanging="360"/>
      </w:pPr>
      <w:rPr>
        <w:rFonts w:ascii="Wingdings" w:hAnsi="Wingdings" w:hint="default"/>
      </w:rPr>
    </w:lvl>
    <w:lvl w:ilvl="6" w:tplc="C6F2D344" w:tentative="1">
      <w:start w:val="1"/>
      <w:numFmt w:val="bullet"/>
      <w:lvlText w:val=""/>
      <w:lvlJc w:val="left"/>
      <w:pPr>
        <w:ind w:left="5040" w:hanging="360"/>
      </w:pPr>
      <w:rPr>
        <w:rFonts w:ascii="Symbol" w:hAnsi="Symbol" w:hint="default"/>
      </w:rPr>
    </w:lvl>
    <w:lvl w:ilvl="7" w:tplc="691CD7B2" w:tentative="1">
      <w:start w:val="1"/>
      <w:numFmt w:val="bullet"/>
      <w:lvlText w:val="o"/>
      <w:lvlJc w:val="left"/>
      <w:pPr>
        <w:ind w:left="5760" w:hanging="360"/>
      </w:pPr>
      <w:rPr>
        <w:rFonts w:ascii="Courier New" w:hAnsi="Courier New" w:cs="Courier New" w:hint="default"/>
      </w:rPr>
    </w:lvl>
    <w:lvl w:ilvl="8" w:tplc="5C3AB57A" w:tentative="1">
      <w:start w:val="1"/>
      <w:numFmt w:val="bullet"/>
      <w:lvlText w:val=""/>
      <w:lvlJc w:val="left"/>
      <w:pPr>
        <w:ind w:left="6480" w:hanging="360"/>
      </w:pPr>
      <w:rPr>
        <w:rFonts w:ascii="Wingdings" w:hAnsi="Wingdings" w:hint="default"/>
      </w:rPr>
    </w:lvl>
  </w:abstractNum>
  <w:abstractNum w:abstractNumId="10" w15:restartNumberingAfterBreak="0">
    <w:nsid w:val="25D808F7"/>
    <w:multiLevelType w:val="hybridMultilevel"/>
    <w:tmpl w:val="631C9B08"/>
    <w:lvl w:ilvl="0" w:tplc="A712EE7A">
      <w:numFmt w:val="bullet"/>
      <w:lvlText w:val="-"/>
      <w:lvlJc w:val="left"/>
      <w:pPr>
        <w:ind w:left="480" w:hanging="360"/>
      </w:pPr>
      <w:rPr>
        <w:rFonts w:ascii="Arial" w:eastAsia="Arial" w:hAnsi="Arial" w:cs="Arial" w:hint="default"/>
      </w:rPr>
    </w:lvl>
    <w:lvl w:ilvl="1" w:tplc="7FD6BD9E" w:tentative="1">
      <w:start w:val="1"/>
      <w:numFmt w:val="bullet"/>
      <w:lvlText w:val="o"/>
      <w:lvlJc w:val="left"/>
      <w:pPr>
        <w:ind w:left="1200" w:hanging="360"/>
      </w:pPr>
      <w:rPr>
        <w:rFonts w:ascii="Courier New" w:hAnsi="Courier New" w:cs="Courier New" w:hint="default"/>
      </w:rPr>
    </w:lvl>
    <w:lvl w:ilvl="2" w:tplc="11F068EA" w:tentative="1">
      <w:start w:val="1"/>
      <w:numFmt w:val="bullet"/>
      <w:lvlText w:val=""/>
      <w:lvlJc w:val="left"/>
      <w:pPr>
        <w:ind w:left="1920" w:hanging="360"/>
      </w:pPr>
      <w:rPr>
        <w:rFonts w:ascii="Wingdings" w:hAnsi="Wingdings" w:hint="default"/>
      </w:rPr>
    </w:lvl>
    <w:lvl w:ilvl="3" w:tplc="7B2E32CC" w:tentative="1">
      <w:start w:val="1"/>
      <w:numFmt w:val="bullet"/>
      <w:lvlText w:val=""/>
      <w:lvlJc w:val="left"/>
      <w:pPr>
        <w:ind w:left="2640" w:hanging="360"/>
      </w:pPr>
      <w:rPr>
        <w:rFonts w:ascii="Symbol" w:hAnsi="Symbol" w:hint="default"/>
      </w:rPr>
    </w:lvl>
    <w:lvl w:ilvl="4" w:tplc="136C947E" w:tentative="1">
      <w:start w:val="1"/>
      <w:numFmt w:val="bullet"/>
      <w:lvlText w:val="o"/>
      <w:lvlJc w:val="left"/>
      <w:pPr>
        <w:ind w:left="3360" w:hanging="360"/>
      </w:pPr>
      <w:rPr>
        <w:rFonts w:ascii="Courier New" w:hAnsi="Courier New" w:cs="Courier New" w:hint="default"/>
      </w:rPr>
    </w:lvl>
    <w:lvl w:ilvl="5" w:tplc="47EEDC9A" w:tentative="1">
      <w:start w:val="1"/>
      <w:numFmt w:val="bullet"/>
      <w:lvlText w:val=""/>
      <w:lvlJc w:val="left"/>
      <w:pPr>
        <w:ind w:left="4080" w:hanging="360"/>
      </w:pPr>
      <w:rPr>
        <w:rFonts w:ascii="Wingdings" w:hAnsi="Wingdings" w:hint="default"/>
      </w:rPr>
    </w:lvl>
    <w:lvl w:ilvl="6" w:tplc="B41E7560" w:tentative="1">
      <w:start w:val="1"/>
      <w:numFmt w:val="bullet"/>
      <w:lvlText w:val=""/>
      <w:lvlJc w:val="left"/>
      <w:pPr>
        <w:ind w:left="4800" w:hanging="360"/>
      </w:pPr>
      <w:rPr>
        <w:rFonts w:ascii="Symbol" w:hAnsi="Symbol" w:hint="default"/>
      </w:rPr>
    </w:lvl>
    <w:lvl w:ilvl="7" w:tplc="7BB43E10" w:tentative="1">
      <w:start w:val="1"/>
      <w:numFmt w:val="bullet"/>
      <w:lvlText w:val="o"/>
      <w:lvlJc w:val="left"/>
      <w:pPr>
        <w:ind w:left="5520" w:hanging="360"/>
      </w:pPr>
      <w:rPr>
        <w:rFonts w:ascii="Courier New" w:hAnsi="Courier New" w:cs="Courier New" w:hint="default"/>
      </w:rPr>
    </w:lvl>
    <w:lvl w:ilvl="8" w:tplc="50E61A1C" w:tentative="1">
      <w:start w:val="1"/>
      <w:numFmt w:val="bullet"/>
      <w:lvlText w:val=""/>
      <w:lvlJc w:val="left"/>
      <w:pPr>
        <w:ind w:left="6240" w:hanging="360"/>
      </w:pPr>
      <w:rPr>
        <w:rFonts w:ascii="Wingdings" w:hAnsi="Wingdings" w:hint="default"/>
      </w:rPr>
    </w:lvl>
  </w:abstractNum>
  <w:abstractNum w:abstractNumId="11" w15:restartNumberingAfterBreak="0">
    <w:nsid w:val="29420AC6"/>
    <w:multiLevelType w:val="hybridMultilevel"/>
    <w:tmpl w:val="E7D8D3CC"/>
    <w:lvl w:ilvl="0" w:tplc="F3FC998E">
      <w:start w:val="1"/>
      <w:numFmt w:val="decimal"/>
      <w:lvlText w:val="1.%1."/>
      <w:lvlJc w:val="left"/>
      <w:pPr>
        <w:ind w:left="1110" w:hanging="360"/>
      </w:pPr>
      <w:rPr>
        <w:rFonts w:ascii="Arial" w:hAnsi="Arial" w:hint="default"/>
        <w:b w:val="0"/>
        <w:i w:val="0"/>
        <w:sz w:val="13"/>
      </w:rPr>
    </w:lvl>
    <w:lvl w:ilvl="1" w:tplc="6B7E3362">
      <w:start w:val="1"/>
      <w:numFmt w:val="lowerLetter"/>
      <w:lvlText w:val="%2."/>
      <w:lvlJc w:val="left"/>
      <w:pPr>
        <w:ind w:left="1830" w:hanging="360"/>
      </w:pPr>
    </w:lvl>
    <w:lvl w:ilvl="2" w:tplc="888AAE44" w:tentative="1">
      <w:start w:val="1"/>
      <w:numFmt w:val="lowerRoman"/>
      <w:lvlText w:val="%3."/>
      <w:lvlJc w:val="right"/>
      <w:pPr>
        <w:ind w:left="2550" w:hanging="180"/>
      </w:pPr>
    </w:lvl>
    <w:lvl w:ilvl="3" w:tplc="E4A0574E" w:tentative="1">
      <w:start w:val="1"/>
      <w:numFmt w:val="decimal"/>
      <w:lvlText w:val="%4."/>
      <w:lvlJc w:val="left"/>
      <w:pPr>
        <w:ind w:left="3270" w:hanging="360"/>
      </w:pPr>
    </w:lvl>
    <w:lvl w:ilvl="4" w:tplc="B4C2EDC2" w:tentative="1">
      <w:start w:val="1"/>
      <w:numFmt w:val="lowerLetter"/>
      <w:lvlText w:val="%5."/>
      <w:lvlJc w:val="left"/>
      <w:pPr>
        <w:ind w:left="3990" w:hanging="360"/>
      </w:pPr>
    </w:lvl>
    <w:lvl w:ilvl="5" w:tplc="DB0A937C" w:tentative="1">
      <w:start w:val="1"/>
      <w:numFmt w:val="lowerRoman"/>
      <w:lvlText w:val="%6."/>
      <w:lvlJc w:val="right"/>
      <w:pPr>
        <w:ind w:left="4710" w:hanging="180"/>
      </w:pPr>
    </w:lvl>
    <w:lvl w:ilvl="6" w:tplc="821E17C4" w:tentative="1">
      <w:start w:val="1"/>
      <w:numFmt w:val="decimal"/>
      <w:lvlText w:val="%7."/>
      <w:lvlJc w:val="left"/>
      <w:pPr>
        <w:ind w:left="5430" w:hanging="360"/>
      </w:pPr>
    </w:lvl>
    <w:lvl w:ilvl="7" w:tplc="22C2F7AC" w:tentative="1">
      <w:start w:val="1"/>
      <w:numFmt w:val="lowerLetter"/>
      <w:lvlText w:val="%8."/>
      <w:lvlJc w:val="left"/>
      <w:pPr>
        <w:ind w:left="6150" w:hanging="360"/>
      </w:pPr>
    </w:lvl>
    <w:lvl w:ilvl="8" w:tplc="153E4EE2" w:tentative="1">
      <w:start w:val="1"/>
      <w:numFmt w:val="lowerRoman"/>
      <w:lvlText w:val="%9."/>
      <w:lvlJc w:val="right"/>
      <w:pPr>
        <w:ind w:left="6870" w:hanging="180"/>
      </w:pPr>
    </w:lvl>
  </w:abstractNum>
  <w:abstractNum w:abstractNumId="12" w15:restartNumberingAfterBreak="0">
    <w:nsid w:val="2B080456"/>
    <w:multiLevelType w:val="hybridMultilevel"/>
    <w:tmpl w:val="10F866F0"/>
    <w:lvl w:ilvl="0" w:tplc="690E940A">
      <w:start w:val="3"/>
      <w:numFmt w:val="bullet"/>
      <w:lvlText w:val="-"/>
      <w:lvlJc w:val="left"/>
      <w:pPr>
        <w:ind w:left="720" w:hanging="360"/>
      </w:pPr>
      <w:rPr>
        <w:rFonts w:ascii="Times New Roman Bold" w:hAnsi="Times New Roman Bold" w:cs="Times New Roman" w:hint="default"/>
        <w:b/>
        <w:i w:val="0"/>
      </w:rPr>
    </w:lvl>
    <w:lvl w:ilvl="1" w:tplc="ACDC100A">
      <w:start w:val="1"/>
      <w:numFmt w:val="bullet"/>
      <w:lvlText w:val="o"/>
      <w:lvlJc w:val="left"/>
      <w:pPr>
        <w:ind w:left="1440" w:hanging="360"/>
      </w:pPr>
      <w:rPr>
        <w:rFonts w:ascii="Courier New" w:hAnsi="Courier New" w:cs="Courier New" w:hint="default"/>
      </w:rPr>
    </w:lvl>
    <w:lvl w:ilvl="2" w:tplc="C1883884" w:tentative="1">
      <w:start w:val="1"/>
      <w:numFmt w:val="bullet"/>
      <w:lvlText w:val=""/>
      <w:lvlJc w:val="left"/>
      <w:pPr>
        <w:ind w:left="2160" w:hanging="360"/>
      </w:pPr>
      <w:rPr>
        <w:rFonts w:ascii="Wingdings" w:hAnsi="Wingdings" w:hint="default"/>
      </w:rPr>
    </w:lvl>
    <w:lvl w:ilvl="3" w:tplc="A2C6084C" w:tentative="1">
      <w:start w:val="1"/>
      <w:numFmt w:val="bullet"/>
      <w:lvlText w:val=""/>
      <w:lvlJc w:val="left"/>
      <w:pPr>
        <w:ind w:left="2880" w:hanging="360"/>
      </w:pPr>
      <w:rPr>
        <w:rFonts w:ascii="Symbol" w:hAnsi="Symbol" w:hint="default"/>
      </w:rPr>
    </w:lvl>
    <w:lvl w:ilvl="4" w:tplc="A7ECB892" w:tentative="1">
      <w:start w:val="1"/>
      <w:numFmt w:val="bullet"/>
      <w:lvlText w:val="o"/>
      <w:lvlJc w:val="left"/>
      <w:pPr>
        <w:ind w:left="3600" w:hanging="360"/>
      </w:pPr>
      <w:rPr>
        <w:rFonts w:ascii="Courier New" w:hAnsi="Courier New" w:cs="Courier New" w:hint="default"/>
      </w:rPr>
    </w:lvl>
    <w:lvl w:ilvl="5" w:tplc="6E32FA7A" w:tentative="1">
      <w:start w:val="1"/>
      <w:numFmt w:val="bullet"/>
      <w:lvlText w:val=""/>
      <w:lvlJc w:val="left"/>
      <w:pPr>
        <w:ind w:left="4320" w:hanging="360"/>
      </w:pPr>
      <w:rPr>
        <w:rFonts w:ascii="Wingdings" w:hAnsi="Wingdings" w:hint="default"/>
      </w:rPr>
    </w:lvl>
    <w:lvl w:ilvl="6" w:tplc="B5CE2596" w:tentative="1">
      <w:start w:val="1"/>
      <w:numFmt w:val="bullet"/>
      <w:lvlText w:val=""/>
      <w:lvlJc w:val="left"/>
      <w:pPr>
        <w:ind w:left="5040" w:hanging="360"/>
      </w:pPr>
      <w:rPr>
        <w:rFonts w:ascii="Symbol" w:hAnsi="Symbol" w:hint="default"/>
      </w:rPr>
    </w:lvl>
    <w:lvl w:ilvl="7" w:tplc="57B65A34" w:tentative="1">
      <w:start w:val="1"/>
      <w:numFmt w:val="bullet"/>
      <w:lvlText w:val="o"/>
      <w:lvlJc w:val="left"/>
      <w:pPr>
        <w:ind w:left="5760" w:hanging="360"/>
      </w:pPr>
      <w:rPr>
        <w:rFonts w:ascii="Courier New" w:hAnsi="Courier New" w:cs="Courier New" w:hint="default"/>
      </w:rPr>
    </w:lvl>
    <w:lvl w:ilvl="8" w:tplc="ED6600E2" w:tentative="1">
      <w:start w:val="1"/>
      <w:numFmt w:val="bullet"/>
      <w:lvlText w:val=""/>
      <w:lvlJc w:val="left"/>
      <w:pPr>
        <w:ind w:left="6480" w:hanging="360"/>
      </w:pPr>
      <w:rPr>
        <w:rFonts w:ascii="Wingdings" w:hAnsi="Wingdings" w:hint="default"/>
      </w:rPr>
    </w:lvl>
  </w:abstractNum>
  <w:abstractNum w:abstractNumId="13" w15:restartNumberingAfterBreak="0">
    <w:nsid w:val="2FCE33CA"/>
    <w:multiLevelType w:val="hybridMultilevel"/>
    <w:tmpl w:val="8A7095D6"/>
    <w:lvl w:ilvl="0" w:tplc="B7C0CCC6">
      <w:start w:val="1"/>
      <w:numFmt w:val="bullet"/>
      <w:lvlText w:val=""/>
      <w:lvlJc w:val="left"/>
      <w:pPr>
        <w:ind w:left="720" w:hanging="360"/>
      </w:pPr>
      <w:rPr>
        <w:rFonts w:ascii="Symbol" w:hAnsi="Symbol" w:hint="default"/>
        <w:sz w:val="24"/>
        <w:szCs w:val="24"/>
      </w:rPr>
    </w:lvl>
    <w:lvl w:ilvl="1" w:tplc="65E0D5E2" w:tentative="1">
      <w:start w:val="1"/>
      <w:numFmt w:val="bullet"/>
      <w:lvlText w:val="o"/>
      <w:lvlJc w:val="left"/>
      <w:pPr>
        <w:ind w:left="1440" w:hanging="360"/>
      </w:pPr>
      <w:rPr>
        <w:rFonts w:ascii="Courier New" w:hAnsi="Courier New" w:cs="Courier New" w:hint="default"/>
      </w:rPr>
    </w:lvl>
    <w:lvl w:ilvl="2" w:tplc="E4F63BC2" w:tentative="1">
      <w:start w:val="1"/>
      <w:numFmt w:val="bullet"/>
      <w:lvlText w:val=""/>
      <w:lvlJc w:val="left"/>
      <w:pPr>
        <w:ind w:left="2160" w:hanging="360"/>
      </w:pPr>
      <w:rPr>
        <w:rFonts w:ascii="Wingdings" w:hAnsi="Wingdings" w:hint="default"/>
      </w:rPr>
    </w:lvl>
    <w:lvl w:ilvl="3" w:tplc="02B41C1A" w:tentative="1">
      <w:start w:val="1"/>
      <w:numFmt w:val="bullet"/>
      <w:lvlText w:val=""/>
      <w:lvlJc w:val="left"/>
      <w:pPr>
        <w:ind w:left="2880" w:hanging="360"/>
      </w:pPr>
      <w:rPr>
        <w:rFonts w:ascii="Symbol" w:hAnsi="Symbol" w:hint="default"/>
      </w:rPr>
    </w:lvl>
    <w:lvl w:ilvl="4" w:tplc="5ED20B5E" w:tentative="1">
      <w:start w:val="1"/>
      <w:numFmt w:val="bullet"/>
      <w:lvlText w:val="o"/>
      <w:lvlJc w:val="left"/>
      <w:pPr>
        <w:ind w:left="3600" w:hanging="360"/>
      </w:pPr>
      <w:rPr>
        <w:rFonts w:ascii="Courier New" w:hAnsi="Courier New" w:cs="Courier New" w:hint="default"/>
      </w:rPr>
    </w:lvl>
    <w:lvl w:ilvl="5" w:tplc="6C50A6F8" w:tentative="1">
      <w:start w:val="1"/>
      <w:numFmt w:val="bullet"/>
      <w:lvlText w:val=""/>
      <w:lvlJc w:val="left"/>
      <w:pPr>
        <w:ind w:left="4320" w:hanging="360"/>
      </w:pPr>
      <w:rPr>
        <w:rFonts w:ascii="Wingdings" w:hAnsi="Wingdings" w:hint="default"/>
      </w:rPr>
    </w:lvl>
    <w:lvl w:ilvl="6" w:tplc="21DE844C" w:tentative="1">
      <w:start w:val="1"/>
      <w:numFmt w:val="bullet"/>
      <w:lvlText w:val=""/>
      <w:lvlJc w:val="left"/>
      <w:pPr>
        <w:ind w:left="5040" w:hanging="360"/>
      </w:pPr>
      <w:rPr>
        <w:rFonts w:ascii="Symbol" w:hAnsi="Symbol" w:hint="default"/>
      </w:rPr>
    </w:lvl>
    <w:lvl w:ilvl="7" w:tplc="BD3064A4" w:tentative="1">
      <w:start w:val="1"/>
      <w:numFmt w:val="bullet"/>
      <w:lvlText w:val="o"/>
      <w:lvlJc w:val="left"/>
      <w:pPr>
        <w:ind w:left="5760" w:hanging="360"/>
      </w:pPr>
      <w:rPr>
        <w:rFonts w:ascii="Courier New" w:hAnsi="Courier New" w:cs="Courier New" w:hint="default"/>
      </w:rPr>
    </w:lvl>
    <w:lvl w:ilvl="8" w:tplc="6846BC5E" w:tentative="1">
      <w:start w:val="1"/>
      <w:numFmt w:val="bullet"/>
      <w:lvlText w:val=""/>
      <w:lvlJc w:val="left"/>
      <w:pPr>
        <w:ind w:left="6480" w:hanging="360"/>
      </w:pPr>
      <w:rPr>
        <w:rFonts w:ascii="Wingdings" w:hAnsi="Wingdings" w:hint="default"/>
      </w:rPr>
    </w:lvl>
  </w:abstractNum>
  <w:abstractNum w:abstractNumId="14" w15:restartNumberingAfterBreak="0">
    <w:nsid w:val="3B0F6B9D"/>
    <w:multiLevelType w:val="hybridMultilevel"/>
    <w:tmpl w:val="75F265C0"/>
    <w:lvl w:ilvl="0" w:tplc="40848598">
      <w:start w:val="1"/>
      <w:numFmt w:val="decimal"/>
      <w:lvlText w:val="1.%1."/>
      <w:lvlJc w:val="left"/>
      <w:pPr>
        <w:ind w:left="1110" w:hanging="360"/>
      </w:pPr>
      <w:rPr>
        <w:rFonts w:ascii="Cambria" w:hAnsi="Cambria" w:hint="default"/>
        <w:b/>
        <w:i w:val="0"/>
        <w:sz w:val="32"/>
      </w:rPr>
    </w:lvl>
    <w:lvl w:ilvl="1" w:tplc="7F685DB2">
      <w:start w:val="1"/>
      <w:numFmt w:val="lowerLetter"/>
      <w:lvlText w:val="%2."/>
      <w:lvlJc w:val="left"/>
      <w:pPr>
        <w:ind w:left="1440" w:hanging="360"/>
      </w:pPr>
    </w:lvl>
    <w:lvl w:ilvl="2" w:tplc="E0CEEA16" w:tentative="1">
      <w:start w:val="1"/>
      <w:numFmt w:val="lowerRoman"/>
      <w:lvlText w:val="%3."/>
      <w:lvlJc w:val="right"/>
      <w:pPr>
        <w:ind w:left="2160" w:hanging="180"/>
      </w:pPr>
    </w:lvl>
    <w:lvl w:ilvl="3" w:tplc="CC9C03D8" w:tentative="1">
      <w:start w:val="1"/>
      <w:numFmt w:val="decimal"/>
      <w:lvlText w:val="%4."/>
      <w:lvlJc w:val="left"/>
      <w:pPr>
        <w:ind w:left="2880" w:hanging="360"/>
      </w:pPr>
    </w:lvl>
    <w:lvl w:ilvl="4" w:tplc="D9AACBA0" w:tentative="1">
      <w:start w:val="1"/>
      <w:numFmt w:val="lowerLetter"/>
      <w:lvlText w:val="%5."/>
      <w:lvlJc w:val="left"/>
      <w:pPr>
        <w:ind w:left="3600" w:hanging="360"/>
      </w:pPr>
    </w:lvl>
    <w:lvl w:ilvl="5" w:tplc="50ECFF12" w:tentative="1">
      <w:start w:val="1"/>
      <w:numFmt w:val="lowerRoman"/>
      <w:lvlText w:val="%6."/>
      <w:lvlJc w:val="right"/>
      <w:pPr>
        <w:ind w:left="4320" w:hanging="180"/>
      </w:pPr>
    </w:lvl>
    <w:lvl w:ilvl="6" w:tplc="243A2BA8" w:tentative="1">
      <w:start w:val="1"/>
      <w:numFmt w:val="decimal"/>
      <w:lvlText w:val="%7."/>
      <w:lvlJc w:val="left"/>
      <w:pPr>
        <w:ind w:left="5040" w:hanging="360"/>
      </w:pPr>
    </w:lvl>
    <w:lvl w:ilvl="7" w:tplc="43F212A4" w:tentative="1">
      <w:start w:val="1"/>
      <w:numFmt w:val="lowerLetter"/>
      <w:lvlText w:val="%8."/>
      <w:lvlJc w:val="left"/>
      <w:pPr>
        <w:ind w:left="5760" w:hanging="360"/>
      </w:pPr>
    </w:lvl>
    <w:lvl w:ilvl="8" w:tplc="6518C1D2" w:tentative="1">
      <w:start w:val="1"/>
      <w:numFmt w:val="lowerRoman"/>
      <w:lvlText w:val="%9."/>
      <w:lvlJc w:val="right"/>
      <w:pPr>
        <w:ind w:left="6480" w:hanging="180"/>
      </w:pPr>
    </w:lvl>
  </w:abstractNum>
  <w:abstractNum w:abstractNumId="15" w15:restartNumberingAfterBreak="0">
    <w:nsid w:val="3E6F69B5"/>
    <w:multiLevelType w:val="multilevel"/>
    <w:tmpl w:val="9AA8CD68"/>
    <w:lvl w:ilvl="0">
      <w:start w:val="1"/>
      <w:numFmt w:val="decimal"/>
      <w:lvlText w:val="%1."/>
      <w:lvlJc w:val="left"/>
      <w:pPr>
        <w:ind w:left="462" w:hanging="360"/>
      </w:pPr>
      <w:rPr>
        <w:rFonts w:hint="default"/>
      </w:rPr>
    </w:lvl>
    <w:lvl w:ilvl="1">
      <w:start w:val="1"/>
      <w:numFmt w:val="decimal"/>
      <w:isLgl/>
      <w:lvlText w:val="%1.%2."/>
      <w:lvlJc w:val="left"/>
      <w:pPr>
        <w:ind w:left="750" w:hanging="360"/>
      </w:pPr>
      <w:rPr>
        <w:rFonts w:hint="default"/>
        <w:b/>
      </w:rPr>
    </w:lvl>
    <w:lvl w:ilvl="2">
      <w:start w:val="1"/>
      <w:numFmt w:val="decimal"/>
      <w:isLgl/>
      <w:lvlText w:val="%1.%2.%3."/>
      <w:lvlJc w:val="left"/>
      <w:pPr>
        <w:ind w:left="1038" w:hanging="360"/>
      </w:pPr>
      <w:rPr>
        <w:rFonts w:hint="default"/>
        <w:b/>
      </w:rPr>
    </w:lvl>
    <w:lvl w:ilvl="3">
      <w:start w:val="1"/>
      <w:numFmt w:val="decimal"/>
      <w:isLgl/>
      <w:lvlText w:val="%1.%2.%3.%4."/>
      <w:lvlJc w:val="left"/>
      <w:pPr>
        <w:ind w:left="1686" w:hanging="720"/>
      </w:pPr>
      <w:rPr>
        <w:rFonts w:hint="default"/>
        <w:b/>
      </w:rPr>
    </w:lvl>
    <w:lvl w:ilvl="4">
      <w:start w:val="1"/>
      <w:numFmt w:val="decimal"/>
      <w:lvlText w:val="1.%5."/>
      <w:lvlJc w:val="left"/>
      <w:pPr>
        <w:ind w:left="1974" w:hanging="720"/>
      </w:pPr>
      <w:rPr>
        <w:rFonts w:ascii="Arial" w:hAnsi="Arial" w:hint="default"/>
        <w:b/>
        <w:bCs/>
        <w:i w:val="0"/>
        <w:sz w:val="13"/>
      </w:rPr>
    </w:lvl>
    <w:lvl w:ilvl="5">
      <w:start w:val="1"/>
      <w:numFmt w:val="decimal"/>
      <w:isLgl/>
      <w:lvlText w:val="%1.%2.%3.%4.%5.%6."/>
      <w:lvlJc w:val="left"/>
      <w:pPr>
        <w:ind w:left="2262" w:hanging="720"/>
      </w:pPr>
      <w:rPr>
        <w:rFonts w:hint="default"/>
        <w:b/>
      </w:rPr>
    </w:lvl>
    <w:lvl w:ilvl="6">
      <w:start w:val="1"/>
      <w:numFmt w:val="decimal"/>
      <w:isLgl/>
      <w:lvlText w:val="%1.%2.%3.%4.%5.%6.%7."/>
      <w:lvlJc w:val="left"/>
      <w:pPr>
        <w:ind w:left="2910" w:hanging="1080"/>
      </w:pPr>
      <w:rPr>
        <w:rFonts w:hint="default"/>
        <w:b/>
      </w:rPr>
    </w:lvl>
    <w:lvl w:ilvl="7">
      <w:start w:val="1"/>
      <w:numFmt w:val="decimal"/>
      <w:isLgl/>
      <w:lvlText w:val="%1.%2.%3.%4.%5.%6.%7.%8."/>
      <w:lvlJc w:val="left"/>
      <w:pPr>
        <w:ind w:left="3198" w:hanging="1080"/>
      </w:pPr>
      <w:rPr>
        <w:rFonts w:hint="default"/>
        <w:b/>
      </w:rPr>
    </w:lvl>
    <w:lvl w:ilvl="8">
      <w:start w:val="1"/>
      <w:numFmt w:val="decimal"/>
      <w:isLgl/>
      <w:lvlText w:val="%1.%2.%3.%4.%5.%6.%7.%8.%9."/>
      <w:lvlJc w:val="left"/>
      <w:pPr>
        <w:ind w:left="3486" w:hanging="1080"/>
      </w:pPr>
      <w:rPr>
        <w:rFonts w:hint="default"/>
        <w:b/>
      </w:rPr>
    </w:lvl>
  </w:abstractNum>
  <w:abstractNum w:abstractNumId="16" w15:restartNumberingAfterBreak="0">
    <w:nsid w:val="40233B69"/>
    <w:multiLevelType w:val="hybridMultilevel"/>
    <w:tmpl w:val="CD245778"/>
    <w:lvl w:ilvl="0" w:tplc="4C805B52">
      <w:start w:val="1"/>
      <w:numFmt w:val="bullet"/>
      <w:suff w:val="space"/>
      <w:lvlText w:val=""/>
      <w:lvlJc w:val="left"/>
      <w:pPr>
        <w:ind w:left="720" w:hanging="360"/>
      </w:pPr>
      <w:rPr>
        <w:rFonts w:ascii="Symbol" w:hAnsi="Symbol" w:hint="default"/>
      </w:rPr>
    </w:lvl>
    <w:lvl w:ilvl="1" w:tplc="BDC25560">
      <w:start w:val="1"/>
      <w:numFmt w:val="bullet"/>
      <w:lvlText w:val="o"/>
      <w:lvlJc w:val="left"/>
      <w:pPr>
        <w:ind w:left="1440" w:hanging="360"/>
      </w:pPr>
      <w:rPr>
        <w:rFonts w:ascii="Courier New" w:hAnsi="Courier New" w:cs="Courier New" w:hint="default"/>
      </w:rPr>
    </w:lvl>
    <w:lvl w:ilvl="2" w:tplc="B3461756" w:tentative="1">
      <w:start w:val="1"/>
      <w:numFmt w:val="bullet"/>
      <w:lvlText w:val=""/>
      <w:lvlJc w:val="left"/>
      <w:pPr>
        <w:ind w:left="2160" w:hanging="360"/>
      </w:pPr>
      <w:rPr>
        <w:rFonts w:ascii="Wingdings" w:hAnsi="Wingdings" w:hint="default"/>
      </w:rPr>
    </w:lvl>
    <w:lvl w:ilvl="3" w:tplc="96E68A8E" w:tentative="1">
      <w:start w:val="1"/>
      <w:numFmt w:val="bullet"/>
      <w:lvlText w:val=""/>
      <w:lvlJc w:val="left"/>
      <w:pPr>
        <w:ind w:left="2880" w:hanging="360"/>
      </w:pPr>
      <w:rPr>
        <w:rFonts w:ascii="Symbol" w:hAnsi="Symbol" w:hint="default"/>
      </w:rPr>
    </w:lvl>
    <w:lvl w:ilvl="4" w:tplc="14BCD1B6" w:tentative="1">
      <w:start w:val="1"/>
      <w:numFmt w:val="bullet"/>
      <w:lvlText w:val="o"/>
      <w:lvlJc w:val="left"/>
      <w:pPr>
        <w:ind w:left="3600" w:hanging="360"/>
      </w:pPr>
      <w:rPr>
        <w:rFonts w:ascii="Courier New" w:hAnsi="Courier New" w:cs="Courier New" w:hint="default"/>
      </w:rPr>
    </w:lvl>
    <w:lvl w:ilvl="5" w:tplc="E7EABF9E" w:tentative="1">
      <w:start w:val="1"/>
      <w:numFmt w:val="bullet"/>
      <w:lvlText w:val=""/>
      <w:lvlJc w:val="left"/>
      <w:pPr>
        <w:ind w:left="4320" w:hanging="360"/>
      </w:pPr>
      <w:rPr>
        <w:rFonts w:ascii="Wingdings" w:hAnsi="Wingdings" w:hint="default"/>
      </w:rPr>
    </w:lvl>
    <w:lvl w:ilvl="6" w:tplc="C05AF2D0" w:tentative="1">
      <w:start w:val="1"/>
      <w:numFmt w:val="bullet"/>
      <w:lvlText w:val=""/>
      <w:lvlJc w:val="left"/>
      <w:pPr>
        <w:ind w:left="5040" w:hanging="360"/>
      </w:pPr>
      <w:rPr>
        <w:rFonts w:ascii="Symbol" w:hAnsi="Symbol" w:hint="default"/>
      </w:rPr>
    </w:lvl>
    <w:lvl w:ilvl="7" w:tplc="C904484C" w:tentative="1">
      <w:start w:val="1"/>
      <w:numFmt w:val="bullet"/>
      <w:lvlText w:val="o"/>
      <w:lvlJc w:val="left"/>
      <w:pPr>
        <w:ind w:left="5760" w:hanging="360"/>
      </w:pPr>
      <w:rPr>
        <w:rFonts w:ascii="Courier New" w:hAnsi="Courier New" w:cs="Courier New" w:hint="default"/>
      </w:rPr>
    </w:lvl>
    <w:lvl w:ilvl="8" w:tplc="E182F6A2" w:tentative="1">
      <w:start w:val="1"/>
      <w:numFmt w:val="bullet"/>
      <w:lvlText w:val=""/>
      <w:lvlJc w:val="left"/>
      <w:pPr>
        <w:ind w:left="6480" w:hanging="360"/>
      </w:pPr>
      <w:rPr>
        <w:rFonts w:ascii="Wingdings" w:hAnsi="Wingdings" w:hint="default"/>
      </w:rPr>
    </w:lvl>
  </w:abstractNum>
  <w:abstractNum w:abstractNumId="17" w15:restartNumberingAfterBreak="0">
    <w:nsid w:val="43096226"/>
    <w:multiLevelType w:val="hybridMultilevel"/>
    <w:tmpl w:val="DEF4C8AC"/>
    <w:lvl w:ilvl="0" w:tplc="3F7AB65E">
      <w:start w:val="1"/>
      <w:numFmt w:val="bullet"/>
      <w:lvlText w:val="•"/>
      <w:lvlJc w:val="left"/>
      <w:pPr>
        <w:ind w:left="1180" w:hanging="360"/>
      </w:pPr>
      <w:rPr>
        <w:rFonts w:ascii="Times New Roman" w:eastAsia="Times New Roman" w:hAnsi="Times New Roman" w:cs="Times New Roman" w:hint="default"/>
        <w:w w:val="131"/>
      </w:rPr>
    </w:lvl>
    <w:lvl w:ilvl="1" w:tplc="DE02899E" w:tentative="1">
      <w:start w:val="1"/>
      <w:numFmt w:val="bullet"/>
      <w:lvlText w:val="o"/>
      <w:lvlJc w:val="left"/>
      <w:pPr>
        <w:ind w:left="1900" w:hanging="360"/>
      </w:pPr>
      <w:rPr>
        <w:rFonts w:ascii="Courier New" w:hAnsi="Courier New" w:cs="Courier New" w:hint="default"/>
      </w:rPr>
    </w:lvl>
    <w:lvl w:ilvl="2" w:tplc="F448082C" w:tentative="1">
      <w:start w:val="1"/>
      <w:numFmt w:val="bullet"/>
      <w:lvlText w:val=""/>
      <w:lvlJc w:val="left"/>
      <w:pPr>
        <w:ind w:left="2620" w:hanging="360"/>
      </w:pPr>
      <w:rPr>
        <w:rFonts w:ascii="Wingdings" w:hAnsi="Wingdings" w:hint="default"/>
      </w:rPr>
    </w:lvl>
    <w:lvl w:ilvl="3" w:tplc="D96C825A" w:tentative="1">
      <w:start w:val="1"/>
      <w:numFmt w:val="bullet"/>
      <w:lvlText w:val=""/>
      <w:lvlJc w:val="left"/>
      <w:pPr>
        <w:ind w:left="3340" w:hanging="360"/>
      </w:pPr>
      <w:rPr>
        <w:rFonts w:ascii="Symbol" w:hAnsi="Symbol" w:hint="default"/>
      </w:rPr>
    </w:lvl>
    <w:lvl w:ilvl="4" w:tplc="51C0A1D0" w:tentative="1">
      <w:start w:val="1"/>
      <w:numFmt w:val="bullet"/>
      <w:lvlText w:val="o"/>
      <w:lvlJc w:val="left"/>
      <w:pPr>
        <w:ind w:left="4060" w:hanging="360"/>
      </w:pPr>
      <w:rPr>
        <w:rFonts w:ascii="Courier New" w:hAnsi="Courier New" w:cs="Courier New" w:hint="default"/>
      </w:rPr>
    </w:lvl>
    <w:lvl w:ilvl="5" w:tplc="5344D18A" w:tentative="1">
      <w:start w:val="1"/>
      <w:numFmt w:val="bullet"/>
      <w:lvlText w:val=""/>
      <w:lvlJc w:val="left"/>
      <w:pPr>
        <w:ind w:left="4780" w:hanging="360"/>
      </w:pPr>
      <w:rPr>
        <w:rFonts w:ascii="Wingdings" w:hAnsi="Wingdings" w:hint="default"/>
      </w:rPr>
    </w:lvl>
    <w:lvl w:ilvl="6" w:tplc="1322657A" w:tentative="1">
      <w:start w:val="1"/>
      <w:numFmt w:val="bullet"/>
      <w:lvlText w:val=""/>
      <w:lvlJc w:val="left"/>
      <w:pPr>
        <w:ind w:left="5500" w:hanging="360"/>
      </w:pPr>
      <w:rPr>
        <w:rFonts w:ascii="Symbol" w:hAnsi="Symbol" w:hint="default"/>
      </w:rPr>
    </w:lvl>
    <w:lvl w:ilvl="7" w:tplc="69E04AD0" w:tentative="1">
      <w:start w:val="1"/>
      <w:numFmt w:val="bullet"/>
      <w:lvlText w:val="o"/>
      <w:lvlJc w:val="left"/>
      <w:pPr>
        <w:ind w:left="6220" w:hanging="360"/>
      </w:pPr>
      <w:rPr>
        <w:rFonts w:ascii="Courier New" w:hAnsi="Courier New" w:cs="Courier New" w:hint="default"/>
      </w:rPr>
    </w:lvl>
    <w:lvl w:ilvl="8" w:tplc="5E08DBD0" w:tentative="1">
      <w:start w:val="1"/>
      <w:numFmt w:val="bullet"/>
      <w:lvlText w:val=""/>
      <w:lvlJc w:val="left"/>
      <w:pPr>
        <w:ind w:left="6940" w:hanging="360"/>
      </w:pPr>
      <w:rPr>
        <w:rFonts w:ascii="Wingdings" w:hAnsi="Wingdings" w:hint="default"/>
      </w:rPr>
    </w:lvl>
  </w:abstractNum>
  <w:abstractNum w:abstractNumId="18" w15:restartNumberingAfterBreak="0">
    <w:nsid w:val="48D725F3"/>
    <w:multiLevelType w:val="hybridMultilevel"/>
    <w:tmpl w:val="0A9C4512"/>
    <w:lvl w:ilvl="0" w:tplc="9F38D7FA">
      <w:start w:val="3"/>
      <w:numFmt w:val="bullet"/>
      <w:lvlText w:val="-"/>
      <w:lvlJc w:val="left"/>
      <w:pPr>
        <w:ind w:left="720" w:hanging="360"/>
      </w:pPr>
      <w:rPr>
        <w:rFonts w:ascii="Times New Roman Bold" w:hAnsi="Times New Roman Bold" w:cs="Times New Roman" w:hint="default"/>
        <w:b/>
        <w:i w:val="0"/>
      </w:rPr>
    </w:lvl>
    <w:lvl w:ilvl="1" w:tplc="4014BA5A">
      <w:start w:val="1"/>
      <w:numFmt w:val="bullet"/>
      <w:lvlText w:val="o"/>
      <w:lvlJc w:val="left"/>
      <w:pPr>
        <w:ind w:left="1440" w:hanging="360"/>
      </w:pPr>
      <w:rPr>
        <w:rFonts w:ascii="Courier New" w:hAnsi="Courier New" w:cs="Courier New" w:hint="default"/>
      </w:rPr>
    </w:lvl>
    <w:lvl w:ilvl="2" w:tplc="AE8EE902" w:tentative="1">
      <w:start w:val="1"/>
      <w:numFmt w:val="bullet"/>
      <w:lvlText w:val=""/>
      <w:lvlJc w:val="left"/>
      <w:pPr>
        <w:ind w:left="2160" w:hanging="360"/>
      </w:pPr>
      <w:rPr>
        <w:rFonts w:ascii="Wingdings" w:hAnsi="Wingdings" w:hint="default"/>
      </w:rPr>
    </w:lvl>
    <w:lvl w:ilvl="3" w:tplc="86EEF2B4" w:tentative="1">
      <w:start w:val="1"/>
      <w:numFmt w:val="bullet"/>
      <w:lvlText w:val=""/>
      <w:lvlJc w:val="left"/>
      <w:pPr>
        <w:ind w:left="2880" w:hanging="360"/>
      </w:pPr>
      <w:rPr>
        <w:rFonts w:ascii="Symbol" w:hAnsi="Symbol" w:hint="default"/>
      </w:rPr>
    </w:lvl>
    <w:lvl w:ilvl="4" w:tplc="7518AF44" w:tentative="1">
      <w:start w:val="1"/>
      <w:numFmt w:val="bullet"/>
      <w:lvlText w:val="o"/>
      <w:lvlJc w:val="left"/>
      <w:pPr>
        <w:ind w:left="3600" w:hanging="360"/>
      </w:pPr>
      <w:rPr>
        <w:rFonts w:ascii="Courier New" w:hAnsi="Courier New" w:cs="Courier New" w:hint="default"/>
      </w:rPr>
    </w:lvl>
    <w:lvl w:ilvl="5" w:tplc="5D3E8DFC" w:tentative="1">
      <w:start w:val="1"/>
      <w:numFmt w:val="bullet"/>
      <w:lvlText w:val=""/>
      <w:lvlJc w:val="left"/>
      <w:pPr>
        <w:ind w:left="4320" w:hanging="360"/>
      </w:pPr>
      <w:rPr>
        <w:rFonts w:ascii="Wingdings" w:hAnsi="Wingdings" w:hint="default"/>
      </w:rPr>
    </w:lvl>
    <w:lvl w:ilvl="6" w:tplc="9122372A" w:tentative="1">
      <w:start w:val="1"/>
      <w:numFmt w:val="bullet"/>
      <w:lvlText w:val=""/>
      <w:lvlJc w:val="left"/>
      <w:pPr>
        <w:ind w:left="5040" w:hanging="360"/>
      </w:pPr>
      <w:rPr>
        <w:rFonts w:ascii="Symbol" w:hAnsi="Symbol" w:hint="default"/>
      </w:rPr>
    </w:lvl>
    <w:lvl w:ilvl="7" w:tplc="9F6EEB54" w:tentative="1">
      <w:start w:val="1"/>
      <w:numFmt w:val="bullet"/>
      <w:lvlText w:val="o"/>
      <w:lvlJc w:val="left"/>
      <w:pPr>
        <w:ind w:left="5760" w:hanging="360"/>
      </w:pPr>
      <w:rPr>
        <w:rFonts w:ascii="Courier New" w:hAnsi="Courier New" w:cs="Courier New" w:hint="default"/>
      </w:rPr>
    </w:lvl>
    <w:lvl w:ilvl="8" w:tplc="7ECE1E04" w:tentative="1">
      <w:start w:val="1"/>
      <w:numFmt w:val="bullet"/>
      <w:lvlText w:val=""/>
      <w:lvlJc w:val="left"/>
      <w:pPr>
        <w:ind w:left="6480" w:hanging="360"/>
      </w:pPr>
      <w:rPr>
        <w:rFonts w:ascii="Wingdings" w:hAnsi="Wingdings" w:hint="default"/>
      </w:rPr>
    </w:lvl>
  </w:abstractNum>
  <w:abstractNum w:abstractNumId="19" w15:restartNumberingAfterBreak="0">
    <w:nsid w:val="495D3E48"/>
    <w:multiLevelType w:val="multilevel"/>
    <w:tmpl w:val="DED888E6"/>
    <w:lvl w:ilvl="0">
      <w:start w:val="1"/>
      <w:numFmt w:val="decimal"/>
      <w:lvlText w:val="%1."/>
      <w:lvlJc w:val="left"/>
      <w:pPr>
        <w:ind w:left="501" w:hanging="360"/>
      </w:pPr>
      <w:rPr>
        <w:rFonts w:hint="default"/>
        <w:b/>
      </w:rPr>
    </w:lvl>
    <w:lvl w:ilvl="1">
      <w:start w:val="1"/>
      <w:numFmt w:val="decimal"/>
      <w:isLgl/>
      <w:lvlText w:val="%1.%2"/>
      <w:lvlJc w:val="left"/>
      <w:pPr>
        <w:ind w:left="750" w:hanging="360"/>
      </w:pPr>
      <w:rPr>
        <w:rFonts w:hint="default"/>
        <w:b/>
      </w:rPr>
    </w:lvl>
    <w:lvl w:ilvl="2">
      <w:start w:val="1"/>
      <w:numFmt w:val="decimal"/>
      <w:isLgl/>
      <w:lvlText w:val="%1.%2.%3"/>
      <w:lvlJc w:val="left"/>
      <w:pPr>
        <w:ind w:left="999" w:hanging="360"/>
      </w:pPr>
      <w:rPr>
        <w:rFonts w:hint="default"/>
        <w:b/>
      </w:rPr>
    </w:lvl>
    <w:lvl w:ilvl="3">
      <w:start w:val="1"/>
      <w:numFmt w:val="decimal"/>
      <w:isLgl/>
      <w:lvlText w:val="%1.%2.%3.%4"/>
      <w:lvlJc w:val="left"/>
      <w:pPr>
        <w:ind w:left="1608" w:hanging="720"/>
      </w:pPr>
      <w:rPr>
        <w:rFonts w:hint="default"/>
        <w:b/>
      </w:rPr>
    </w:lvl>
    <w:lvl w:ilvl="4">
      <w:start w:val="1"/>
      <w:numFmt w:val="decimal"/>
      <w:isLgl/>
      <w:lvlText w:val="%1.%2.%3.%4.%5"/>
      <w:lvlJc w:val="left"/>
      <w:pPr>
        <w:ind w:left="1857" w:hanging="720"/>
      </w:pPr>
      <w:rPr>
        <w:rFonts w:hint="default"/>
        <w:b/>
      </w:rPr>
    </w:lvl>
    <w:lvl w:ilvl="5">
      <w:start w:val="1"/>
      <w:numFmt w:val="decimal"/>
      <w:isLgl/>
      <w:lvlText w:val="%1.%2.%3.%4.%5.%6"/>
      <w:lvlJc w:val="left"/>
      <w:pPr>
        <w:ind w:left="2106" w:hanging="720"/>
      </w:pPr>
      <w:rPr>
        <w:rFonts w:hint="default"/>
        <w:b/>
      </w:rPr>
    </w:lvl>
    <w:lvl w:ilvl="6">
      <w:start w:val="1"/>
      <w:numFmt w:val="decimal"/>
      <w:isLgl/>
      <w:lvlText w:val="%1.%2.%3.%4.%5.%6.%7"/>
      <w:lvlJc w:val="left"/>
      <w:pPr>
        <w:ind w:left="2715" w:hanging="1080"/>
      </w:pPr>
      <w:rPr>
        <w:rFonts w:hint="default"/>
        <w:b/>
      </w:rPr>
    </w:lvl>
    <w:lvl w:ilvl="7">
      <w:start w:val="1"/>
      <w:numFmt w:val="decimal"/>
      <w:isLgl/>
      <w:lvlText w:val="%1.%2.%3.%4.%5.%6.%7.%8"/>
      <w:lvlJc w:val="left"/>
      <w:pPr>
        <w:ind w:left="2964" w:hanging="1080"/>
      </w:pPr>
      <w:rPr>
        <w:rFonts w:hint="default"/>
        <w:b/>
      </w:rPr>
    </w:lvl>
    <w:lvl w:ilvl="8">
      <w:start w:val="1"/>
      <w:numFmt w:val="decimal"/>
      <w:isLgl/>
      <w:lvlText w:val="%1.%2.%3.%4.%5.%6.%7.%8.%9"/>
      <w:lvlJc w:val="left"/>
      <w:pPr>
        <w:ind w:left="3213" w:hanging="1080"/>
      </w:pPr>
      <w:rPr>
        <w:rFonts w:hint="default"/>
        <w:b/>
      </w:rPr>
    </w:lvl>
  </w:abstractNum>
  <w:abstractNum w:abstractNumId="20" w15:restartNumberingAfterBreak="0">
    <w:nsid w:val="4E376393"/>
    <w:multiLevelType w:val="hybridMultilevel"/>
    <w:tmpl w:val="4B80FE76"/>
    <w:lvl w:ilvl="0" w:tplc="EEF48CCA">
      <w:start w:val="1"/>
      <w:numFmt w:val="decimal"/>
      <w:lvlText w:val="6.%1."/>
      <w:lvlJc w:val="left"/>
      <w:pPr>
        <w:ind w:left="1830" w:hanging="360"/>
      </w:pPr>
      <w:rPr>
        <w:rFonts w:ascii="Arial" w:hAnsi="Arial" w:cs="Arial" w:hint="default"/>
        <w:b/>
        <w:i w:val="0"/>
        <w:sz w:val="13"/>
      </w:rPr>
    </w:lvl>
    <w:lvl w:ilvl="1" w:tplc="A2E6D3E6" w:tentative="1">
      <w:start w:val="1"/>
      <w:numFmt w:val="lowerLetter"/>
      <w:lvlText w:val="%2."/>
      <w:lvlJc w:val="left"/>
      <w:pPr>
        <w:ind w:left="2550" w:hanging="360"/>
      </w:pPr>
    </w:lvl>
    <w:lvl w:ilvl="2" w:tplc="BD5C137A" w:tentative="1">
      <w:start w:val="1"/>
      <w:numFmt w:val="lowerRoman"/>
      <w:lvlText w:val="%3."/>
      <w:lvlJc w:val="right"/>
      <w:pPr>
        <w:ind w:left="3270" w:hanging="180"/>
      </w:pPr>
    </w:lvl>
    <w:lvl w:ilvl="3" w:tplc="98A224F4" w:tentative="1">
      <w:start w:val="1"/>
      <w:numFmt w:val="decimal"/>
      <w:lvlText w:val="%4."/>
      <w:lvlJc w:val="left"/>
      <w:pPr>
        <w:ind w:left="3990" w:hanging="360"/>
      </w:pPr>
    </w:lvl>
    <w:lvl w:ilvl="4" w:tplc="E9A02490" w:tentative="1">
      <w:start w:val="1"/>
      <w:numFmt w:val="lowerLetter"/>
      <w:lvlText w:val="%5."/>
      <w:lvlJc w:val="left"/>
      <w:pPr>
        <w:ind w:left="4710" w:hanging="360"/>
      </w:pPr>
    </w:lvl>
    <w:lvl w:ilvl="5" w:tplc="092656A4" w:tentative="1">
      <w:start w:val="1"/>
      <w:numFmt w:val="lowerRoman"/>
      <w:lvlText w:val="%6."/>
      <w:lvlJc w:val="right"/>
      <w:pPr>
        <w:ind w:left="5430" w:hanging="180"/>
      </w:pPr>
    </w:lvl>
    <w:lvl w:ilvl="6" w:tplc="52D400FC" w:tentative="1">
      <w:start w:val="1"/>
      <w:numFmt w:val="decimal"/>
      <w:lvlText w:val="%7."/>
      <w:lvlJc w:val="left"/>
      <w:pPr>
        <w:ind w:left="6150" w:hanging="360"/>
      </w:pPr>
    </w:lvl>
    <w:lvl w:ilvl="7" w:tplc="0678A488" w:tentative="1">
      <w:start w:val="1"/>
      <w:numFmt w:val="lowerLetter"/>
      <w:lvlText w:val="%8."/>
      <w:lvlJc w:val="left"/>
      <w:pPr>
        <w:ind w:left="6870" w:hanging="360"/>
      </w:pPr>
    </w:lvl>
    <w:lvl w:ilvl="8" w:tplc="61AA521A" w:tentative="1">
      <w:start w:val="1"/>
      <w:numFmt w:val="lowerRoman"/>
      <w:lvlText w:val="%9."/>
      <w:lvlJc w:val="right"/>
      <w:pPr>
        <w:ind w:left="7590" w:hanging="180"/>
      </w:pPr>
    </w:lvl>
  </w:abstractNum>
  <w:abstractNum w:abstractNumId="21" w15:restartNumberingAfterBreak="0">
    <w:nsid w:val="50A33412"/>
    <w:multiLevelType w:val="hybridMultilevel"/>
    <w:tmpl w:val="C38079D8"/>
    <w:lvl w:ilvl="0" w:tplc="906AB6CA">
      <w:start w:val="1"/>
      <w:numFmt w:val="bullet"/>
      <w:lvlText w:val="•"/>
      <w:lvlJc w:val="left"/>
      <w:pPr>
        <w:ind w:left="734" w:hanging="360"/>
      </w:pPr>
      <w:rPr>
        <w:rFonts w:ascii="Times New Roman" w:eastAsia="Times New Roman" w:hAnsi="Times New Roman" w:cs="Times New Roman" w:hint="default"/>
        <w:w w:val="131"/>
      </w:rPr>
    </w:lvl>
    <w:lvl w:ilvl="1" w:tplc="F9EC9B3A" w:tentative="1">
      <w:start w:val="1"/>
      <w:numFmt w:val="bullet"/>
      <w:lvlText w:val="o"/>
      <w:lvlJc w:val="left"/>
      <w:pPr>
        <w:ind w:left="1627" w:hanging="360"/>
      </w:pPr>
      <w:rPr>
        <w:rFonts w:ascii="Courier New" w:hAnsi="Courier New" w:cs="Courier New" w:hint="default"/>
      </w:rPr>
    </w:lvl>
    <w:lvl w:ilvl="2" w:tplc="705CF106" w:tentative="1">
      <w:start w:val="1"/>
      <w:numFmt w:val="bullet"/>
      <w:lvlText w:val=""/>
      <w:lvlJc w:val="left"/>
      <w:pPr>
        <w:ind w:left="2347" w:hanging="360"/>
      </w:pPr>
      <w:rPr>
        <w:rFonts w:ascii="Wingdings" w:hAnsi="Wingdings" w:hint="default"/>
      </w:rPr>
    </w:lvl>
    <w:lvl w:ilvl="3" w:tplc="29E0C758" w:tentative="1">
      <w:start w:val="1"/>
      <w:numFmt w:val="bullet"/>
      <w:lvlText w:val=""/>
      <w:lvlJc w:val="left"/>
      <w:pPr>
        <w:ind w:left="3067" w:hanging="360"/>
      </w:pPr>
      <w:rPr>
        <w:rFonts w:ascii="Symbol" w:hAnsi="Symbol" w:hint="default"/>
      </w:rPr>
    </w:lvl>
    <w:lvl w:ilvl="4" w:tplc="2DCA2996" w:tentative="1">
      <w:start w:val="1"/>
      <w:numFmt w:val="bullet"/>
      <w:lvlText w:val="o"/>
      <w:lvlJc w:val="left"/>
      <w:pPr>
        <w:ind w:left="3787" w:hanging="360"/>
      </w:pPr>
      <w:rPr>
        <w:rFonts w:ascii="Courier New" w:hAnsi="Courier New" w:cs="Courier New" w:hint="default"/>
      </w:rPr>
    </w:lvl>
    <w:lvl w:ilvl="5" w:tplc="BE927734" w:tentative="1">
      <w:start w:val="1"/>
      <w:numFmt w:val="bullet"/>
      <w:lvlText w:val=""/>
      <w:lvlJc w:val="left"/>
      <w:pPr>
        <w:ind w:left="4507" w:hanging="360"/>
      </w:pPr>
      <w:rPr>
        <w:rFonts w:ascii="Wingdings" w:hAnsi="Wingdings" w:hint="default"/>
      </w:rPr>
    </w:lvl>
    <w:lvl w:ilvl="6" w:tplc="91A26FF0" w:tentative="1">
      <w:start w:val="1"/>
      <w:numFmt w:val="bullet"/>
      <w:lvlText w:val=""/>
      <w:lvlJc w:val="left"/>
      <w:pPr>
        <w:ind w:left="5227" w:hanging="360"/>
      </w:pPr>
      <w:rPr>
        <w:rFonts w:ascii="Symbol" w:hAnsi="Symbol" w:hint="default"/>
      </w:rPr>
    </w:lvl>
    <w:lvl w:ilvl="7" w:tplc="BDE0BE0E" w:tentative="1">
      <w:start w:val="1"/>
      <w:numFmt w:val="bullet"/>
      <w:lvlText w:val="o"/>
      <w:lvlJc w:val="left"/>
      <w:pPr>
        <w:ind w:left="5947" w:hanging="360"/>
      </w:pPr>
      <w:rPr>
        <w:rFonts w:ascii="Courier New" w:hAnsi="Courier New" w:cs="Courier New" w:hint="default"/>
      </w:rPr>
    </w:lvl>
    <w:lvl w:ilvl="8" w:tplc="D9401614" w:tentative="1">
      <w:start w:val="1"/>
      <w:numFmt w:val="bullet"/>
      <w:lvlText w:val=""/>
      <w:lvlJc w:val="left"/>
      <w:pPr>
        <w:ind w:left="6667" w:hanging="360"/>
      </w:pPr>
      <w:rPr>
        <w:rFonts w:ascii="Wingdings" w:hAnsi="Wingdings" w:hint="default"/>
      </w:rPr>
    </w:lvl>
  </w:abstractNum>
  <w:abstractNum w:abstractNumId="22" w15:restartNumberingAfterBreak="0">
    <w:nsid w:val="74C75460"/>
    <w:multiLevelType w:val="hybridMultilevel"/>
    <w:tmpl w:val="648493F2"/>
    <w:lvl w:ilvl="0" w:tplc="2C0ADC7C">
      <w:start w:val="1"/>
      <w:numFmt w:val="bullet"/>
      <w:lvlText w:val=""/>
      <w:lvlJc w:val="right"/>
      <w:pPr>
        <w:ind w:left="840" w:hanging="360"/>
      </w:pPr>
      <w:rPr>
        <w:rFonts w:ascii="Symbol" w:hAnsi="Symbol" w:hint="default"/>
        <w:sz w:val="16"/>
      </w:rPr>
    </w:lvl>
    <w:lvl w:ilvl="1" w:tplc="45727A76" w:tentative="1">
      <w:start w:val="1"/>
      <w:numFmt w:val="bullet"/>
      <w:lvlText w:val="o"/>
      <w:lvlJc w:val="left"/>
      <w:pPr>
        <w:ind w:left="1560" w:hanging="360"/>
      </w:pPr>
      <w:rPr>
        <w:rFonts w:ascii="Courier New" w:hAnsi="Courier New" w:cs="Courier New" w:hint="default"/>
      </w:rPr>
    </w:lvl>
    <w:lvl w:ilvl="2" w:tplc="A332200E" w:tentative="1">
      <w:start w:val="1"/>
      <w:numFmt w:val="bullet"/>
      <w:lvlText w:val=""/>
      <w:lvlJc w:val="left"/>
      <w:pPr>
        <w:ind w:left="2280" w:hanging="360"/>
      </w:pPr>
      <w:rPr>
        <w:rFonts w:ascii="Wingdings" w:hAnsi="Wingdings" w:hint="default"/>
      </w:rPr>
    </w:lvl>
    <w:lvl w:ilvl="3" w:tplc="4296059C" w:tentative="1">
      <w:start w:val="1"/>
      <w:numFmt w:val="bullet"/>
      <w:lvlText w:val=""/>
      <w:lvlJc w:val="left"/>
      <w:pPr>
        <w:ind w:left="3000" w:hanging="360"/>
      </w:pPr>
      <w:rPr>
        <w:rFonts w:ascii="Symbol" w:hAnsi="Symbol" w:hint="default"/>
      </w:rPr>
    </w:lvl>
    <w:lvl w:ilvl="4" w:tplc="7660D22E" w:tentative="1">
      <w:start w:val="1"/>
      <w:numFmt w:val="bullet"/>
      <w:lvlText w:val="o"/>
      <w:lvlJc w:val="left"/>
      <w:pPr>
        <w:ind w:left="3720" w:hanging="360"/>
      </w:pPr>
      <w:rPr>
        <w:rFonts w:ascii="Courier New" w:hAnsi="Courier New" w:cs="Courier New" w:hint="default"/>
      </w:rPr>
    </w:lvl>
    <w:lvl w:ilvl="5" w:tplc="B56EC8F8" w:tentative="1">
      <w:start w:val="1"/>
      <w:numFmt w:val="bullet"/>
      <w:lvlText w:val=""/>
      <w:lvlJc w:val="left"/>
      <w:pPr>
        <w:ind w:left="4440" w:hanging="360"/>
      </w:pPr>
      <w:rPr>
        <w:rFonts w:ascii="Wingdings" w:hAnsi="Wingdings" w:hint="default"/>
      </w:rPr>
    </w:lvl>
    <w:lvl w:ilvl="6" w:tplc="4C1057E0" w:tentative="1">
      <w:start w:val="1"/>
      <w:numFmt w:val="bullet"/>
      <w:lvlText w:val=""/>
      <w:lvlJc w:val="left"/>
      <w:pPr>
        <w:ind w:left="5160" w:hanging="360"/>
      </w:pPr>
      <w:rPr>
        <w:rFonts w:ascii="Symbol" w:hAnsi="Symbol" w:hint="default"/>
      </w:rPr>
    </w:lvl>
    <w:lvl w:ilvl="7" w:tplc="96108F52" w:tentative="1">
      <w:start w:val="1"/>
      <w:numFmt w:val="bullet"/>
      <w:lvlText w:val="o"/>
      <w:lvlJc w:val="left"/>
      <w:pPr>
        <w:ind w:left="5880" w:hanging="360"/>
      </w:pPr>
      <w:rPr>
        <w:rFonts w:ascii="Courier New" w:hAnsi="Courier New" w:cs="Courier New" w:hint="default"/>
      </w:rPr>
    </w:lvl>
    <w:lvl w:ilvl="8" w:tplc="E402D822" w:tentative="1">
      <w:start w:val="1"/>
      <w:numFmt w:val="bullet"/>
      <w:lvlText w:val=""/>
      <w:lvlJc w:val="left"/>
      <w:pPr>
        <w:ind w:left="6600" w:hanging="360"/>
      </w:pPr>
      <w:rPr>
        <w:rFonts w:ascii="Wingdings" w:hAnsi="Wingdings" w:hint="default"/>
      </w:rPr>
    </w:lvl>
  </w:abstractNum>
  <w:abstractNum w:abstractNumId="23" w15:restartNumberingAfterBreak="0">
    <w:nsid w:val="76130122"/>
    <w:multiLevelType w:val="hybridMultilevel"/>
    <w:tmpl w:val="2DB4CBC0"/>
    <w:lvl w:ilvl="0" w:tplc="979CC43A">
      <w:start w:val="1"/>
      <w:numFmt w:val="bullet"/>
      <w:lvlText w:val=""/>
      <w:lvlJc w:val="left"/>
      <w:pPr>
        <w:ind w:left="1332" w:hanging="360"/>
      </w:pPr>
      <w:rPr>
        <w:rFonts w:ascii="Wingdings" w:hAnsi="Wingdings" w:hint="default"/>
      </w:rPr>
    </w:lvl>
    <w:lvl w:ilvl="1" w:tplc="5B3A310A">
      <w:start w:val="1"/>
      <w:numFmt w:val="bullet"/>
      <w:lvlText w:val=""/>
      <w:lvlJc w:val="left"/>
      <w:pPr>
        <w:ind w:left="2052" w:hanging="360"/>
      </w:pPr>
      <w:rPr>
        <w:rFonts w:ascii="Wingdings" w:hAnsi="Wingdings" w:hint="default"/>
      </w:rPr>
    </w:lvl>
    <w:lvl w:ilvl="2" w:tplc="9438C59A" w:tentative="1">
      <w:start w:val="1"/>
      <w:numFmt w:val="bullet"/>
      <w:lvlText w:val=""/>
      <w:lvlJc w:val="left"/>
      <w:pPr>
        <w:ind w:left="2772" w:hanging="360"/>
      </w:pPr>
      <w:rPr>
        <w:rFonts w:ascii="Wingdings" w:hAnsi="Wingdings" w:hint="default"/>
      </w:rPr>
    </w:lvl>
    <w:lvl w:ilvl="3" w:tplc="58D68BDC" w:tentative="1">
      <w:start w:val="1"/>
      <w:numFmt w:val="bullet"/>
      <w:lvlText w:val=""/>
      <w:lvlJc w:val="left"/>
      <w:pPr>
        <w:ind w:left="3492" w:hanging="360"/>
      </w:pPr>
      <w:rPr>
        <w:rFonts w:ascii="Symbol" w:hAnsi="Symbol" w:hint="default"/>
      </w:rPr>
    </w:lvl>
    <w:lvl w:ilvl="4" w:tplc="222EC4D0" w:tentative="1">
      <w:start w:val="1"/>
      <w:numFmt w:val="bullet"/>
      <w:lvlText w:val="o"/>
      <w:lvlJc w:val="left"/>
      <w:pPr>
        <w:ind w:left="4212" w:hanging="360"/>
      </w:pPr>
      <w:rPr>
        <w:rFonts w:ascii="Courier New" w:hAnsi="Courier New" w:cs="Courier New" w:hint="default"/>
      </w:rPr>
    </w:lvl>
    <w:lvl w:ilvl="5" w:tplc="0204C1D0" w:tentative="1">
      <w:start w:val="1"/>
      <w:numFmt w:val="bullet"/>
      <w:lvlText w:val=""/>
      <w:lvlJc w:val="left"/>
      <w:pPr>
        <w:ind w:left="4932" w:hanging="360"/>
      </w:pPr>
      <w:rPr>
        <w:rFonts w:ascii="Wingdings" w:hAnsi="Wingdings" w:hint="default"/>
      </w:rPr>
    </w:lvl>
    <w:lvl w:ilvl="6" w:tplc="C32E72A2" w:tentative="1">
      <w:start w:val="1"/>
      <w:numFmt w:val="bullet"/>
      <w:lvlText w:val=""/>
      <w:lvlJc w:val="left"/>
      <w:pPr>
        <w:ind w:left="5652" w:hanging="360"/>
      </w:pPr>
      <w:rPr>
        <w:rFonts w:ascii="Symbol" w:hAnsi="Symbol" w:hint="default"/>
      </w:rPr>
    </w:lvl>
    <w:lvl w:ilvl="7" w:tplc="2C7259C2" w:tentative="1">
      <w:start w:val="1"/>
      <w:numFmt w:val="bullet"/>
      <w:lvlText w:val="o"/>
      <w:lvlJc w:val="left"/>
      <w:pPr>
        <w:ind w:left="6372" w:hanging="360"/>
      </w:pPr>
      <w:rPr>
        <w:rFonts w:ascii="Courier New" w:hAnsi="Courier New" w:cs="Courier New" w:hint="default"/>
      </w:rPr>
    </w:lvl>
    <w:lvl w:ilvl="8" w:tplc="D520B272" w:tentative="1">
      <w:start w:val="1"/>
      <w:numFmt w:val="bullet"/>
      <w:lvlText w:val=""/>
      <w:lvlJc w:val="left"/>
      <w:pPr>
        <w:ind w:left="7092" w:hanging="360"/>
      </w:pPr>
      <w:rPr>
        <w:rFonts w:ascii="Wingdings" w:hAnsi="Wingdings" w:hint="default"/>
      </w:rPr>
    </w:lvl>
  </w:abstractNum>
  <w:abstractNum w:abstractNumId="24" w15:restartNumberingAfterBreak="0">
    <w:nsid w:val="76322331"/>
    <w:multiLevelType w:val="hybridMultilevel"/>
    <w:tmpl w:val="B66C0548"/>
    <w:lvl w:ilvl="0" w:tplc="154C5C18">
      <w:start w:val="1"/>
      <w:numFmt w:val="bullet"/>
      <w:lvlText w:val="•"/>
      <w:lvlJc w:val="left"/>
      <w:pPr>
        <w:ind w:left="547" w:hanging="360"/>
      </w:pPr>
      <w:rPr>
        <w:rFonts w:ascii="Times New Roman" w:eastAsia="Times New Roman" w:hAnsi="Times New Roman" w:cs="Times New Roman" w:hint="default"/>
        <w:w w:val="131"/>
      </w:rPr>
    </w:lvl>
    <w:lvl w:ilvl="1" w:tplc="809EAF6C">
      <w:start w:val="1"/>
      <w:numFmt w:val="bullet"/>
      <w:lvlText w:val=""/>
      <w:lvlJc w:val="left"/>
      <w:pPr>
        <w:ind w:left="1267" w:hanging="360"/>
      </w:pPr>
      <w:rPr>
        <w:rFonts w:ascii="Wingdings" w:eastAsia="Wingdings" w:hAnsi="Wingdings" w:cs="Wingdings" w:hint="default"/>
      </w:rPr>
    </w:lvl>
    <w:lvl w:ilvl="2" w:tplc="4DB442F4" w:tentative="1">
      <w:start w:val="1"/>
      <w:numFmt w:val="bullet"/>
      <w:lvlText w:val=""/>
      <w:lvlJc w:val="left"/>
      <w:pPr>
        <w:ind w:left="1987" w:hanging="360"/>
      </w:pPr>
      <w:rPr>
        <w:rFonts w:ascii="Wingdings" w:hAnsi="Wingdings" w:hint="default"/>
      </w:rPr>
    </w:lvl>
    <w:lvl w:ilvl="3" w:tplc="12941072" w:tentative="1">
      <w:start w:val="1"/>
      <w:numFmt w:val="bullet"/>
      <w:lvlText w:val=""/>
      <w:lvlJc w:val="left"/>
      <w:pPr>
        <w:ind w:left="2707" w:hanging="360"/>
      </w:pPr>
      <w:rPr>
        <w:rFonts w:ascii="Symbol" w:hAnsi="Symbol" w:hint="default"/>
      </w:rPr>
    </w:lvl>
    <w:lvl w:ilvl="4" w:tplc="57AA67F8" w:tentative="1">
      <w:start w:val="1"/>
      <w:numFmt w:val="bullet"/>
      <w:lvlText w:val="o"/>
      <w:lvlJc w:val="left"/>
      <w:pPr>
        <w:ind w:left="3427" w:hanging="360"/>
      </w:pPr>
      <w:rPr>
        <w:rFonts w:ascii="Courier New" w:hAnsi="Courier New" w:cs="Courier New" w:hint="default"/>
      </w:rPr>
    </w:lvl>
    <w:lvl w:ilvl="5" w:tplc="1972A704" w:tentative="1">
      <w:start w:val="1"/>
      <w:numFmt w:val="bullet"/>
      <w:lvlText w:val=""/>
      <w:lvlJc w:val="left"/>
      <w:pPr>
        <w:ind w:left="4147" w:hanging="360"/>
      </w:pPr>
      <w:rPr>
        <w:rFonts w:ascii="Wingdings" w:hAnsi="Wingdings" w:hint="default"/>
      </w:rPr>
    </w:lvl>
    <w:lvl w:ilvl="6" w:tplc="B0DA152A" w:tentative="1">
      <w:start w:val="1"/>
      <w:numFmt w:val="bullet"/>
      <w:lvlText w:val=""/>
      <w:lvlJc w:val="left"/>
      <w:pPr>
        <w:ind w:left="4867" w:hanging="360"/>
      </w:pPr>
      <w:rPr>
        <w:rFonts w:ascii="Symbol" w:hAnsi="Symbol" w:hint="default"/>
      </w:rPr>
    </w:lvl>
    <w:lvl w:ilvl="7" w:tplc="427AB554" w:tentative="1">
      <w:start w:val="1"/>
      <w:numFmt w:val="bullet"/>
      <w:lvlText w:val="o"/>
      <w:lvlJc w:val="left"/>
      <w:pPr>
        <w:ind w:left="5587" w:hanging="360"/>
      </w:pPr>
      <w:rPr>
        <w:rFonts w:ascii="Courier New" w:hAnsi="Courier New" w:cs="Courier New" w:hint="default"/>
      </w:rPr>
    </w:lvl>
    <w:lvl w:ilvl="8" w:tplc="FB00E508" w:tentative="1">
      <w:start w:val="1"/>
      <w:numFmt w:val="bullet"/>
      <w:lvlText w:val=""/>
      <w:lvlJc w:val="left"/>
      <w:pPr>
        <w:ind w:left="6307" w:hanging="360"/>
      </w:pPr>
      <w:rPr>
        <w:rFonts w:ascii="Wingdings" w:hAnsi="Wingdings" w:hint="default"/>
      </w:rPr>
    </w:lvl>
  </w:abstractNum>
  <w:abstractNum w:abstractNumId="25" w15:restartNumberingAfterBreak="0">
    <w:nsid w:val="79020EC2"/>
    <w:multiLevelType w:val="hybridMultilevel"/>
    <w:tmpl w:val="BA303AF6"/>
    <w:lvl w:ilvl="0" w:tplc="AA3686AA">
      <w:start w:val="3"/>
      <w:numFmt w:val="bullet"/>
      <w:lvlText w:val="-"/>
      <w:lvlJc w:val="left"/>
      <w:pPr>
        <w:ind w:left="720" w:hanging="360"/>
      </w:pPr>
      <w:rPr>
        <w:rFonts w:ascii="Times New Roman Bold" w:hAnsi="Times New Roman Bold" w:cs="Times New Roman" w:hint="default"/>
        <w:b/>
        <w:i w:val="0"/>
      </w:rPr>
    </w:lvl>
    <w:lvl w:ilvl="1" w:tplc="934EB770">
      <w:start w:val="1"/>
      <w:numFmt w:val="bullet"/>
      <w:lvlText w:val="o"/>
      <w:lvlJc w:val="left"/>
      <w:pPr>
        <w:ind w:left="1440" w:hanging="360"/>
      </w:pPr>
      <w:rPr>
        <w:rFonts w:ascii="Courier New" w:hAnsi="Courier New" w:cs="Courier New" w:hint="default"/>
      </w:rPr>
    </w:lvl>
    <w:lvl w:ilvl="2" w:tplc="F22C32DA" w:tentative="1">
      <w:start w:val="1"/>
      <w:numFmt w:val="bullet"/>
      <w:lvlText w:val=""/>
      <w:lvlJc w:val="left"/>
      <w:pPr>
        <w:ind w:left="2160" w:hanging="360"/>
      </w:pPr>
      <w:rPr>
        <w:rFonts w:ascii="Wingdings" w:hAnsi="Wingdings" w:hint="default"/>
      </w:rPr>
    </w:lvl>
    <w:lvl w:ilvl="3" w:tplc="3A6CC504" w:tentative="1">
      <w:start w:val="1"/>
      <w:numFmt w:val="bullet"/>
      <w:lvlText w:val=""/>
      <w:lvlJc w:val="left"/>
      <w:pPr>
        <w:ind w:left="2880" w:hanging="360"/>
      </w:pPr>
      <w:rPr>
        <w:rFonts w:ascii="Symbol" w:hAnsi="Symbol" w:hint="default"/>
      </w:rPr>
    </w:lvl>
    <w:lvl w:ilvl="4" w:tplc="A67C8032" w:tentative="1">
      <w:start w:val="1"/>
      <w:numFmt w:val="bullet"/>
      <w:lvlText w:val="o"/>
      <w:lvlJc w:val="left"/>
      <w:pPr>
        <w:ind w:left="3600" w:hanging="360"/>
      </w:pPr>
      <w:rPr>
        <w:rFonts w:ascii="Courier New" w:hAnsi="Courier New" w:cs="Courier New" w:hint="default"/>
      </w:rPr>
    </w:lvl>
    <w:lvl w:ilvl="5" w:tplc="7A20902E" w:tentative="1">
      <w:start w:val="1"/>
      <w:numFmt w:val="bullet"/>
      <w:lvlText w:val=""/>
      <w:lvlJc w:val="left"/>
      <w:pPr>
        <w:ind w:left="4320" w:hanging="360"/>
      </w:pPr>
      <w:rPr>
        <w:rFonts w:ascii="Wingdings" w:hAnsi="Wingdings" w:hint="default"/>
      </w:rPr>
    </w:lvl>
    <w:lvl w:ilvl="6" w:tplc="C33EB744" w:tentative="1">
      <w:start w:val="1"/>
      <w:numFmt w:val="bullet"/>
      <w:lvlText w:val=""/>
      <w:lvlJc w:val="left"/>
      <w:pPr>
        <w:ind w:left="5040" w:hanging="360"/>
      </w:pPr>
      <w:rPr>
        <w:rFonts w:ascii="Symbol" w:hAnsi="Symbol" w:hint="default"/>
      </w:rPr>
    </w:lvl>
    <w:lvl w:ilvl="7" w:tplc="4EC41D54" w:tentative="1">
      <w:start w:val="1"/>
      <w:numFmt w:val="bullet"/>
      <w:lvlText w:val="o"/>
      <w:lvlJc w:val="left"/>
      <w:pPr>
        <w:ind w:left="5760" w:hanging="360"/>
      </w:pPr>
      <w:rPr>
        <w:rFonts w:ascii="Courier New" w:hAnsi="Courier New" w:cs="Courier New" w:hint="default"/>
      </w:rPr>
    </w:lvl>
    <w:lvl w:ilvl="8" w:tplc="6B2A8346" w:tentative="1">
      <w:start w:val="1"/>
      <w:numFmt w:val="bullet"/>
      <w:lvlText w:val=""/>
      <w:lvlJc w:val="left"/>
      <w:pPr>
        <w:ind w:left="6480" w:hanging="360"/>
      </w:pPr>
      <w:rPr>
        <w:rFonts w:ascii="Wingdings" w:hAnsi="Wingdings" w:hint="default"/>
      </w:rPr>
    </w:lvl>
  </w:abstractNum>
  <w:abstractNum w:abstractNumId="26" w15:restartNumberingAfterBreak="0">
    <w:nsid w:val="7A7C3F5A"/>
    <w:multiLevelType w:val="hybridMultilevel"/>
    <w:tmpl w:val="65B2CDCC"/>
    <w:lvl w:ilvl="0" w:tplc="0EF40154">
      <w:start w:val="1"/>
      <w:numFmt w:val="decimal"/>
      <w:lvlText w:val="%1."/>
      <w:lvlJc w:val="left"/>
      <w:pPr>
        <w:ind w:left="861" w:hanging="360"/>
      </w:pPr>
    </w:lvl>
    <w:lvl w:ilvl="1" w:tplc="6480E4E0" w:tentative="1">
      <w:start w:val="1"/>
      <w:numFmt w:val="lowerLetter"/>
      <w:lvlText w:val="%2."/>
      <w:lvlJc w:val="left"/>
      <w:pPr>
        <w:ind w:left="1581" w:hanging="360"/>
      </w:pPr>
    </w:lvl>
    <w:lvl w:ilvl="2" w:tplc="EB443A98" w:tentative="1">
      <w:start w:val="1"/>
      <w:numFmt w:val="lowerRoman"/>
      <w:lvlText w:val="%3."/>
      <w:lvlJc w:val="right"/>
      <w:pPr>
        <w:ind w:left="2301" w:hanging="180"/>
      </w:pPr>
    </w:lvl>
    <w:lvl w:ilvl="3" w:tplc="45AAE630" w:tentative="1">
      <w:start w:val="1"/>
      <w:numFmt w:val="decimal"/>
      <w:lvlText w:val="%4."/>
      <w:lvlJc w:val="left"/>
      <w:pPr>
        <w:ind w:left="3021" w:hanging="360"/>
      </w:pPr>
    </w:lvl>
    <w:lvl w:ilvl="4" w:tplc="5568E860" w:tentative="1">
      <w:start w:val="1"/>
      <w:numFmt w:val="lowerLetter"/>
      <w:lvlText w:val="%5."/>
      <w:lvlJc w:val="left"/>
      <w:pPr>
        <w:ind w:left="3741" w:hanging="360"/>
      </w:pPr>
    </w:lvl>
    <w:lvl w:ilvl="5" w:tplc="6DD8664E" w:tentative="1">
      <w:start w:val="1"/>
      <w:numFmt w:val="lowerRoman"/>
      <w:lvlText w:val="%6."/>
      <w:lvlJc w:val="right"/>
      <w:pPr>
        <w:ind w:left="4461" w:hanging="180"/>
      </w:pPr>
    </w:lvl>
    <w:lvl w:ilvl="6" w:tplc="57665086" w:tentative="1">
      <w:start w:val="1"/>
      <w:numFmt w:val="decimal"/>
      <w:lvlText w:val="%7."/>
      <w:lvlJc w:val="left"/>
      <w:pPr>
        <w:ind w:left="5181" w:hanging="360"/>
      </w:pPr>
    </w:lvl>
    <w:lvl w:ilvl="7" w:tplc="74429190" w:tentative="1">
      <w:start w:val="1"/>
      <w:numFmt w:val="lowerLetter"/>
      <w:lvlText w:val="%8."/>
      <w:lvlJc w:val="left"/>
      <w:pPr>
        <w:ind w:left="5901" w:hanging="360"/>
      </w:pPr>
    </w:lvl>
    <w:lvl w:ilvl="8" w:tplc="CECAD0EE" w:tentative="1">
      <w:start w:val="1"/>
      <w:numFmt w:val="lowerRoman"/>
      <w:lvlText w:val="%9."/>
      <w:lvlJc w:val="right"/>
      <w:pPr>
        <w:ind w:left="6621" w:hanging="180"/>
      </w:pPr>
    </w:lvl>
  </w:abstractNum>
  <w:abstractNum w:abstractNumId="27" w15:restartNumberingAfterBreak="0">
    <w:nsid w:val="7B5E08F4"/>
    <w:multiLevelType w:val="hybridMultilevel"/>
    <w:tmpl w:val="756C106A"/>
    <w:lvl w:ilvl="0" w:tplc="536CB3EA">
      <w:start w:val="1"/>
      <w:numFmt w:val="bullet"/>
      <w:lvlText w:val=""/>
      <w:lvlJc w:val="left"/>
      <w:pPr>
        <w:ind w:left="1332" w:hanging="360"/>
      </w:pPr>
      <w:rPr>
        <w:rFonts w:ascii="Wingdings" w:hAnsi="Wingdings" w:hint="default"/>
      </w:rPr>
    </w:lvl>
    <w:lvl w:ilvl="1" w:tplc="884C3476">
      <w:start w:val="1"/>
      <w:numFmt w:val="bullet"/>
      <w:lvlText w:val="o"/>
      <w:lvlJc w:val="left"/>
      <w:pPr>
        <w:ind w:left="2052" w:hanging="360"/>
      </w:pPr>
      <w:rPr>
        <w:rFonts w:ascii="Courier New" w:hAnsi="Courier New" w:cs="Courier New" w:hint="default"/>
      </w:rPr>
    </w:lvl>
    <w:lvl w:ilvl="2" w:tplc="1FE4D154" w:tentative="1">
      <w:start w:val="1"/>
      <w:numFmt w:val="bullet"/>
      <w:lvlText w:val=""/>
      <w:lvlJc w:val="left"/>
      <w:pPr>
        <w:ind w:left="2772" w:hanging="360"/>
      </w:pPr>
      <w:rPr>
        <w:rFonts w:ascii="Wingdings" w:hAnsi="Wingdings" w:hint="default"/>
      </w:rPr>
    </w:lvl>
    <w:lvl w:ilvl="3" w:tplc="43241956" w:tentative="1">
      <w:start w:val="1"/>
      <w:numFmt w:val="bullet"/>
      <w:lvlText w:val=""/>
      <w:lvlJc w:val="left"/>
      <w:pPr>
        <w:ind w:left="3492" w:hanging="360"/>
      </w:pPr>
      <w:rPr>
        <w:rFonts w:ascii="Symbol" w:hAnsi="Symbol" w:hint="default"/>
      </w:rPr>
    </w:lvl>
    <w:lvl w:ilvl="4" w:tplc="4DE82A2E" w:tentative="1">
      <w:start w:val="1"/>
      <w:numFmt w:val="bullet"/>
      <w:lvlText w:val="o"/>
      <w:lvlJc w:val="left"/>
      <w:pPr>
        <w:ind w:left="4212" w:hanging="360"/>
      </w:pPr>
      <w:rPr>
        <w:rFonts w:ascii="Courier New" w:hAnsi="Courier New" w:cs="Courier New" w:hint="default"/>
      </w:rPr>
    </w:lvl>
    <w:lvl w:ilvl="5" w:tplc="81F29BC6" w:tentative="1">
      <w:start w:val="1"/>
      <w:numFmt w:val="bullet"/>
      <w:lvlText w:val=""/>
      <w:lvlJc w:val="left"/>
      <w:pPr>
        <w:ind w:left="4932" w:hanging="360"/>
      </w:pPr>
      <w:rPr>
        <w:rFonts w:ascii="Wingdings" w:hAnsi="Wingdings" w:hint="default"/>
      </w:rPr>
    </w:lvl>
    <w:lvl w:ilvl="6" w:tplc="93A229C2" w:tentative="1">
      <w:start w:val="1"/>
      <w:numFmt w:val="bullet"/>
      <w:lvlText w:val=""/>
      <w:lvlJc w:val="left"/>
      <w:pPr>
        <w:ind w:left="5652" w:hanging="360"/>
      </w:pPr>
      <w:rPr>
        <w:rFonts w:ascii="Symbol" w:hAnsi="Symbol" w:hint="default"/>
      </w:rPr>
    </w:lvl>
    <w:lvl w:ilvl="7" w:tplc="7122ADEA" w:tentative="1">
      <w:start w:val="1"/>
      <w:numFmt w:val="bullet"/>
      <w:lvlText w:val="o"/>
      <w:lvlJc w:val="left"/>
      <w:pPr>
        <w:ind w:left="6372" w:hanging="360"/>
      </w:pPr>
      <w:rPr>
        <w:rFonts w:ascii="Courier New" w:hAnsi="Courier New" w:cs="Courier New" w:hint="default"/>
      </w:rPr>
    </w:lvl>
    <w:lvl w:ilvl="8" w:tplc="8F727656" w:tentative="1">
      <w:start w:val="1"/>
      <w:numFmt w:val="bullet"/>
      <w:lvlText w:val=""/>
      <w:lvlJc w:val="left"/>
      <w:pPr>
        <w:ind w:left="7092" w:hanging="360"/>
      </w:pPr>
      <w:rPr>
        <w:rFonts w:ascii="Wingdings" w:hAnsi="Wingdings" w:hint="default"/>
      </w:rPr>
    </w:lvl>
  </w:abstractNum>
  <w:num w:numId="1">
    <w:abstractNumId w:val="4"/>
  </w:num>
  <w:num w:numId="2">
    <w:abstractNumId w:val="6"/>
  </w:num>
  <w:num w:numId="3">
    <w:abstractNumId w:val="0"/>
  </w:num>
  <w:num w:numId="4">
    <w:abstractNumId w:val="13"/>
  </w:num>
  <w:num w:numId="5">
    <w:abstractNumId w:val="1"/>
  </w:num>
  <w:num w:numId="6">
    <w:abstractNumId w:val="22"/>
  </w:num>
  <w:num w:numId="7">
    <w:abstractNumId w:val="10"/>
  </w:num>
  <w:num w:numId="8">
    <w:abstractNumId w:val="5"/>
  </w:num>
  <w:num w:numId="9">
    <w:abstractNumId w:val="15"/>
  </w:num>
  <w:num w:numId="10">
    <w:abstractNumId w:val="2"/>
  </w:num>
  <w:num w:numId="11">
    <w:abstractNumId w:val="24"/>
  </w:num>
  <w:num w:numId="12">
    <w:abstractNumId w:val="3"/>
  </w:num>
  <w:num w:numId="13">
    <w:abstractNumId w:val="21"/>
  </w:num>
  <w:num w:numId="14">
    <w:abstractNumId w:val="27"/>
  </w:num>
  <w:num w:numId="15">
    <w:abstractNumId w:val="23"/>
  </w:num>
  <w:num w:numId="16">
    <w:abstractNumId w:val="17"/>
  </w:num>
  <w:num w:numId="17">
    <w:abstractNumId w:val="14"/>
  </w:num>
  <w:num w:numId="18">
    <w:abstractNumId w:val="7"/>
  </w:num>
  <w:num w:numId="19">
    <w:abstractNumId w:val="8"/>
  </w:num>
  <w:num w:numId="20">
    <w:abstractNumId w:val="26"/>
  </w:num>
  <w:num w:numId="21">
    <w:abstractNumId w:val="19"/>
  </w:num>
  <w:num w:numId="22">
    <w:abstractNumId w:val="11"/>
  </w:num>
  <w:num w:numId="23">
    <w:abstractNumId w:val="20"/>
  </w:num>
  <w:num w:numId="24">
    <w:abstractNumId w:val="18"/>
  </w:num>
  <w:num w:numId="25">
    <w:abstractNumId w:val="25"/>
  </w:num>
  <w:num w:numId="26">
    <w:abstractNumId w:val="12"/>
  </w:num>
  <w:num w:numId="27">
    <w:abstractNumId w:val="9"/>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0C"/>
    <w:rsid w:val="00465E08"/>
    <w:rsid w:val="00D05136"/>
    <w:rsid w:val="00F3700C"/>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B6B00C7-7FF1-4E37-A6A8-2C7585B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DAE"/>
    <w:rPr>
      <w:rFonts w:ascii="Arial" w:hAnsi="Arial"/>
      <w:sz w:val="24"/>
    </w:rPr>
  </w:style>
  <w:style w:type="paragraph" w:styleId="Heading1">
    <w:name w:val="heading 1"/>
    <w:basedOn w:val="Normal"/>
    <w:next w:val="Normal"/>
    <w:link w:val="Heading1Char"/>
    <w:uiPriority w:val="9"/>
    <w:qFormat/>
    <w:rsid w:val="009027C4"/>
    <w:pPr>
      <w:keepNext/>
      <w:numPr>
        <w:numId w:val="3"/>
      </w:numPr>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F0402F"/>
    <w:pPr>
      <w:keepNext/>
      <w:numPr>
        <w:ilvl w:val="1"/>
        <w:numId w:val="3"/>
      </w:numPr>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rsid w:val="001B3490"/>
    <w:pPr>
      <w:keepNext/>
      <w:numPr>
        <w:ilvl w:val="2"/>
        <w:numId w:val="3"/>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3"/>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3"/>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3"/>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C4"/>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F0402F"/>
    <w:rPr>
      <w:rFonts w:ascii="Arial" w:eastAsiaTheme="majorEastAsia" w:hAnsi="Arial" w:cstheme="majorBidi"/>
      <w:b/>
      <w:bCs/>
      <w:iCs/>
      <w:sz w:val="24"/>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F36B6"/>
    <w:pPr>
      <w:tabs>
        <w:tab w:val="center" w:pos="4536"/>
        <w:tab w:val="right" w:pos="9072"/>
      </w:tabs>
    </w:pPr>
  </w:style>
  <w:style w:type="character" w:customStyle="1" w:styleId="HeaderChar">
    <w:name w:val="Header Char"/>
    <w:basedOn w:val="DefaultParagraphFont"/>
    <w:link w:val="Header"/>
    <w:uiPriority w:val="99"/>
    <w:rsid w:val="000F36B6"/>
  </w:style>
  <w:style w:type="paragraph" w:styleId="Footer">
    <w:name w:val="footer"/>
    <w:basedOn w:val="Normal"/>
    <w:link w:val="FooterChar"/>
    <w:uiPriority w:val="99"/>
    <w:unhideWhenUsed/>
    <w:rsid w:val="000F36B6"/>
    <w:pPr>
      <w:tabs>
        <w:tab w:val="center" w:pos="4536"/>
        <w:tab w:val="right" w:pos="9072"/>
      </w:tabs>
    </w:pPr>
  </w:style>
  <w:style w:type="character" w:customStyle="1" w:styleId="FooterChar">
    <w:name w:val="Footer Char"/>
    <w:basedOn w:val="DefaultParagraphFont"/>
    <w:link w:val="Footer"/>
    <w:uiPriority w:val="99"/>
    <w:rsid w:val="000F36B6"/>
  </w:style>
  <w:style w:type="table" w:styleId="TableGrid">
    <w:name w:val="Table Grid"/>
    <w:basedOn w:val="TableNormal"/>
    <w:uiPriority w:val="59"/>
    <w:rsid w:val="000F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F73"/>
    <w:pPr>
      <w:ind w:left="720"/>
      <w:contextualSpacing/>
    </w:pPr>
  </w:style>
  <w:style w:type="paragraph" w:styleId="FootnoteText">
    <w:name w:val="footnote text"/>
    <w:basedOn w:val="Normal"/>
    <w:link w:val="FootnoteTextChar"/>
    <w:uiPriority w:val="99"/>
    <w:semiHidden/>
    <w:unhideWhenUsed/>
    <w:rsid w:val="00B2354B"/>
  </w:style>
  <w:style w:type="character" w:customStyle="1" w:styleId="FootnoteTextChar">
    <w:name w:val="Footnote Text Char"/>
    <w:basedOn w:val="DefaultParagraphFont"/>
    <w:link w:val="FootnoteText"/>
    <w:uiPriority w:val="99"/>
    <w:semiHidden/>
    <w:rsid w:val="00B2354B"/>
  </w:style>
  <w:style w:type="character" w:styleId="FootnoteReference">
    <w:name w:val="footnote reference"/>
    <w:basedOn w:val="DefaultParagraphFont"/>
    <w:uiPriority w:val="99"/>
    <w:semiHidden/>
    <w:unhideWhenUsed/>
    <w:rsid w:val="00B2354B"/>
    <w:rPr>
      <w:vertAlign w:val="superscript"/>
    </w:rPr>
  </w:style>
  <w:style w:type="paragraph" w:customStyle="1" w:styleId="AnhangToc">
    <w:name w:val="Anhang_Toc"/>
    <w:basedOn w:val="Normal"/>
    <w:qFormat/>
    <w:rsid w:val="001E3916"/>
    <w:pPr>
      <w:ind w:left="100"/>
    </w:pPr>
    <w:rPr>
      <w:rFonts w:eastAsia="Arial" w:cs="Arial"/>
      <w:b/>
      <w:spacing w:val="-1"/>
      <w:sz w:val="32"/>
      <w:szCs w:val="32"/>
    </w:rPr>
  </w:style>
  <w:style w:type="paragraph" w:styleId="TOC1">
    <w:name w:val="toc 1"/>
    <w:basedOn w:val="Normal"/>
    <w:next w:val="Normal"/>
    <w:autoRedefine/>
    <w:uiPriority w:val="39"/>
    <w:unhideWhenUsed/>
    <w:rsid w:val="009F6E65"/>
    <w:pPr>
      <w:spacing w:after="100"/>
    </w:pPr>
    <w:rPr>
      <w:sz w:val="22"/>
    </w:rPr>
  </w:style>
  <w:style w:type="paragraph" w:styleId="TOC2">
    <w:name w:val="toc 2"/>
    <w:basedOn w:val="Normal"/>
    <w:next w:val="Normal"/>
    <w:autoRedefine/>
    <w:uiPriority w:val="39"/>
    <w:unhideWhenUsed/>
    <w:rsid w:val="009F6E65"/>
    <w:pPr>
      <w:tabs>
        <w:tab w:val="right" w:leader="dot" w:pos="9290"/>
      </w:tabs>
      <w:spacing w:after="100"/>
      <w:ind w:left="198"/>
    </w:pPr>
    <w:rPr>
      <w:sz w:val="22"/>
    </w:rPr>
  </w:style>
  <w:style w:type="character" w:styleId="Hyperlink">
    <w:name w:val="Hyperlink"/>
    <w:basedOn w:val="DefaultParagraphFont"/>
    <w:uiPriority w:val="99"/>
    <w:unhideWhenUsed/>
    <w:rsid w:val="006F4C06"/>
    <w:rPr>
      <w:color w:val="0000FF" w:themeColor="hyperlink"/>
      <w:u w:val="single"/>
    </w:rPr>
  </w:style>
  <w:style w:type="paragraph" w:customStyle="1" w:styleId="Tabelletoc">
    <w:name w:val="Tabelle_toc"/>
    <w:basedOn w:val="Normal"/>
    <w:qFormat/>
    <w:rsid w:val="006F4C06"/>
    <w:pPr>
      <w:ind w:left="220"/>
    </w:pPr>
    <w:rPr>
      <w:rFonts w:eastAsia="Arial" w:cs="Arial"/>
      <w:b/>
      <w:spacing w:val="-1"/>
      <w:szCs w:val="24"/>
    </w:rPr>
  </w:style>
  <w:style w:type="paragraph" w:styleId="TOC3">
    <w:name w:val="toc 3"/>
    <w:basedOn w:val="Normal"/>
    <w:next w:val="Normal"/>
    <w:autoRedefine/>
    <w:uiPriority w:val="39"/>
    <w:unhideWhenUsed/>
    <w:rsid w:val="001111B7"/>
    <w:pPr>
      <w:spacing w:after="100" w:line="259" w:lineRule="auto"/>
      <w:ind w:left="440"/>
    </w:pPr>
    <w:rPr>
      <w:rFonts w:asciiTheme="minorHAnsi" w:eastAsiaTheme="minorEastAsia" w:hAnsiTheme="minorHAnsi" w:cstheme="minorBidi"/>
      <w:sz w:val="22"/>
      <w:szCs w:val="28"/>
    </w:rPr>
  </w:style>
  <w:style w:type="paragraph" w:styleId="TOC4">
    <w:name w:val="toc 4"/>
    <w:basedOn w:val="Normal"/>
    <w:next w:val="Normal"/>
    <w:autoRedefine/>
    <w:uiPriority w:val="39"/>
    <w:unhideWhenUsed/>
    <w:rsid w:val="001111B7"/>
    <w:pPr>
      <w:spacing w:after="100" w:line="259" w:lineRule="auto"/>
      <w:ind w:left="660"/>
    </w:pPr>
    <w:rPr>
      <w:rFonts w:asciiTheme="minorHAnsi" w:eastAsiaTheme="minorEastAsia" w:hAnsiTheme="minorHAnsi" w:cstheme="minorBidi"/>
      <w:sz w:val="22"/>
      <w:szCs w:val="28"/>
    </w:rPr>
  </w:style>
  <w:style w:type="paragraph" w:styleId="TOC5">
    <w:name w:val="toc 5"/>
    <w:basedOn w:val="Normal"/>
    <w:next w:val="Normal"/>
    <w:autoRedefine/>
    <w:uiPriority w:val="39"/>
    <w:unhideWhenUsed/>
    <w:rsid w:val="001111B7"/>
    <w:pPr>
      <w:spacing w:after="100" w:line="259" w:lineRule="auto"/>
      <w:ind w:left="880"/>
    </w:pPr>
    <w:rPr>
      <w:rFonts w:asciiTheme="minorHAnsi" w:eastAsiaTheme="minorEastAsia" w:hAnsiTheme="minorHAnsi" w:cstheme="minorBidi"/>
      <w:sz w:val="22"/>
      <w:szCs w:val="28"/>
    </w:rPr>
  </w:style>
  <w:style w:type="paragraph" w:styleId="TOC6">
    <w:name w:val="toc 6"/>
    <w:basedOn w:val="Normal"/>
    <w:next w:val="Normal"/>
    <w:autoRedefine/>
    <w:uiPriority w:val="39"/>
    <w:unhideWhenUsed/>
    <w:rsid w:val="001111B7"/>
    <w:pPr>
      <w:spacing w:after="100" w:line="259" w:lineRule="auto"/>
      <w:ind w:left="1100"/>
    </w:pPr>
    <w:rPr>
      <w:rFonts w:asciiTheme="minorHAnsi" w:eastAsiaTheme="minorEastAsia" w:hAnsiTheme="minorHAnsi" w:cstheme="minorBidi"/>
      <w:sz w:val="22"/>
      <w:szCs w:val="28"/>
    </w:rPr>
  </w:style>
  <w:style w:type="paragraph" w:styleId="TOC7">
    <w:name w:val="toc 7"/>
    <w:basedOn w:val="Normal"/>
    <w:next w:val="Normal"/>
    <w:autoRedefine/>
    <w:uiPriority w:val="39"/>
    <w:unhideWhenUsed/>
    <w:rsid w:val="001111B7"/>
    <w:pPr>
      <w:spacing w:after="100" w:line="259" w:lineRule="auto"/>
      <w:ind w:left="1320"/>
    </w:pPr>
    <w:rPr>
      <w:rFonts w:asciiTheme="minorHAnsi" w:eastAsiaTheme="minorEastAsia" w:hAnsiTheme="minorHAnsi" w:cstheme="minorBidi"/>
      <w:sz w:val="22"/>
      <w:szCs w:val="28"/>
    </w:rPr>
  </w:style>
  <w:style w:type="paragraph" w:styleId="TOC8">
    <w:name w:val="toc 8"/>
    <w:basedOn w:val="Normal"/>
    <w:next w:val="Normal"/>
    <w:autoRedefine/>
    <w:uiPriority w:val="39"/>
    <w:unhideWhenUsed/>
    <w:rsid w:val="001111B7"/>
    <w:pPr>
      <w:spacing w:after="100" w:line="259" w:lineRule="auto"/>
      <w:ind w:left="1540"/>
    </w:pPr>
    <w:rPr>
      <w:rFonts w:asciiTheme="minorHAnsi" w:eastAsiaTheme="minorEastAsia" w:hAnsiTheme="minorHAnsi" w:cstheme="minorBidi"/>
      <w:sz w:val="22"/>
      <w:szCs w:val="28"/>
    </w:rPr>
  </w:style>
  <w:style w:type="paragraph" w:styleId="TOC9">
    <w:name w:val="toc 9"/>
    <w:basedOn w:val="Normal"/>
    <w:next w:val="Normal"/>
    <w:autoRedefine/>
    <w:uiPriority w:val="39"/>
    <w:unhideWhenUsed/>
    <w:rsid w:val="001111B7"/>
    <w:pPr>
      <w:spacing w:after="100" w:line="259" w:lineRule="auto"/>
      <w:ind w:left="1760"/>
    </w:pPr>
    <w:rPr>
      <w:rFonts w:asciiTheme="minorHAnsi" w:eastAsiaTheme="minorEastAsia" w:hAnsiTheme="minorHAnsi" w:cstheme="minorBidi"/>
      <w:sz w:val="22"/>
      <w:szCs w:val="28"/>
    </w:rPr>
  </w:style>
  <w:style w:type="character" w:styleId="FollowedHyperlink">
    <w:name w:val="FollowedHyperlink"/>
    <w:basedOn w:val="DefaultParagraphFont"/>
    <w:uiPriority w:val="99"/>
    <w:semiHidden/>
    <w:unhideWhenUsed/>
    <w:rsid w:val="008D06C9"/>
    <w:rPr>
      <w:color w:val="800080" w:themeColor="followedHyperlink"/>
      <w:u w:val="single"/>
    </w:rPr>
  </w:style>
  <w:style w:type="paragraph" w:customStyle="1" w:styleId="Style1">
    <w:name w:val="Style1"/>
    <w:basedOn w:val="Normal"/>
    <w:qFormat/>
    <w:rsid w:val="00CD3590"/>
    <w:pPr>
      <w:ind w:left="220" w:right="175"/>
      <w:jc w:val="both"/>
    </w:pPr>
    <w:rPr>
      <w:rFonts w:eastAsia="Arial" w:cs="Arial"/>
      <w:szCs w:val="24"/>
    </w:rPr>
  </w:style>
  <w:style w:type="paragraph" w:customStyle="1" w:styleId="Style2">
    <w:name w:val="Style2"/>
    <w:basedOn w:val="Normal"/>
    <w:qFormat/>
    <w:rsid w:val="00A3784B"/>
    <w:pPr>
      <w:ind w:left="120" w:right="75"/>
      <w:jc w:val="both"/>
    </w:pPr>
    <w:rPr>
      <w:rFonts w:eastAsia="Arial" w:cs="Arial"/>
      <w:szCs w:val="24"/>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nhangA" TargetMode="External"/><Relationship Id="rId18" Type="http://schemas.openxmlformats.org/officeDocument/2006/relationships/hyperlink" Target="http://www.eba.bund.de/SharedDocs/Publikationen/DE/Infrastruktur/AllgemeineVorschriften/VVUeberwachung/21_VV_Ueberwachung.pdf" TargetMode="External"/><Relationship Id="rId3" Type="http://schemas.openxmlformats.org/officeDocument/2006/relationships/styles" Target="styles.xml"/><Relationship Id="rId21" Type="http://schemas.openxmlformats.org/officeDocument/2006/relationships/hyperlink" Target="http://www.eba.bund.de/SharedDocs/Publikationen/DE/Infrastruktur/SiGe/Leitfaden%20SiGe_23.04.2009.html" TargetMode="External"/><Relationship Id="rId7" Type="http://schemas.openxmlformats.org/officeDocument/2006/relationships/endnotes" Target="endnotes.xml"/><Relationship Id="rId12" Type="http://schemas.openxmlformats.org/officeDocument/2006/relationships/hyperlink" Target="http://heatco.ier.uni-stuttgart.de/" TargetMode="External"/><Relationship Id="rId17" Type="http://schemas.openxmlformats.org/officeDocument/2006/relationships/hyperlink" Target="http://www.eba.bund.de/SharedDocs/Publikationen/DE/Infrastruktur/AllgemeineVorschriften/VVUeberwachung/21_VV_Ueberwachung.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ba.bund.de/DE/SubNavi/Veroeffentlichungen/FM/Archiv/2015/archiv_fm_2015_node.html" TargetMode="External"/><Relationship Id="rId20" Type="http://schemas.openxmlformats.org/officeDocument/2006/relationships/hyperlink" Target="http://www.eba.bund.de/DE/HauptNavi/FahrzeugeBetrieb/EVU/SiBe/SiBe_neu/sibe_neu_no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ba.bund.de/DE/SubNavi/Veroeffentlichungen/FM/Archiv/2015/archiv_fm_2015_node.html" TargetMode="External"/><Relationship Id="rId23" Type="http://schemas.openxmlformats.org/officeDocument/2006/relationships/hyperlink" Target="Tabelle2&#196;nderungen" TargetMode="External"/><Relationship Id="rId10" Type="http://schemas.openxmlformats.org/officeDocument/2006/relationships/hyperlink" Target="http://www.eisenbahn-bundesamt.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Tabelle1Umsetz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A00E-0EDD-4C31-9C96-A43A24E0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10855</Words>
  <Characters>61875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95</cp:revision>
  <dcterms:created xsi:type="dcterms:W3CDTF">2016-11-08T09:02:00Z</dcterms:created>
  <dcterms:modified xsi:type="dcterms:W3CDTF">2017-01-03T12:47:00Z</dcterms:modified>
</cp:coreProperties>
</file>