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3DC" w:rsidRPr="00ED1F31" w:rsidRDefault="00F46E39" w:rsidP="008E2DC2">
      <w:pPr>
        <w:ind w:left="100"/>
        <w:rPr>
          <w:rFonts w:ascii="Times New Roman" w:eastAsia="Times New Roman" w:hAnsi="Times New Roman" w:cs="Times New Roman"/>
          <w:sz w:val="27"/>
          <w:szCs w:val="27"/>
        </w:rPr>
      </w:pPr>
      <w:r w:rsidRPr="00ED1F31">
        <w:rPr>
          <w:rFonts w:ascii="Times New Roman" w:eastAsia="Times New Roman" w:hAnsi="Times New Roman" w:cs="Times New Roman"/>
          <w:noProof/>
          <w:sz w:val="20"/>
          <w:szCs w:val="20"/>
          <w:lang w:val="en-US" w:eastAsia="zh-CN" w:bidi="ar-SA"/>
        </w:rPr>
        <w:drawing>
          <wp:inline distT="0" distB="0" distL="0" distR="0">
            <wp:extent cx="289560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50915"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95600" cy="971550"/>
                    </a:xfrm>
                    <a:prstGeom prst="rect">
                      <a:avLst/>
                    </a:prstGeom>
                    <a:noFill/>
                    <a:ln>
                      <a:noFill/>
                    </a:ln>
                  </pic:spPr>
                </pic:pic>
              </a:graphicData>
            </a:graphic>
          </wp:inline>
        </w:drawing>
      </w:r>
    </w:p>
    <w:p w:rsidR="008E2DC2" w:rsidRPr="00ED1F31" w:rsidRDefault="008E2DC2" w:rsidP="008E2DC2">
      <w:pPr>
        <w:spacing w:before="3600"/>
        <w:ind w:left="100"/>
        <w:rPr>
          <w:rFonts w:ascii="Times New Roman" w:eastAsia="Times New Roman" w:hAnsi="Times New Roman" w:cs="Times New Roman"/>
          <w:sz w:val="27"/>
          <w:szCs w:val="27"/>
        </w:rPr>
      </w:pPr>
    </w:p>
    <w:p w:rsidR="00A113DC" w:rsidRPr="00ED1F31" w:rsidRDefault="00F46E39" w:rsidP="002F2CF3">
      <w:pPr>
        <w:spacing w:before="27" w:line="554" w:lineRule="auto"/>
        <w:ind w:left="1440" w:right="1326" w:firstLine="8"/>
        <w:jc w:val="center"/>
        <w:rPr>
          <w:rFonts w:eastAsia="Calibri" w:cs="Calibri"/>
          <w:sz w:val="36"/>
          <w:szCs w:val="36"/>
        </w:rPr>
      </w:pPr>
      <w:r w:rsidRPr="00ED1F31">
        <w:rPr>
          <w:sz w:val="36"/>
        </w:rPr>
        <w:t>2016 Annual Safety Report by the Luxembourg Railway Authority</w:t>
      </w:r>
    </w:p>
    <w:p w:rsidR="00A113DC" w:rsidRPr="00ED1F31" w:rsidRDefault="00A113DC">
      <w:pPr>
        <w:spacing w:line="554" w:lineRule="auto"/>
        <w:rPr>
          <w:rFonts w:eastAsia="Calibri" w:cs="Calibri"/>
          <w:sz w:val="36"/>
          <w:szCs w:val="36"/>
        </w:rPr>
      </w:pPr>
    </w:p>
    <w:p w:rsidR="002F2CF3" w:rsidRPr="00ED1F31" w:rsidRDefault="002F2CF3">
      <w:pPr>
        <w:spacing w:line="554" w:lineRule="auto"/>
        <w:rPr>
          <w:rFonts w:eastAsia="Calibri" w:cs="Calibri"/>
          <w:sz w:val="36"/>
          <w:szCs w:val="36"/>
        </w:rPr>
      </w:pPr>
    </w:p>
    <w:p w:rsidR="00272D6B" w:rsidRPr="00ED1F31" w:rsidRDefault="00272D6B">
      <w:pPr>
        <w:spacing w:line="554" w:lineRule="auto"/>
        <w:rPr>
          <w:rFonts w:eastAsia="Calibri" w:cs="Calibri"/>
          <w:sz w:val="36"/>
          <w:szCs w:val="36"/>
        </w:rPr>
      </w:pPr>
    </w:p>
    <w:p w:rsidR="00272D6B" w:rsidRPr="00ED1F31" w:rsidRDefault="00272D6B">
      <w:pPr>
        <w:spacing w:line="554" w:lineRule="auto"/>
        <w:rPr>
          <w:rFonts w:eastAsia="Calibri" w:cs="Calibri"/>
          <w:sz w:val="36"/>
          <w:szCs w:val="36"/>
        </w:rPr>
      </w:pPr>
    </w:p>
    <w:p w:rsidR="00272D6B" w:rsidRPr="00ED1F31" w:rsidRDefault="00272D6B">
      <w:pPr>
        <w:spacing w:line="554" w:lineRule="auto"/>
        <w:rPr>
          <w:rFonts w:eastAsia="Calibri" w:cs="Calibri"/>
          <w:sz w:val="36"/>
          <w:szCs w:val="36"/>
        </w:rPr>
      </w:pPr>
    </w:p>
    <w:p w:rsidR="00272D6B" w:rsidRPr="00ED1F31" w:rsidRDefault="00272D6B">
      <w:pPr>
        <w:spacing w:line="554" w:lineRule="auto"/>
        <w:rPr>
          <w:rFonts w:eastAsia="Calibri" w:cs="Calibri"/>
          <w:sz w:val="36"/>
          <w:szCs w:val="36"/>
        </w:rPr>
      </w:pPr>
    </w:p>
    <w:p w:rsidR="00272D6B" w:rsidRPr="00ED1F31" w:rsidRDefault="00272D6B">
      <w:pPr>
        <w:spacing w:line="554" w:lineRule="auto"/>
        <w:rPr>
          <w:rFonts w:eastAsia="Calibri" w:cs="Calibri"/>
          <w:sz w:val="36"/>
          <w:szCs w:val="36"/>
        </w:rPr>
      </w:pPr>
    </w:p>
    <w:p w:rsidR="00272D6B" w:rsidRPr="00ED1F31" w:rsidRDefault="00272D6B">
      <w:pPr>
        <w:spacing w:line="554" w:lineRule="auto"/>
        <w:rPr>
          <w:rFonts w:eastAsia="Calibri" w:cs="Calibri"/>
          <w:sz w:val="36"/>
          <w:szCs w:val="36"/>
        </w:rPr>
        <w:sectPr w:rsidR="00272D6B" w:rsidRPr="00ED1F31" w:rsidSect="00272D6B">
          <w:footerReference w:type="default" r:id="rId9"/>
          <w:type w:val="continuous"/>
          <w:pgSz w:w="11910" w:h="16840"/>
          <w:pgMar w:top="900" w:right="1325" w:bottom="734" w:left="1339" w:header="720" w:footer="1275" w:gutter="0"/>
          <w:cols w:space="720"/>
        </w:sectPr>
      </w:pPr>
    </w:p>
    <w:p w:rsidR="00A113DC" w:rsidRPr="00ED1F31" w:rsidRDefault="00A113DC">
      <w:pPr>
        <w:spacing w:before="5"/>
        <w:rPr>
          <w:rFonts w:ascii="Times New Roman" w:eastAsia="Times New Roman" w:hAnsi="Times New Roman" w:cs="Times New Roman"/>
          <w:sz w:val="17"/>
          <w:szCs w:val="17"/>
        </w:rPr>
      </w:pPr>
    </w:p>
    <w:p w:rsidR="00E13DD9" w:rsidRPr="00ED1F31" w:rsidRDefault="00F46E39" w:rsidP="00A262EA">
      <w:pPr>
        <w:rPr>
          <w:noProof/>
        </w:rPr>
      </w:pPr>
      <w:r w:rsidRPr="00ED1F31">
        <w:rPr>
          <w:rFonts w:ascii="Times New Roman" w:hAnsi="Times New Roman"/>
          <w:b/>
          <w:color w:val="365F91" w:themeColor="accent1" w:themeShade="BF"/>
          <w:sz w:val="28"/>
        </w:rPr>
        <w:t>Table of contents</w:t>
      </w:r>
      <w:r w:rsidRPr="00ED1F31">
        <w:rPr>
          <w:rFonts w:ascii="Times New Roman" w:hAnsi="Times New Roman" w:cs="Times New Roman"/>
          <w:b/>
          <w:color w:val="365F91" w:themeColor="accent1" w:themeShade="BF"/>
          <w:sz w:val="28"/>
          <w:szCs w:val="28"/>
        </w:rPr>
        <w:fldChar w:fldCharType="begin"/>
      </w:r>
      <w:r w:rsidR="00A262EA" w:rsidRPr="00ED1F31">
        <w:rPr>
          <w:rFonts w:ascii="Times New Roman" w:hAnsi="Times New Roman" w:cs="Times New Roman"/>
          <w:b/>
          <w:color w:val="365F91" w:themeColor="accent1" w:themeShade="BF"/>
          <w:sz w:val="28"/>
          <w:szCs w:val="28"/>
        </w:rPr>
        <w:instrText xml:space="preserve"> TOC \o "1-2" \h \z \u </w:instrText>
      </w:r>
      <w:r w:rsidRPr="00ED1F31">
        <w:rPr>
          <w:rFonts w:ascii="Times New Roman" w:hAnsi="Times New Roman" w:cs="Times New Roman"/>
          <w:b/>
          <w:color w:val="365F91" w:themeColor="accent1" w:themeShade="BF"/>
          <w:sz w:val="28"/>
          <w:szCs w:val="28"/>
        </w:rPr>
        <w:fldChar w:fldCharType="separate"/>
      </w:r>
    </w:p>
    <w:p w:rsidR="00E13DD9" w:rsidRPr="00ED1F31" w:rsidRDefault="00F46E39">
      <w:pPr>
        <w:pStyle w:val="TOC1"/>
        <w:rPr>
          <w:rFonts w:asciiTheme="minorHAnsi" w:eastAsiaTheme="minorEastAsia" w:hAnsiTheme="minorHAnsi"/>
          <w:b w:val="0"/>
          <w:bCs w:val="0"/>
          <w:lang w:val="fr-LU" w:eastAsia="fr-LU" w:bidi="ar-SA"/>
        </w:rPr>
      </w:pPr>
      <w:hyperlink w:anchor="_Toc505328183" w:history="1">
        <w:r w:rsidRPr="00ED1F31">
          <w:rPr>
            <w:rStyle w:val="Hyperlink"/>
          </w:rPr>
          <w:t>A.</w:t>
        </w:r>
        <w:r w:rsidRPr="00ED1F31">
          <w:rPr>
            <w:rFonts w:asciiTheme="minorHAnsi" w:eastAsiaTheme="minorEastAsia" w:hAnsiTheme="minorHAnsi"/>
            <w:b w:val="0"/>
            <w:bCs w:val="0"/>
            <w:lang w:val="fr-LU" w:eastAsia="fr-LU" w:bidi="ar-SA"/>
          </w:rPr>
          <w:tab/>
        </w:r>
        <w:r w:rsidRPr="00ED1F31">
          <w:rPr>
            <w:rStyle w:val="Hyperlink"/>
          </w:rPr>
          <w:t>INTRODUCTION</w:t>
        </w:r>
        <w:r w:rsidRPr="00ED1F31">
          <w:rPr>
            <w:webHidden/>
          </w:rPr>
          <w:tab/>
        </w:r>
        <w:r w:rsidRPr="00ED1F31">
          <w:rPr>
            <w:webHidden/>
          </w:rPr>
          <w:fldChar w:fldCharType="begin"/>
        </w:r>
        <w:r w:rsidRPr="00ED1F31">
          <w:rPr>
            <w:webHidden/>
          </w:rPr>
          <w:instrText xml:space="preserve"> PAGEREF _Toc505328183 \h </w:instrText>
        </w:r>
        <w:r w:rsidRPr="00ED1F31">
          <w:rPr>
            <w:webHidden/>
          </w:rPr>
        </w:r>
        <w:r w:rsidRPr="00ED1F31">
          <w:rPr>
            <w:webHidden/>
          </w:rPr>
          <w:fldChar w:fldCharType="separate"/>
        </w:r>
        <w:r w:rsidRPr="00ED1F31">
          <w:rPr>
            <w:webHidden/>
          </w:rPr>
          <w:t>6</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84" w:history="1">
        <w:r w:rsidRPr="00ED1F31">
          <w:rPr>
            <w:rStyle w:val="Hyperlink"/>
            <w:u w:color="365F91"/>
          </w:rPr>
          <w:t>A.1</w:t>
        </w:r>
        <w:r w:rsidRPr="00ED1F31">
          <w:rPr>
            <w:rFonts w:asciiTheme="minorHAnsi" w:eastAsiaTheme="minorEastAsia" w:hAnsiTheme="minorHAnsi"/>
            <w:b w:val="0"/>
            <w:bCs w:val="0"/>
            <w:lang w:val="fr-LU" w:eastAsia="fr-LU" w:bidi="ar-SA"/>
          </w:rPr>
          <w:tab/>
        </w:r>
        <w:r w:rsidRPr="00ED1F31">
          <w:rPr>
            <w:rStyle w:val="Hyperlink"/>
          </w:rPr>
          <w:t>Purpose, scope and other recipients of this report</w:t>
        </w:r>
        <w:r w:rsidRPr="00ED1F31">
          <w:rPr>
            <w:webHidden/>
          </w:rPr>
          <w:tab/>
        </w:r>
        <w:r w:rsidRPr="00ED1F31">
          <w:rPr>
            <w:webHidden/>
          </w:rPr>
          <w:fldChar w:fldCharType="begin"/>
        </w:r>
        <w:r w:rsidRPr="00ED1F31">
          <w:rPr>
            <w:webHidden/>
          </w:rPr>
          <w:instrText xml:space="preserve"> PAGEREF _Toc505328184 \h </w:instrText>
        </w:r>
        <w:r w:rsidRPr="00ED1F31">
          <w:rPr>
            <w:webHidden/>
          </w:rPr>
        </w:r>
        <w:r w:rsidRPr="00ED1F31">
          <w:rPr>
            <w:webHidden/>
          </w:rPr>
          <w:fldChar w:fldCharType="separate"/>
        </w:r>
        <w:r w:rsidRPr="00ED1F31">
          <w:rPr>
            <w:webHidden/>
          </w:rPr>
          <w:t>6</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85" w:history="1">
        <w:r w:rsidRPr="00ED1F31">
          <w:rPr>
            <w:rStyle w:val="Hyperlink"/>
            <w:u w:color="365F91"/>
          </w:rPr>
          <w:t>A.2</w:t>
        </w:r>
        <w:r w:rsidRPr="00ED1F31">
          <w:rPr>
            <w:rFonts w:asciiTheme="minorHAnsi" w:eastAsiaTheme="minorEastAsia" w:hAnsiTheme="minorHAnsi"/>
            <w:b w:val="0"/>
            <w:bCs w:val="0"/>
            <w:lang w:val="fr-LU" w:eastAsia="fr-LU" w:bidi="ar-SA"/>
          </w:rPr>
          <w:tab/>
        </w:r>
        <w:r w:rsidRPr="00ED1F31">
          <w:rPr>
            <w:rStyle w:val="Hyperlink"/>
          </w:rPr>
          <w:t>Significant organisational changes affecting the NSA</w:t>
        </w:r>
        <w:r w:rsidRPr="00ED1F31">
          <w:rPr>
            <w:webHidden/>
          </w:rPr>
          <w:tab/>
        </w:r>
        <w:r w:rsidRPr="00ED1F31">
          <w:rPr>
            <w:webHidden/>
          </w:rPr>
          <w:fldChar w:fldCharType="begin"/>
        </w:r>
        <w:r w:rsidRPr="00ED1F31">
          <w:rPr>
            <w:webHidden/>
          </w:rPr>
          <w:instrText xml:space="preserve"> PAGEREF _Toc505328185 \h </w:instrText>
        </w:r>
        <w:r w:rsidRPr="00ED1F31">
          <w:rPr>
            <w:webHidden/>
          </w:rPr>
        </w:r>
        <w:r w:rsidRPr="00ED1F31">
          <w:rPr>
            <w:webHidden/>
          </w:rPr>
          <w:fldChar w:fldCharType="separate"/>
        </w:r>
        <w:r w:rsidRPr="00ED1F31">
          <w:rPr>
            <w:webHidden/>
          </w:rPr>
          <w:t>7</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186" w:history="1">
        <w:r w:rsidRPr="00ED1F31">
          <w:rPr>
            <w:rStyle w:val="Hyperlink"/>
          </w:rPr>
          <w:t>B.</w:t>
        </w:r>
        <w:r w:rsidRPr="00ED1F31">
          <w:rPr>
            <w:rFonts w:asciiTheme="minorHAnsi" w:eastAsiaTheme="minorEastAsia" w:hAnsiTheme="minorHAnsi"/>
            <w:b w:val="0"/>
            <w:bCs w:val="0"/>
            <w:lang w:val="fr-LU" w:eastAsia="fr-LU" w:bidi="ar-SA"/>
          </w:rPr>
          <w:tab/>
        </w:r>
        <w:r w:rsidRPr="00ED1F31">
          <w:rPr>
            <w:rStyle w:val="Hyperlink"/>
          </w:rPr>
          <w:t>GENERAL SAFETY AND STRATEGY PERFORMANCE</w:t>
        </w:r>
        <w:r w:rsidRPr="00ED1F31">
          <w:rPr>
            <w:webHidden/>
          </w:rPr>
          <w:tab/>
        </w:r>
        <w:r w:rsidRPr="00ED1F31">
          <w:rPr>
            <w:webHidden/>
          </w:rPr>
          <w:fldChar w:fldCharType="begin"/>
        </w:r>
        <w:r w:rsidRPr="00ED1F31">
          <w:rPr>
            <w:webHidden/>
          </w:rPr>
          <w:instrText xml:space="preserve"> PAGEREF _Toc505328186 \h </w:instrText>
        </w:r>
        <w:r w:rsidRPr="00ED1F31">
          <w:rPr>
            <w:webHidden/>
          </w:rPr>
        </w:r>
        <w:r w:rsidRPr="00ED1F31">
          <w:rPr>
            <w:webHidden/>
          </w:rPr>
          <w:fldChar w:fldCharType="separate"/>
        </w:r>
        <w:r w:rsidRPr="00ED1F31">
          <w:rPr>
            <w:webHidden/>
          </w:rPr>
          <w:t>8</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87" w:history="1">
        <w:r w:rsidRPr="00ED1F31">
          <w:rPr>
            <w:rStyle w:val="Hyperlink"/>
            <w:u w:color="365F91"/>
          </w:rPr>
          <w:t>B.1</w:t>
        </w:r>
        <w:r w:rsidRPr="00ED1F31">
          <w:rPr>
            <w:rFonts w:asciiTheme="minorHAnsi" w:eastAsiaTheme="minorEastAsia" w:hAnsiTheme="minorHAnsi"/>
            <w:b w:val="0"/>
            <w:bCs w:val="0"/>
            <w:lang w:val="fr-LU" w:eastAsia="fr-LU" w:bidi="ar-SA"/>
          </w:rPr>
          <w:tab/>
        </w:r>
        <w:r w:rsidRPr="00ED1F31">
          <w:rPr>
            <w:rStyle w:val="Hyperlink"/>
          </w:rPr>
          <w:t>Main conclusions for the year in question</w:t>
        </w:r>
        <w:r w:rsidRPr="00ED1F31">
          <w:rPr>
            <w:webHidden/>
          </w:rPr>
          <w:tab/>
        </w:r>
        <w:r w:rsidRPr="00ED1F31">
          <w:rPr>
            <w:webHidden/>
          </w:rPr>
          <w:fldChar w:fldCharType="begin"/>
        </w:r>
        <w:r w:rsidRPr="00ED1F31">
          <w:rPr>
            <w:webHidden/>
          </w:rPr>
          <w:instrText xml:space="preserve"> PAGER</w:instrText>
        </w:r>
        <w:r w:rsidRPr="00ED1F31">
          <w:rPr>
            <w:webHidden/>
          </w:rPr>
          <w:instrText xml:space="preserve">EF _Toc505328187 \h </w:instrText>
        </w:r>
        <w:r w:rsidRPr="00ED1F31">
          <w:rPr>
            <w:webHidden/>
          </w:rPr>
        </w:r>
        <w:r w:rsidRPr="00ED1F31">
          <w:rPr>
            <w:webHidden/>
          </w:rPr>
          <w:fldChar w:fldCharType="separate"/>
        </w:r>
        <w:r w:rsidRPr="00ED1F31">
          <w:rPr>
            <w:webHidden/>
          </w:rPr>
          <w:t>8</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88" w:history="1">
        <w:r w:rsidRPr="00ED1F31">
          <w:rPr>
            <w:rStyle w:val="Hyperlink"/>
            <w:u w:color="365F91"/>
          </w:rPr>
          <w:t>B.2</w:t>
        </w:r>
        <w:r w:rsidRPr="00ED1F31">
          <w:rPr>
            <w:rFonts w:asciiTheme="minorHAnsi" w:eastAsiaTheme="minorEastAsia" w:hAnsiTheme="minorHAnsi"/>
            <w:b w:val="0"/>
            <w:bCs w:val="0"/>
            <w:lang w:val="fr-LU" w:eastAsia="fr-LU" w:bidi="ar-SA"/>
          </w:rPr>
          <w:tab/>
        </w:r>
        <w:r w:rsidRPr="00ED1F31">
          <w:rPr>
            <w:rStyle w:val="Hyperlink"/>
          </w:rPr>
          <w:t>Safety strategy, programmes and initiatives</w:t>
        </w:r>
        <w:r w:rsidRPr="00ED1F31">
          <w:rPr>
            <w:webHidden/>
          </w:rPr>
          <w:tab/>
        </w:r>
        <w:r w:rsidRPr="00ED1F31">
          <w:rPr>
            <w:webHidden/>
          </w:rPr>
          <w:fldChar w:fldCharType="begin"/>
        </w:r>
        <w:r w:rsidRPr="00ED1F31">
          <w:rPr>
            <w:webHidden/>
          </w:rPr>
          <w:instrText xml:space="preserve"> PAGEREF _Toc505328188 \h </w:instrText>
        </w:r>
        <w:r w:rsidRPr="00ED1F31">
          <w:rPr>
            <w:webHidden/>
          </w:rPr>
        </w:r>
        <w:r w:rsidRPr="00ED1F31">
          <w:rPr>
            <w:webHidden/>
          </w:rPr>
          <w:fldChar w:fldCharType="separate"/>
        </w:r>
        <w:r w:rsidRPr="00ED1F31">
          <w:rPr>
            <w:webHidden/>
          </w:rPr>
          <w:t>9</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89" w:history="1">
        <w:r w:rsidRPr="00ED1F31">
          <w:rPr>
            <w:rStyle w:val="Hyperlink"/>
            <w:u w:color="365F91"/>
          </w:rPr>
          <w:t>B.3</w:t>
        </w:r>
        <w:r w:rsidRPr="00ED1F31">
          <w:rPr>
            <w:rFonts w:asciiTheme="minorHAnsi" w:eastAsiaTheme="minorEastAsia" w:hAnsiTheme="minorHAnsi"/>
            <w:b w:val="0"/>
            <w:bCs w:val="0"/>
            <w:lang w:val="fr-LU" w:eastAsia="fr-LU" w:bidi="ar-SA"/>
          </w:rPr>
          <w:tab/>
        </w:r>
        <w:r w:rsidRPr="00ED1F31">
          <w:rPr>
            <w:rStyle w:val="Hyperlink"/>
          </w:rPr>
          <w:t>Assessment of the past year</w:t>
        </w:r>
        <w:r w:rsidRPr="00ED1F31">
          <w:rPr>
            <w:webHidden/>
          </w:rPr>
          <w:tab/>
        </w:r>
        <w:r w:rsidRPr="00ED1F31">
          <w:rPr>
            <w:webHidden/>
          </w:rPr>
          <w:fldChar w:fldCharType="begin"/>
        </w:r>
        <w:r w:rsidRPr="00ED1F31">
          <w:rPr>
            <w:webHidden/>
          </w:rPr>
          <w:instrText xml:space="preserve"> PAGEREF _Toc505328189 \h </w:instrText>
        </w:r>
        <w:r w:rsidRPr="00ED1F31">
          <w:rPr>
            <w:webHidden/>
          </w:rPr>
        </w:r>
        <w:r w:rsidRPr="00ED1F31">
          <w:rPr>
            <w:webHidden/>
          </w:rPr>
          <w:fldChar w:fldCharType="separate"/>
        </w:r>
        <w:r w:rsidRPr="00ED1F31">
          <w:rPr>
            <w:webHidden/>
          </w:rPr>
          <w:t>11</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0" w:history="1">
        <w:r w:rsidRPr="00ED1F31">
          <w:rPr>
            <w:rStyle w:val="Hyperlink"/>
            <w:u w:color="365F91"/>
          </w:rPr>
          <w:t>B.4</w:t>
        </w:r>
        <w:r w:rsidRPr="00ED1F31">
          <w:rPr>
            <w:rFonts w:asciiTheme="minorHAnsi" w:eastAsiaTheme="minorEastAsia" w:hAnsiTheme="minorHAnsi"/>
            <w:b w:val="0"/>
            <w:bCs w:val="0"/>
            <w:lang w:val="fr-LU" w:eastAsia="fr-LU" w:bidi="ar-SA"/>
          </w:rPr>
          <w:tab/>
        </w:r>
        <w:r w:rsidRPr="00ED1F31">
          <w:rPr>
            <w:rStyle w:val="Hyperlink"/>
          </w:rPr>
          <w:t>Areas of interest for next year (2017)</w:t>
        </w:r>
        <w:r w:rsidRPr="00ED1F31">
          <w:rPr>
            <w:webHidden/>
          </w:rPr>
          <w:tab/>
        </w:r>
        <w:r w:rsidRPr="00ED1F31">
          <w:rPr>
            <w:webHidden/>
          </w:rPr>
          <w:fldChar w:fldCharType="begin"/>
        </w:r>
        <w:r w:rsidRPr="00ED1F31">
          <w:rPr>
            <w:webHidden/>
          </w:rPr>
          <w:instrText xml:space="preserve"> PAGEREF _Toc505328190 \h </w:instrText>
        </w:r>
        <w:r w:rsidRPr="00ED1F31">
          <w:rPr>
            <w:webHidden/>
          </w:rPr>
        </w:r>
        <w:r w:rsidRPr="00ED1F31">
          <w:rPr>
            <w:webHidden/>
          </w:rPr>
          <w:fldChar w:fldCharType="separate"/>
        </w:r>
        <w:r w:rsidRPr="00ED1F31">
          <w:rPr>
            <w:webHidden/>
          </w:rPr>
          <w:t>13</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191" w:history="1">
        <w:r w:rsidRPr="00ED1F31">
          <w:rPr>
            <w:rStyle w:val="Hyperlink"/>
          </w:rPr>
          <w:t>C.</w:t>
        </w:r>
        <w:r w:rsidRPr="00ED1F31">
          <w:rPr>
            <w:rFonts w:asciiTheme="minorHAnsi" w:eastAsiaTheme="minorEastAsia" w:hAnsiTheme="minorHAnsi"/>
            <w:b w:val="0"/>
            <w:bCs w:val="0"/>
            <w:lang w:val="fr-LU" w:eastAsia="fr-LU" w:bidi="ar-SA"/>
          </w:rPr>
          <w:tab/>
        </w:r>
        <w:r w:rsidRPr="00ED1F31">
          <w:rPr>
            <w:rStyle w:val="Hyperlink"/>
          </w:rPr>
          <w:t>SAFETY PERFORMANCE TRENDS</w:t>
        </w:r>
        <w:r w:rsidRPr="00ED1F31">
          <w:rPr>
            <w:webHidden/>
          </w:rPr>
          <w:tab/>
        </w:r>
        <w:r w:rsidRPr="00ED1F31">
          <w:rPr>
            <w:webHidden/>
          </w:rPr>
          <w:fldChar w:fldCharType="begin"/>
        </w:r>
        <w:r w:rsidRPr="00ED1F31">
          <w:rPr>
            <w:webHidden/>
          </w:rPr>
          <w:instrText xml:space="preserve"> PAGEREF _Toc505328191 \h </w:instrText>
        </w:r>
        <w:r w:rsidRPr="00ED1F31">
          <w:rPr>
            <w:webHidden/>
          </w:rPr>
        </w:r>
        <w:r w:rsidRPr="00ED1F31">
          <w:rPr>
            <w:webHidden/>
          </w:rPr>
          <w:fldChar w:fldCharType="separate"/>
        </w:r>
        <w:r w:rsidRPr="00ED1F31">
          <w:rPr>
            <w:webHidden/>
          </w:rPr>
          <w:t>14</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2" w:history="1">
        <w:r w:rsidRPr="00ED1F31">
          <w:rPr>
            <w:rStyle w:val="Hyperlink"/>
            <w:u w:color="365F91"/>
          </w:rPr>
          <w:t>C.1</w:t>
        </w:r>
        <w:r w:rsidRPr="00ED1F31">
          <w:rPr>
            <w:rFonts w:asciiTheme="minorHAnsi" w:eastAsiaTheme="minorEastAsia" w:hAnsiTheme="minorHAnsi"/>
            <w:b w:val="0"/>
            <w:bCs w:val="0"/>
            <w:lang w:val="fr-LU" w:eastAsia="fr-LU" w:bidi="ar-SA"/>
          </w:rPr>
          <w:tab/>
        </w:r>
        <w:r w:rsidRPr="00ED1F31">
          <w:rPr>
            <w:rStyle w:val="Hyperlink"/>
          </w:rPr>
          <w:t>Detailed analysis of the latest trends recorded</w:t>
        </w:r>
        <w:r w:rsidRPr="00ED1F31">
          <w:rPr>
            <w:webHidden/>
          </w:rPr>
          <w:tab/>
        </w:r>
        <w:r w:rsidRPr="00ED1F31">
          <w:rPr>
            <w:webHidden/>
          </w:rPr>
          <w:fldChar w:fldCharType="begin"/>
        </w:r>
        <w:r w:rsidRPr="00ED1F31">
          <w:rPr>
            <w:webHidden/>
          </w:rPr>
          <w:instrText xml:space="preserve"> PAGEREF _Toc505328192 \h </w:instrText>
        </w:r>
        <w:r w:rsidRPr="00ED1F31">
          <w:rPr>
            <w:webHidden/>
          </w:rPr>
        </w:r>
        <w:r w:rsidRPr="00ED1F31">
          <w:rPr>
            <w:webHidden/>
          </w:rPr>
          <w:fldChar w:fldCharType="separate"/>
        </w:r>
        <w:r w:rsidRPr="00ED1F31">
          <w:rPr>
            <w:webHidden/>
          </w:rPr>
          <w:t>14</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3" w:history="1">
        <w:r w:rsidRPr="00ED1F31">
          <w:rPr>
            <w:rStyle w:val="Hyperlink"/>
            <w:u w:color="365F91"/>
          </w:rPr>
          <w:t>C.2</w:t>
        </w:r>
        <w:r w:rsidRPr="00ED1F31">
          <w:rPr>
            <w:rFonts w:asciiTheme="minorHAnsi" w:eastAsiaTheme="minorEastAsia" w:hAnsiTheme="minorHAnsi"/>
            <w:b w:val="0"/>
            <w:bCs w:val="0"/>
            <w:lang w:val="fr-LU" w:eastAsia="fr-LU" w:bidi="ar-SA"/>
          </w:rPr>
          <w:tab/>
        </w:r>
        <w:r w:rsidRPr="00ED1F31">
          <w:rPr>
            <w:rStyle w:val="Hyperlink"/>
          </w:rPr>
          <w:t>Results of safety recommendations</w:t>
        </w:r>
        <w:r w:rsidRPr="00ED1F31">
          <w:rPr>
            <w:webHidden/>
          </w:rPr>
          <w:tab/>
        </w:r>
        <w:r w:rsidRPr="00ED1F31">
          <w:rPr>
            <w:webHidden/>
          </w:rPr>
          <w:fldChar w:fldCharType="begin"/>
        </w:r>
        <w:r w:rsidRPr="00ED1F31">
          <w:rPr>
            <w:webHidden/>
          </w:rPr>
          <w:instrText xml:space="preserve"> PAGEREF _Toc505328193 \h </w:instrText>
        </w:r>
        <w:r w:rsidRPr="00ED1F31">
          <w:rPr>
            <w:webHidden/>
          </w:rPr>
        </w:r>
        <w:r w:rsidRPr="00ED1F31">
          <w:rPr>
            <w:webHidden/>
          </w:rPr>
          <w:fldChar w:fldCharType="separate"/>
        </w:r>
        <w:r w:rsidRPr="00ED1F31">
          <w:rPr>
            <w:webHidden/>
          </w:rPr>
          <w:t>19</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4" w:history="1">
        <w:r w:rsidRPr="00ED1F31">
          <w:rPr>
            <w:rStyle w:val="Hyperlink"/>
            <w:u w:color="365F91"/>
          </w:rPr>
          <w:t>C.3</w:t>
        </w:r>
        <w:r w:rsidRPr="00ED1F31">
          <w:rPr>
            <w:rFonts w:asciiTheme="minorHAnsi" w:eastAsiaTheme="minorEastAsia" w:hAnsiTheme="minorHAnsi"/>
            <w:b w:val="0"/>
            <w:bCs w:val="0"/>
            <w:lang w:val="fr-LU" w:eastAsia="fr-LU" w:bidi="ar-SA"/>
          </w:rPr>
          <w:tab/>
        </w:r>
        <w:r w:rsidRPr="00ED1F31">
          <w:rPr>
            <w:rStyle w:val="Hyperlink"/>
          </w:rPr>
          <w:t>Implemented measures unrelated to the safety recommendations</w:t>
        </w:r>
        <w:r w:rsidRPr="00ED1F31">
          <w:rPr>
            <w:webHidden/>
          </w:rPr>
          <w:tab/>
        </w:r>
        <w:r w:rsidRPr="00ED1F31">
          <w:rPr>
            <w:webHidden/>
          </w:rPr>
          <w:fldChar w:fldCharType="begin"/>
        </w:r>
        <w:r w:rsidRPr="00ED1F31">
          <w:rPr>
            <w:webHidden/>
          </w:rPr>
          <w:instrText xml:space="preserve"> PAGEREF _Toc505328194 \h </w:instrText>
        </w:r>
        <w:r w:rsidRPr="00ED1F31">
          <w:rPr>
            <w:webHidden/>
          </w:rPr>
        </w:r>
        <w:r w:rsidRPr="00ED1F31">
          <w:rPr>
            <w:webHidden/>
          </w:rPr>
          <w:fldChar w:fldCharType="separate"/>
        </w:r>
        <w:r w:rsidRPr="00ED1F31">
          <w:rPr>
            <w:webHidden/>
          </w:rPr>
          <w:t>21</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195" w:history="1">
        <w:r w:rsidRPr="00ED1F31">
          <w:rPr>
            <w:rStyle w:val="Hyperlink"/>
          </w:rPr>
          <w:t>D.</w:t>
        </w:r>
        <w:r w:rsidRPr="00ED1F31">
          <w:rPr>
            <w:rFonts w:asciiTheme="minorHAnsi" w:eastAsiaTheme="minorEastAsia" w:hAnsiTheme="minorHAnsi"/>
            <w:b w:val="0"/>
            <w:bCs w:val="0"/>
            <w:lang w:val="fr-LU" w:eastAsia="fr-LU" w:bidi="ar-SA"/>
          </w:rPr>
          <w:tab/>
        </w:r>
        <w:r w:rsidRPr="00ED1F31">
          <w:rPr>
            <w:rStyle w:val="Hyperlink"/>
          </w:rPr>
          <w:t>SUPERVISION</w:t>
        </w:r>
        <w:r w:rsidRPr="00ED1F31">
          <w:rPr>
            <w:webHidden/>
          </w:rPr>
          <w:tab/>
        </w:r>
        <w:r w:rsidRPr="00ED1F31">
          <w:rPr>
            <w:webHidden/>
          </w:rPr>
          <w:fldChar w:fldCharType="begin"/>
        </w:r>
        <w:r w:rsidRPr="00ED1F31">
          <w:rPr>
            <w:webHidden/>
          </w:rPr>
          <w:instrText xml:space="preserve"> PAGEREF _Toc5053</w:instrText>
        </w:r>
        <w:r w:rsidRPr="00ED1F31">
          <w:rPr>
            <w:webHidden/>
          </w:rPr>
          <w:instrText xml:space="preserve">28195 \h </w:instrText>
        </w:r>
        <w:r w:rsidRPr="00ED1F31">
          <w:rPr>
            <w:webHidden/>
          </w:rPr>
        </w:r>
        <w:r w:rsidRPr="00ED1F31">
          <w:rPr>
            <w:webHidden/>
          </w:rPr>
          <w:fldChar w:fldCharType="separate"/>
        </w:r>
        <w:r w:rsidRPr="00ED1F31">
          <w:rPr>
            <w:webHidden/>
          </w:rPr>
          <w:t>25</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6" w:history="1">
        <w:r w:rsidRPr="00ED1F31">
          <w:rPr>
            <w:rStyle w:val="Hyperlink"/>
            <w:u w:color="365F91"/>
          </w:rPr>
          <w:t>D.1</w:t>
        </w:r>
        <w:r w:rsidRPr="00ED1F31">
          <w:rPr>
            <w:rFonts w:asciiTheme="minorHAnsi" w:eastAsiaTheme="minorEastAsia" w:hAnsiTheme="minorHAnsi"/>
            <w:b w:val="0"/>
            <w:bCs w:val="0"/>
            <w:lang w:val="fr-LU" w:eastAsia="fr-LU" w:bidi="ar-SA"/>
          </w:rPr>
          <w:tab/>
        </w:r>
        <w:r w:rsidRPr="00ED1F31">
          <w:rPr>
            <w:rStyle w:val="Hyperlink"/>
          </w:rPr>
          <w:t>Strategy and plan(s)</w:t>
        </w:r>
        <w:r w:rsidRPr="00ED1F31">
          <w:rPr>
            <w:webHidden/>
          </w:rPr>
          <w:tab/>
        </w:r>
        <w:r w:rsidRPr="00ED1F31">
          <w:rPr>
            <w:webHidden/>
          </w:rPr>
          <w:fldChar w:fldCharType="begin"/>
        </w:r>
        <w:r w:rsidRPr="00ED1F31">
          <w:rPr>
            <w:webHidden/>
          </w:rPr>
          <w:instrText xml:space="preserve"> PAGEREF _Toc505328196 \h </w:instrText>
        </w:r>
        <w:r w:rsidRPr="00ED1F31">
          <w:rPr>
            <w:webHidden/>
          </w:rPr>
        </w:r>
        <w:r w:rsidRPr="00ED1F31">
          <w:rPr>
            <w:webHidden/>
          </w:rPr>
          <w:fldChar w:fldCharType="separate"/>
        </w:r>
        <w:r w:rsidRPr="00ED1F31">
          <w:rPr>
            <w:webHidden/>
          </w:rPr>
          <w:t>25</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7" w:history="1">
        <w:r w:rsidRPr="00ED1F31">
          <w:rPr>
            <w:rStyle w:val="Hyperlink"/>
            <w:u w:color="365F91"/>
          </w:rPr>
          <w:t>D.2</w:t>
        </w:r>
        <w:r w:rsidRPr="00ED1F31">
          <w:rPr>
            <w:rFonts w:asciiTheme="minorHAnsi" w:eastAsiaTheme="minorEastAsia" w:hAnsiTheme="minorHAnsi"/>
            <w:b w:val="0"/>
            <w:bCs w:val="0"/>
            <w:lang w:val="fr-LU" w:eastAsia="fr-LU" w:bidi="ar-SA"/>
          </w:rPr>
          <w:tab/>
        </w:r>
        <w:r w:rsidRPr="00ED1F31">
          <w:rPr>
            <w:rStyle w:val="Hyperlink"/>
          </w:rPr>
          <w:t>Human resources</w:t>
        </w:r>
        <w:r w:rsidRPr="00ED1F31">
          <w:rPr>
            <w:webHidden/>
          </w:rPr>
          <w:tab/>
        </w:r>
        <w:r w:rsidRPr="00ED1F31">
          <w:rPr>
            <w:webHidden/>
          </w:rPr>
          <w:fldChar w:fldCharType="begin"/>
        </w:r>
        <w:r w:rsidRPr="00ED1F31">
          <w:rPr>
            <w:webHidden/>
          </w:rPr>
          <w:instrText xml:space="preserve"> PAGEREF _Toc505328197 \h </w:instrText>
        </w:r>
        <w:r w:rsidRPr="00ED1F31">
          <w:rPr>
            <w:webHidden/>
          </w:rPr>
        </w:r>
        <w:r w:rsidRPr="00ED1F31">
          <w:rPr>
            <w:webHidden/>
          </w:rPr>
          <w:fldChar w:fldCharType="separate"/>
        </w:r>
        <w:r w:rsidRPr="00ED1F31">
          <w:rPr>
            <w:webHidden/>
          </w:rPr>
          <w:t>25</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8" w:history="1">
        <w:r w:rsidRPr="00ED1F31">
          <w:rPr>
            <w:rStyle w:val="Hyperlink"/>
            <w:u w:color="365F91"/>
          </w:rPr>
          <w:t>D.3</w:t>
        </w:r>
        <w:r w:rsidRPr="00ED1F31">
          <w:rPr>
            <w:rFonts w:asciiTheme="minorHAnsi" w:eastAsiaTheme="minorEastAsia" w:hAnsiTheme="minorHAnsi"/>
            <w:b w:val="0"/>
            <w:bCs w:val="0"/>
            <w:lang w:val="fr-LU" w:eastAsia="fr-LU" w:bidi="ar-SA"/>
          </w:rPr>
          <w:tab/>
        </w:r>
        <w:r w:rsidRPr="00ED1F31">
          <w:rPr>
            <w:rStyle w:val="Hyperlink"/>
          </w:rPr>
          <w:t>Skills</w:t>
        </w:r>
        <w:r w:rsidRPr="00ED1F31">
          <w:rPr>
            <w:webHidden/>
          </w:rPr>
          <w:tab/>
        </w:r>
        <w:r w:rsidRPr="00ED1F31">
          <w:rPr>
            <w:webHidden/>
          </w:rPr>
          <w:fldChar w:fldCharType="begin"/>
        </w:r>
        <w:r w:rsidRPr="00ED1F31">
          <w:rPr>
            <w:webHidden/>
          </w:rPr>
          <w:instrText xml:space="preserve"> PAGEREF _Toc505328198 \h </w:instrText>
        </w:r>
        <w:r w:rsidRPr="00ED1F31">
          <w:rPr>
            <w:webHidden/>
          </w:rPr>
        </w:r>
        <w:r w:rsidRPr="00ED1F31">
          <w:rPr>
            <w:webHidden/>
          </w:rPr>
          <w:fldChar w:fldCharType="separate"/>
        </w:r>
        <w:r w:rsidRPr="00ED1F31">
          <w:rPr>
            <w:webHidden/>
          </w:rPr>
          <w:t>26</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199" w:history="1">
        <w:r w:rsidRPr="00ED1F31">
          <w:rPr>
            <w:rStyle w:val="Hyperlink"/>
            <w:u w:color="365F91"/>
          </w:rPr>
          <w:t>D.4</w:t>
        </w:r>
        <w:r w:rsidRPr="00ED1F31">
          <w:rPr>
            <w:rFonts w:asciiTheme="minorHAnsi" w:eastAsiaTheme="minorEastAsia" w:hAnsiTheme="minorHAnsi"/>
            <w:b w:val="0"/>
            <w:bCs w:val="0"/>
            <w:lang w:val="fr-LU" w:eastAsia="fr-LU" w:bidi="ar-SA"/>
          </w:rPr>
          <w:tab/>
        </w:r>
        <w:r w:rsidRPr="00ED1F31">
          <w:rPr>
            <w:rStyle w:val="Hyperlink"/>
          </w:rPr>
          <w:t>Decision-making</w:t>
        </w:r>
        <w:r w:rsidRPr="00ED1F31">
          <w:rPr>
            <w:webHidden/>
          </w:rPr>
          <w:tab/>
        </w:r>
        <w:r w:rsidRPr="00ED1F31">
          <w:rPr>
            <w:webHidden/>
          </w:rPr>
          <w:fldChar w:fldCharType="begin"/>
        </w:r>
        <w:r w:rsidRPr="00ED1F31">
          <w:rPr>
            <w:webHidden/>
          </w:rPr>
          <w:instrText xml:space="preserve"> PAGEREF _Toc505328199 \h </w:instrText>
        </w:r>
        <w:r w:rsidRPr="00ED1F31">
          <w:rPr>
            <w:webHidden/>
          </w:rPr>
        </w:r>
        <w:r w:rsidRPr="00ED1F31">
          <w:rPr>
            <w:webHidden/>
          </w:rPr>
          <w:fldChar w:fldCharType="separate"/>
        </w:r>
        <w:r w:rsidRPr="00ED1F31">
          <w:rPr>
            <w:webHidden/>
          </w:rPr>
          <w:t>27</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0" w:history="1">
        <w:r w:rsidRPr="00ED1F31">
          <w:rPr>
            <w:rStyle w:val="Hyperlink"/>
            <w:u w:color="365F91"/>
          </w:rPr>
          <w:t>D.5</w:t>
        </w:r>
        <w:r w:rsidRPr="00ED1F31">
          <w:rPr>
            <w:rFonts w:asciiTheme="minorHAnsi" w:eastAsiaTheme="minorEastAsia" w:hAnsiTheme="minorHAnsi"/>
            <w:b w:val="0"/>
            <w:bCs w:val="0"/>
            <w:lang w:val="fr-LU" w:eastAsia="fr-LU" w:bidi="ar-SA"/>
          </w:rPr>
          <w:tab/>
        </w:r>
        <w:r w:rsidRPr="00ED1F31">
          <w:rPr>
            <w:rStyle w:val="Hyperlink"/>
          </w:rPr>
          <w:t>Coordination and cooperation</w:t>
        </w:r>
        <w:r w:rsidRPr="00ED1F31">
          <w:rPr>
            <w:webHidden/>
          </w:rPr>
          <w:tab/>
        </w:r>
        <w:r w:rsidRPr="00ED1F31">
          <w:rPr>
            <w:webHidden/>
          </w:rPr>
          <w:fldChar w:fldCharType="begin"/>
        </w:r>
        <w:r w:rsidRPr="00ED1F31">
          <w:rPr>
            <w:webHidden/>
          </w:rPr>
          <w:instrText xml:space="preserve"> PAGEREF _Toc505328200 \h </w:instrText>
        </w:r>
        <w:r w:rsidRPr="00ED1F31">
          <w:rPr>
            <w:webHidden/>
          </w:rPr>
        </w:r>
        <w:r w:rsidRPr="00ED1F31">
          <w:rPr>
            <w:webHidden/>
          </w:rPr>
          <w:fldChar w:fldCharType="separate"/>
        </w:r>
        <w:r w:rsidRPr="00ED1F31">
          <w:rPr>
            <w:webHidden/>
          </w:rPr>
          <w:t>29</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1" w:history="1">
        <w:r w:rsidRPr="00ED1F31">
          <w:rPr>
            <w:rStyle w:val="Hyperlink"/>
            <w:u w:color="365F91"/>
          </w:rPr>
          <w:t>D.6</w:t>
        </w:r>
        <w:r w:rsidRPr="00ED1F31">
          <w:rPr>
            <w:rFonts w:asciiTheme="minorHAnsi" w:eastAsiaTheme="minorEastAsia" w:hAnsiTheme="minorHAnsi"/>
            <w:b w:val="0"/>
            <w:bCs w:val="0"/>
            <w:lang w:val="fr-LU" w:eastAsia="fr-LU" w:bidi="ar-SA"/>
          </w:rPr>
          <w:tab/>
        </w:r>
        <w:r w:rsidRPr="00ED1F31">
          <w:rPr>
            <w:rStyle w:val="Hyperlink"/>
          </w:rPr>
          <w:t>Conclusions drawn from the action taken</w:t>
        </w:r>
        <w:r w:rsidRPr="00ED1F31">
          <w:rPr>
            <w:webHidden/>
          </w:rPr>
          <w:tab/>
        </w:r>
        <w:r w:rsidRPr="00ED1F31">
          <w:rPr>
            <w:webHidden/>
          </w:rPr>
          <w:fldChar w:fldCharType="begin"/>
        </w:r>
        <w:r w:rsidRPr="00ED1F31">
          <w:rPr>
            <w:webHidden/>
          </w:rPr>
          <w:instrText xml:space="preserve"> PAGEREF _Toc505328201 \h </w:instrText>
        </w:r>
        <w:r w:rsidRPr="00ED1F31">
          <w:rPr>
            <w:webHidden/>
          </w:rPr>
        </w:r>
        <w:r w:rsidRPr="00ED1F31">
          <w:rPr>
            <w:webHidden/>
          </w:rPr>
          <w:fldChar w:fldCharType="separate"/>
        </w:r>
        <w:r w:rsidRPr="00ED1F31">
          <w:rPr>
            <w:webHidden/>
          </w:rPr>
          <w:t>29</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02" w:history="1">
        <w:r w:rsidRPr="00ED1F31">
          <w:rPr>
            <w:rStyle w:val="Hyperlink"/>
          </w:rPr>
          <w:t>E.</w:t>
        </w:r>
        <w:r w:rsidRPr="00ED1F31">
          <w:rPr>
            <w:rFonts w:asciiTheme="minorHAnsi" w:eastAsiaTheme="minorEastAsia" w:hAnsiTheme="minorHAnsi"/>
            <w:b w:val="0"/>
            <w:bCs w:val="0"/>
            <w:lang w:val="fr-LU" w:eastAsia="fr-LU" w:bidi="ar-SA"/>
          </w:rPr>
          <w:tab/>
        </w:r>
        <w:r w:rsidRPr="00ED1F31">
          <w:rPr>
            <w:rStyle w:val="Hyperlink"/>
          </w:rPr>
          <w:t>CERTIFICATION AND AUTHORISATION</w:t>
        </w:r>
        <w:r w:rsidRPr="00ED1F31">
          <w:rPr>
            <w:webHidden/>
          </w:rPr>
          <w:tab/>
        </w:r>
        <w:r w:rsidRPr="00ED1F31">
          <w:rPr>
            <w:webHidden/>
          </w:rPr>
          <w:fldChar w:fldCharType="begin"/>
        </w:r>
        <w:r w:rsidRPr="00ED1F31">
          <w:rPr>
            <w:webHidden/>
          </w:rPr>
          <w:instrText xml:space="preserve"> PAGEREF _Toc505328202 \h </w:instrText>
        </w:r>
        <w:r w:rsidRPr="00ED1F31">
          <w:rPr>
            <w:webHidden/>
          </w:rPr>
        </w:r>
        <w:r w:rsidRPr="00ED1F31">
          <w:rPr>
            <w:webHidden/>
          </w:rPr>
          <w:fldChar w:fldCharType="separate"/>
        </w:r>
        <w:r w:rsidRPr="00ED1F31">
          <w:rPr>
            <w:webHidden/>
          </w:rPr>
          <w:t>30</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3" w:history="1">
        <w:r w:rsidRPr="00ED1F31">
          <w:rPr>
            <w:rStyle w:val="Hyperlink"/>
            <w:u w:color="365F91"/>
          </w:rPr>
          <w:t>E.1</w:t>
        </w:r>
        <w:r w:rsidRPr="00ED1F31">
          <w:rPr>
            <w:rFonts w:asciiTheme="minorHAnsi" w:eastAsiaTheme="minorEastAsia" w:hAnsiTheme="minorHAnsi"/>
            <w:b w:val="0"/>
            <w:bCs w:val="0"/>
            <w:lang w:val="fr-LU" w:eastAsia="fr-LU" w:bidi="ar-SA"/>
          </w:rPr>
          <w:tab/>
        </w:r>
        <w:r w:rsidRPr="00ED1F31">
          <w:rPr>
            <w:rStyle w:val="Hyperlink"/>
          </w:rPr>
          <w:t>Guidance</w:t>
        </w:r>
        <w:r w:rsidRPr="00ED1F31">
          <w:rPr>
            <w:webHidden/>
          </w:rPr>
          <w:tab/>
        </w:r>
        <w:r w:rsidRPr="00ED1F31">
          <w:rPr>
            <w:webHidden/>
          </w:rPr>
          <w:fldChar w:fldCharType="begin"/>
        </w:r>
        <w:r w:rsidRPr="00ED1F31">
          <w:rPr>
            <w:webHidden/>
          </w:rPr>
          <w:instrText xml:space="preserve"> PAGEREF _Toc505328203 \h </w:instrText>
        </w:r>
        <w:r w:rsidRPr="00ED1F31">
          <w:rPr>
            <w:webHidden/>
          </w:rPr>
        </w:r>
        <w:r w:rsidRPr="00ED1F31">
          <w:rPr>
            <w:webHidden/>
          </w:rPr>
          <w:fldChar w:fldCharType="separate"/>
        </w:r>
        <w:r w:rsidRPr="00ED1F31">
          <w:rPr>
            <w:webHidden/>
          </w:rPr>
          <w:t>30</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4" w:history="1">
        <w:r w:rsidRPr="00ED1F31">
          <w:rPr>
            <w:rStyle w:val="Hyperlink"/>
            <w:u w:color="365F91"/>
          </w:rPr>
          <w:t>E.2</w:t>
        </w:r>
        <w:r w:rsidRPr="00ED1F31">
          <w:rPr>
            <w:rFonts w:asciiTheme="minorHAnsi" w:eastAsiaTheme="minorEastAsia" w:hAnsiTheme="minorHAnsi"/>
            <w:b w:val="0"/>
            <w:bCs w:val="0"/>
            <w:lang w:val="fr-LU" w:eastAsia="fr-LU" w:bidi="ar-SA"/>
          </w:rPr>
          <w:tab/>
        </w:r>
        <w:r w:rsidRPr="00ED1F31">
          <w:rPr>
            <w:rStyle w:val="Hyperlink"/>
          </w:rPr>
          <w:t>Contacts with other NSAs</w:t>
        </w:r>
        <w:r w:rsidRPr="00ED1F31">
          <w:rPr>
            <w:webHidden/>
          </w:rPr>
          <w:tab/>
        </w:r>
        <w:r w:rsidRPr="00ED1F31">
          <w:rPr>
            <w:webHidden/>
          </w:rPr>
          <w:fldChar w:fldCharType="begin"/>
        </w:r>
        <w:r w:rsidRPr="00ED1F31">
          <w:rPr>
            <w:webHidden/>
          </w:rPr>
          <w:instrText xml:space="preserve"> PAGEREF _Toc505328204 \h </w:instrText>
        </w:r>
        <w:r w:rsidRPr="00ED1F31">
          <w:rPr>
            <w:webHidden/>
          </w:rPr>
        </w:r>
        <w:r w:rsidRPr="00ED1F31">
          <w:rPr>
            <w:webHidden/>
          </w:rPr>
          <w:fldChar w:fldCharType="separate"/>
        </w:r>
        <w:r w:rsidRPr="00ED1F31">
          <w:rPr>
            <w:webHidden/>
          </w:rPr>
          <w:t>30</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5" w:history="1">
        <w:r w:rsidRPr="00ED1F31">
          <w:rPr>
            <w:rStyle w:val="Hyperlink"/>
            <w:u w:color="365F91"/>
          </w:rPr>
          <w:t>E.3</w:t>
        </w:r>
        <w:r w:rsidRPr="00ED1F31">
          <w:rPr>
            <w:rFonts w:asciiTheme="minorHAnsi" w:eastAsiaTheme="minorEastAsia" w:hAnsiTheme="minorHAnsi"/>
            <w:b w:val="0"/>
            <w:bCs w:val="0"/>
            <w:lang w:val="fr-LU" w:eastAsia="fr-LU" w:bidi="ar-SA"/>
          </w:rPr>
          <w:tab/>
        </w:r>
        <w:r w:rsidRPr="00ED1F31">
          <w:rPr>
            <w:rStyle w:val="Hyperlink"/>
          </w:rPr>
          <w:t>Procedural issues</w:t>
        </w:r>
        <w:r w:rsidRPr="00ED1F31">
          <w:rPr>
            <w:webHidden/>
          </w:rPr>
          <w:tab/>
        </w:r>
        <w:r w:rsidRPr="00ED1F31">
          <w:rPr>
            <w:webHidden/>
          </w:rPr>
          <w:fldChar w:fldCharType="begin"/>
        </w:r>
        <w:r w:rsidRPr="00ED1F31">
          <w:rPr>
            <w:webHidden/>
          </w:rPr>
          <w:instrText xml:space="preserve"> PAGEREF _Toc505328205 \h </w:instrText>
        </w:r>
        <w:r w:rsidRPr="00ED1F31">
          <w:rPr>
            <w:webHidden/>
          </w:rPr>
        </w:r>
        <w:r w:rsidRPr="00ED1F31">
          <w:rPr>
            <w:webHidden/>
          </w:rPr>
          <w:fldChar w:fldCharType="separate"/>
        </w:r>
        <w:r w:rsidRPr="00ED1F31">
          <w:rPr>
            <w:webHidden/>
          </w:rPr>
          <w:t>31</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6" w:history="1">
        <w:r w:rsidRPr="00ED1F31">
          <w:rPr>
            <w:rStyle w:val="Hyperlink"/>
            <w:u w:color="365F91"/>
          </w:rPr>
          <w:t>E.4</w:t>
        </w:r>
        <w:r w:rsidRPr="00ED1F31">
          <w:rPr>
            <w:rFonts w:asciiTheme="minorHAnsi" w:eastAsiaTheme="minorEastAsia" w:hAnsiTheme="minorHAnsi"/>
            <w:b w:val="0"/>
            <w:bCs w:val="0"/>
            <w:lang w:val="fr-LU" w:eastAsia="fr-LU" w:bidi="ar-SA"/>
          </w:rPr>
          <w:tab/>
        </w:r>
        <w:r w:rsidRPr="00ED1F31">
          <w:rPr>
            <w:rStyle w:val="Hyperlink"/>
          </w:rPr>
          <w:t>Response</w:t>
        </w:r>
        <w:r w:rsidRPr="00ED1F31">
          <w:rPr>
            <w:webHidden/>
          </w:rPr>
          <w:tab/>
        </w:r>
        <w:r w:rsidRPr="00ED1F31">
          <w:rPr>
            <w:webHidden/>
          </w:rPr>
          <w:fldChar w:fldCharType="begin"/>
        </w:r>
        <w:r w:rsidRPr="00ED1F31">
          <w:rPr>
            <w:webHidden/>
          </w:rPr>
          <w:instrText xml:space="preserve"> PAGEREF _Toc505328206 \h </w:instrText>
        </w:r>
        <w:r w:rsidRPr="00ED1F31">
          <w:rPr>
            <w:webHidden/>
          </w:rPr>
        </w:r>
        <w:r w:rsidRPr="00ED1F31">
          <w:rPr>
            <w:webHidden/>
          </w:rPr>
          <w:fldChar w:fldCharType="separate"/>
        </w:r>
        <w:r w:rsidRPr="00ED1F31">
          <w:rPr>
            <w:webHidden/>
          </w:rPr>
          <w:t>31</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07" w:history="1">
        <w:r w:rsidRPr="00ED1F31">
          <w:rPr>
            <w:rStyle w:val="Hyperlink"/>
          </w:rPr>
          <w:t>F.</w:t>
        </w:r>
        <w:r w:rsidRPr="00ED1F31">
          <w:rPr>
            <w:rFonts w:asciiTheme="minorHAnsi" w:eastAsiaTheme="minorEastAsia" w:hAnsiTheme="minorHAnsi"/>
            <w:b w:val="0"/>
            <w:bCs w:val="0"/>
            <w:lang w:val="fr-LU" w:eastAsia="fr-LU" w:bidi="ar-SA"/>
          </w:rPr>
          <w:tab/>
        </w:r>
        <w:r w:rsidRPr="00ED1F31">
          <w:rPr>
            <w:rStyle w:val="Hyperlink"/>
          </w:rPr>
          <w:t>CHANGES TO THE LAW</w:t>
        </w:r>
        <w:r w:rsidRPr="00ED1F31">
          <w:rPr>
            <w:webHidden/>
          </w:rPr>
          <w:tab/>
        </w:r>
        <w:r w:rsidRPr="00ED1F31">
          <w:rPr>
            <w:webHidden/>
          </w:rPr>
          <w:fldChar w:fldCharType="begin"/>
        </w:r>
        <w:r w:rsidRPr="00ED1F31">
          <w:rPr>
            <w:webHidden/>
          </w:rPr>
          <w:instrText xml:space="preserve"> PAGEREF _Toc505328207 \h </w:instrText>
        </w:r>
        <w:r w:rsidRPr="00ED1F31">
          <w:rPr>
            <w:webHidden/>
          </w:rPr>
        </w:r>
        <w:r w:rsidRPr="00ED1F31">
          <w:rPr>
            <w:webHidden/>
          </w:rPr>
          <w:fldChar w:fldCharType="separate"/>
        </w:r>
        <w:r w:rsidRPr="00ED1F31">
          <w:rPr>
            <w:webHidden/>
          </w:rPr>
          <w:t>32</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8" w:history="1">
        <w:r w:rsidRPr="00ED1F31">
          <w:rPr>
            <w:rStyle w:val="Hyperlink"/>
            <w:u w:color="365F91"/>
          </w:rPr>
          <w:t>F.1</w:t>
        </w:r>
        <w:r w:rsidRPr="00ED1F31">
          <w:rPr>
            <w:rFonts w:asciiTheme="minorHAnsi" w:eastAsiaTheme="minorEastAsia" w:hAnsiTheme="minorHAnsi"/>
            <w:b w:val="0"/>
            <w:bCs w:val="0"/>
            <w:lang w:val="fr-LU" w:eastAsia="fr-LU" w:bidi="ar-SA"/>
          </w:rPr>
          <w:tab/>
        </w:r>
        <w:r w:rsidRPr="00ED1F31">
          <w:rPr>
            <w:rStyle w:val="Hyperlink"/>
          </w:rPr>
          <w:t>Railway Safety Directive</w:t>
        </w:r>
        <w:r w:rsidRPr="00ED1F31">
          <w:rPr>
            <w:webHidden/>
          </w:rPr>
          <w:tab/>
        </w:r>
        <w:r w:rsidRPr="00ED1F31">
          <w:rPr>
            <w:webHidden/>
          </w:rPr>
          <w:fldChar w:fldCharType="begin"/>
        </w:r>
        <w:r w:rsidRPr="00ED1F31">
          <w:rPr>
            <w:webHidden/>
          </w:rPr>
          <w:instrText xml:space="preserve"> PAGEREF _Toc505328208 \h </w:instrText>
        </w:r>
        <w:r w:rsidRPr="00ED1F31">
          <w:rPr>
            <w:webHidden/>
          </w:rPr>
        </w:r>
        <w:r w:rsidRPr="00ED1F31">
          <w:rPr>
            <w:webHidden/>
          </w:rPr>
          <w:fldChar w:fldCharType="separate"/>
        </w:r>
        <w:r w:rsidRPr="00ED1F31">
          <w:rPr>
            <w:webHidden/>
          </w:rPr>
          <w:t>32</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09" w:history="1">
        <w:r w:rsidRPr="00ED1F31">
          <w:rPr>
            <w:rStyle w:val="Hyperlink"/>
            <w:u w:color="365F91"/>
          </w:rPr>
          <w:t>F.2</w:t>
        </w:r>
        <w:r w:rsidRPr="00ED1F31">
          <w:rPr>
            <w:rFonts w:asciiTheme="minorHAnsi" w:eastAsiaTheme="minorEastAsia" w:hAnsiTheme="minorHAnsi"/>
            <w:b w:val="0"/>
            <w:bCs w:val="0"/>
            <w:lang w:val="fr-LU" w:eastAsia="fr-LU" w:bidi="ar-SA"/>
          </w:rPr>
          <w:tab/>
        </w:r>
        <w:r w:rsidRPr="00ED1F31">
          <w:rPr>
            <w:rStyle w:val="Hyperlink"/>
          </w:rPr>
          <w:t>Important changes to the law and regulations</w:t>
        </w:r>
        <w:r w:rsidRPr="00ED1F31">
          <w:rPr>
            <w:webHidden/>
          </w:rPr>
          <w:tab/>
        </w:r>
        <w:r w:rsidRPr="00ED1F31">
          <w:rPr>
            <w:webHidden/>
          </w:rPr>
          <w:fldChar w:fldCharType="begin"/>
        </w:r>
        <w:r w:rsidRPr="00ED1F31">
          <w:rPr>
            <w:webHidden/>
          </w:rPr>
          <w:instrText xml:space="preserve"> PAGEREF _Toc505328209 \h </w:instrText>
        </w:r>
        <w:r w:rsidRPr="00ED1F31">
          <w:rPr>
            <w:webHidden/>
          </w:rPr>
        </w:r>
        <w:r w:rsidRPr="00ED1F31">
          <w:rPr>
            <w:webHidden/>
          </w:rPr>
          <w:fldChar w:fldCharType="separate"/>
        </w:r>
        <w:r w:rsidRPr="00ED1F31">
          <w:rPr>
            <w:webHidden/>
          </w:rPr>
          <w:t>33</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10" w:history="1">
        <w:r w:rsidRPr="00ED1F31">
          <w:rPr>
            <w:rStyle w:val="Hyperlink"/>
          </w:rPr>
          <w:t>G.</w:t>
        </w:r>
        <w:r w:rsidRPr="00ED1F31">
          <w:rPr>
            <w:rFonts w:asciiTheme="minorHAnsi" w:eastAsiaTheme="minorEastAsia" w:hAnsiTheme="minorHAnsi"/>
            <w:b w:val="0"/>
            <w:bCs w:val="0"/>
            <w:lang w:val="fr-LU" w:eastAsia="fr-LU" w:bidi="ar-SA"/>
          </w:rPr>
          <w:tab/>
        </w:r>
        <w:r w:rsidRPr="00ED1F31">
          <w:rPr>
            <w:rStyle w:val="Hyperlink"/>
          </w:rPr>
          <w:t>APPLICATION OF THE COMMON SAFETY METHOD TO RISK EVALUATION AND ASSESSMENT</w:t>
        </w:r>
        <w:r w:rsidRPr="00ED1F31">
          <w:rPr>
            <w:webHidden/>
          </w:rPr>
          <w:tab/>
        </w:r>
        <w:r w:rsidRPr="00ED1F31">
          <w:rPr>
            <w:webHidden/>
          </w:rPr>
          <w:fldChar w:fldCharType="begin"/>
        </w:r>
        <w:r w:rsidRPr="00ED1F31">
          <w:rPr>
            <w:webHidden/>
          </w:rPr>
          <w:instrText xml:space="preserve"> PAGEREF _Toc505328210 \h </w:instrText>
        </w:r>
        <w:r w:rsidRPr="00ED1F31">
          <w:rPr>
            <w:webHidden/>
          </w:rPr>
        </w:r>
        <w:r w:rsidRPr="00ED1F31">
          <w:rPr>
            <w:webHidden/>
          </w:rPr>
          <w:fldChar w:fldCharType="separate"/>
        </w:r>
        <w:r w:rsidRPr="00ED1F31">
          <w:rPr>
            <w:webHidden/>
          </w:rPr>
          <w:t>34</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11" w:history="1">
        <w:r w:rsidRPr="00ED1F31">
          <w:rPr>
            <w:rStyle w:val="Hyperlink"/>
            <w:u w:color="365F91"/>
          </w:rPr>
          <w:t>G.1</w:t>
        </w:r>
        <w:r w:rsidRPr="00ED1F31">
          <w:rPr>
            <w:rFonts w:asciiTheme="minorHAnsi" w:eastAsiaTheme="minorEastAsia" w:hAnsiTheme="minorHAnsi"/>
            <w:b w:val="0"/>
            <w:bCs w:val="0"/>
            <w:lang w:val="fr-LU" w:eastAsia="fr-LU" w:bidi="ar-SA"/>
          </w:rPr>
          <w:tab/>
        </w:r>
        <w:r w:rsidRPr="00ED1F31">
          <w:rPr>
            <w:rStyle w:val="Hyperlink"/>
          </w:rPr>
          <w:t>The National Safety Author</w:t>
        </w:r>
        <w:r w:rsidRPr="00ED1F31">
          <w:rPr>
            <w:rStyle w:val="Hyperlink"/>
          </w:rPr>
          <w:t>ity’s experience</w:t>
        </w:r>
        <w:r w:rsidRPr="00ED1F31">
          <w:rPr>
            <w:webHidden/>
          </w:rPr>
          <w:tab/>
        </w:r>
        <w:r w:rsidRPr="00ED1F31">
          <w:rPr>
            <w:webHidden/>
          </w:rPr>
          <w:fldChar w:fldCharType="begin"/>
        </w:r>
        <w:r w:rsidRPr="00ED1F31">
          <w:rPr>
            <w:webHidden/>
          </w:rPr>
          <w:instrText xml:space="preserve"> PAGEREF _Toc505328211 \h </w:instrText>
        </w:r>
        <w:r w:rsidRPr="00ED1F31">
          <w:rPr>
            <w:webHidden/>
          </w:rPr>
        </w:r>
        <w:r w:rsidRPr="00ED1F31">
          <w:rPr>
            <w:webHidden/>
          </w:rPr>
          <w:fldChar w:fldCharType="separate"/>
        </w:r>
        <w:r w:rsidRPr="00ED1F31">
          <w:rPr>
            <w:webHidden/>
          </w:rPr>
          <w:t>34</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12" w:history="1">
        <w:r w:rsidRPr="00ED1F31">
          <w:rPr>
            <w:rStyle w:val="Hyperlink"/>
            <w:u w:color="365F91"/>
          </w:rPr>
          <w:t>G.2</w:t>
        </w:r>
        <w:r w:rsidRPr="00ED1F31">
          <w:rPr>
            <w:rFonts w:asciiTheme="minorHAnsi" w:eastAsiaTheme="minorEastAsia" w:hAnsiTheme="minorHAnsi"/>
            <w:b w:val="0"/>
            <w:bCs w:val="0"/>
            <w:lang w:val="fr-LU" w:eastAsia="fr-LU" w:bidi="ar-SA"/>
          </w:rPr>
          <w:tab/>
        </w:r>
        <w:r w:rsidRPr="00ED1F31">
          <w:rPr>
            <w:rStyle w:val="Hyperlink"/>
          </w:rPr>
          <w:t>Stakeholders’ reactions</w:t>
        </w:r>
        <w:r w:rsidRPr="00ED1F31">
          <w:rPr>
            <w:webHidden/>
          </w:rPr>
          <w:tab/>
        </w:r>
        <w:r w:rsidRPr="00ED1F31">
          <w:rPr>
            <w:webHidden/>
          </w:rPr>
          <w:fldChar w:fldCharType="begin"/>
        </w:r>
        <w:r w:rsidRPr="00ED1F31">
          <w:rPr>
            <w:webHidden/>
          </w:rPr>
          <w:instrText xml:space="preserve"> PAGEREF _Toc505328212 \h </w:instrText>
        </w:r>
        <w:r w:rsidRPr="00ED1F31">
          <w:rPr>
            <w:webHidden/>
          </w:rPr>
        </w:r>
        <w:r w:rsidRPr="00ED1F31">
          <w:rPr>
            <w:webHidden/>
          </w:rPr>
          <w:fldChar w:fldCharType="separate"/>
        </w:r>
        <w:r w:rsidRPr="00ED1F31">
          <w:rPr>
            <w:webHidden/>
          </w:rPr>
          <w:t>34</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13" w:history="1">
        <w:r w:rsidRPr="00ED1F31">
          <w:rPr>
            <w:rStyle w:val="Hyperlink"/>
            <w:u w:color="365F91"/>
          </w:rPr>
          <w:t>G.3</w:t>
        </w:r>
        <w:r w:rsidRPr="00ED1F31">
          <w:rPr>
            <w:rFonts w:asciiTheme="minorHAnsi" w:eastAsiaTheme="minorEastAsia" w:hAnsiTheme="minorHAnsi"/>
            <w:b w:val="0"/>
            <w:bCs w:val="0"/>
            <w:lang w:val="fr-LU" w:eastAsia="fr-LU" w:bidi="ar-SA"/>
          </w:rPr>
          <w:tab/>
        </w:r>
        <w:r w:rsidRPr="00ED1F31">
          <w:rPr>
            <w:rStyle w:val="Hyperlink"/>
          </w:rPr>
          <w:t>Revision of the NSRs to take account of the EC Regulation on the CSM on risk evaluation and assessment</w:t>
        </w:r>
        <w:r w:rsidRPr="00ED1F31">
          <w:rPr>
            <w:webHidden/>
          </w:rPr>
          <w:tab/>
        </w:r>
        <w:r w:rsidRPr="00ED1F31">
          <w:rPr>
            <w:webHidden/>
          </w:rPr>
          <w:fldChar w:fldCharType="begin"/>
        </w:r>
        <w:r w:rsidRPr="00ED1F31">
          <w:rPr>
            <w:webHidden/>
          </w:rPr>
          <w:instrText xml:space="preserve"> PAGEREF _Toc505328213 \h </w:instrText>
        </w:r>
        <w:r w:rsidRPr="00ED1F31">
          <w:rPr>
            <w:webHidden/>
          </w:rPr>
        </w:r>
        <w:r w:rsidRPr="00ED1F31">
          <w:rPr>
            <w:webHidden/>
          </w:rPr>
          <w:fldChar w:fldCharType="separate"/>
        </w:r>
        <w:r w:rsidRPr="00ED1F31">
          <w:rPr>
            <w:webHidden/>
          </w:rPr>
          <w:t>35</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14" w:history="1">
        <w:r w:rsidRPr="00ED1F31">
          <w:rPr>
            <w:rStyle w:val="Hyperlink"/>
          </w:rPr>
          <w:t>H.</w:t>
        </w:r>
        <w:r w:rsidRPr="00ED1F31">
          <w:rPr>
            <w:rFonts w:asciiTheme="minorHAnsi" w:eastAsiaTheme="minorEastAsia" w:hAnsiTheme="minorHAnsi"/>
            <w:b w:val="0"/>
            <w:bCs w:val="0"/>
            <w:lang w:val="fr-LU" w:eastAsia="fr-LU" w:bidi="ar-SA"/>
          </w:rPr>
          <w:tab/>
        </w:r>
        <w:r w:rsidRPr="00ED1F31">
          <w:rPr>
            <w:rStyle w:val="Hyperlink"/>
          </w:rPr>
          <w:t>EXEMPTIONS FROM THE ECM CERTIFICATION SYSTEM</w:t>
        </w:r>
        <w:r w:rsidRPr="00ED1F31">
          <w:rPr>
            <w:webHidden/>
          </w:rPr>
          <w:tab/>
        </w:r>
        <w:r w:rsidRPr="00ED1F31">
          <w:rPr>
            <w:webHidden/>
          </w:rPr>
          <w:fldChar w:fldCharType="begin"/>
        </w:r>
        <w:r w:rsidRPr="00ED1F31">
          <w:rPr>
            <w:webHidden/>
          </w:rPr>
          <w:instrText xml:space="preserve"> PAGEREF _Toc505328214 \h </w:instrText>
        </w:r>
        <w:r w:rsidRPr="00ED1F31">
          <w:rPr>
            <w:webHidden/>
          </w:rPr>
        </w:r>
        <w:r w:rsidRPr="00ED1F31">
          <w:rPr>
            <w:webHidden/>
          </w:rPr>
          <w:fldChar w:fldCharType="separate"/>
        </w:r>
        <w:r w:rsidRPr="00ED1F31">
          <w:rPr>
            <w:webHidden/>
          </w:rPr>
          <w:t>35</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15" w:history="1">
        <w:r w:rsidRPr="00ED1F31">
          <w:rPr>
            <w:rStyle w:val="Hyperlink"/>
          </w:rPr>
          <w:t>ANNEX A</w:t>
        </w:r>
        <w:r w:rsidRPr="00ED1F31">
          <w:rPr>
            <w:webHidden/>
          </w:rPr>
          <w:tab/>
        </w:r>
        <w:r w:rsidRPr="00ED1F31">
          <w:rPr>
            <w:webHidden/>
          </w:rPr>
          <w:fldChar w:fldCharType="begin"/>
        </w:r>
        <w:r w:rsidRPr="00ED1F31">
          <w:rPr>
            <w:webHidden/>
          </w:rPr>
          <w:instrText xml:space="preserve"> PAGEREF _Toc505328215 \h </w:instrText>
        </w:r>
        <w:r w:rsidRPr="00ED1F31">
          <w:rPr>
            <w:webHidden/>
          </w:rPr>
        </w:r>
        <w:r w:rsidRPr="00ED1F31">
          <w:rPr>
            <w:webHidden/>
          </w:rPr>
          <w:fldChar w:fldCharType="separate"/>
        </w:r>
        <w:r w:rsidRPr="00ED1F31">
          <w:rPr>
            <w:webHidden/>
          </w:rPr>
          <w:t>36</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16" w:history="1">
        <w:r w:rsidRPr="00ED1F31">
          <w:rPr>
            <w:rStyle w:val="Hyperlink"/>
          </w:rPr>
          <w:t>COMMON SAFETY INDICATORS</w:t>
        </w:r>
        <w:r w:rsidRPr="00ED1F31">
          <w:rPr>
            <w:webHidden/>
          </w:rPr>
          <w:tab/>
        </w:r>
        <w:r w:rsidRPr="00ED1F31">
          <w:rPr>
            <w:webHidden/>
          </w:rPr>
          <w:fldChar w:fldCharType="begin"/>
        </w:r>
        <w:r w:rsidRPr="00ED1F31">
          <w:rPr>
            <w:webHidden/>
          </w:rPr>
          <w:instrText xml:space="preserve"> PAGEREF _Toc505328216 \h </w:instrText>
        </w:r>
        <w:r w:rsidRPr="00ED1F31">
          <w:rPr>
            <w:webHidden/>
          </w:rPr>
        </w:r>
        <w:r w:rsidRPr="00ED1F31">
          <w:rPr>
            <w:webHidden/>
          </w:rPr>
          <w:fldChar w:fldCharType="separate"/>
        </w:r>
        <w:r w:rsidRPr="00ED1F31">
          <w:rPr>
            <w:webHidden/>
          </w:rPr>
          <w:t>36</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17" w:history="1">
        <w:r w:rsidRPr="00ED1F31">
          <w:rPr>
            <w:rStyle w:val="Hyperlink"/>
          </w:rPr>
          <w:t>ANNEX B</w:t>
        </w:r>
        <w:r w:rsidRPr="00ED1F31">
          <w:rPr>
            <w:webHidden/>
          </w:rPr>
          <w:tab/>
        </w:r>
        <w:r w:rsidRPr="00ED1F31">
          <w:rPr>
            <w:webHidden/>
          </w:rPr>
          <w:fldChar w:fldCharType="begin"/>
        </w:r>
        <w:r w:rsidRPr="00ED1F31">
          <w:rPr>
            <w:webHidden/>
          </w:rPr>
          <w:instrText xml:space="preserve"> PAGEREF _Toc505328217 \h </w:instrText>
        </w:r>
        <w:r w:rsidRPr="00ED1F31">
          <w:rPr>
            <w:webHidden/>
          </w:rPr>
        </w:r>
        <w:r w:rsidRPr="00ED1F31">
          <w:rPr>
            <w:webHidden/>
          </w:rPr>
          <w:fldChar w:fldCharType="separate"/>
        </w:r>
        <w:r w:rsidRPr="00ED1F31">
          <w:rPr>
            <w:webHidden/>
          </w:rPr>
          <w:t>50</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18" w:history="1">
        <w:r w:rsidRPr="00ED1F31">
          <w:rPr>
            <w:rStyle w:val="Hyperlink"/>
          </w:rPr>
          <w:t>CHANGES TO LEGISLATION AND REGULATIONS – Table 1</w:t>
        </w:r>
        <w:r w:rsidRPr="00ED1F31">
          <w:rPr>
            <w:webHidden/>
          </w:rPr>
          <w:tab/>
        </w:r>
        <w:r w:rsidRPr="00ED1F31">
          <w:rPr>
            <w:webHidden/>
          </w:rPr>
          <w:fldChar w:fldCharType="begin"/>
        </w:r>
        <w:r w:rsidRPr="00ED1F31">
          <w:rPr>
            <w:webHidden/>
          </w:rPr>
          <w:instrText xml:space="preserve"> PAGEREF _Toc</w:instrText>
        </w:r>
        <w:r w:rsidRPr="00ED1F31">
          <w:rPr>
            <w:webHidden/>
          </w:rPr>
          <w:instrText xml:space="preserve">505328218 \h </w:instrText>
        </w:r>
        <w:r w:rsidRPr="00ED1F31">
          <w:rPr>
            <w:webHidden/>
          </w:rPr>
        </w:r>
        <w:r w:rsidRPr="00ED1F31">
          <w:rPr>
            <w:webHidden/>
          </w:rPr>
          <w:fldChar w:fldCharType="separate"/>
        </w:r>
        <w:r w:rsidRPr="00ED1F31">
          <w:rPr>
            <w:webHidden/>
          </w:rPr>
          <w:t>50</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19" w:history="1">
        <w:r w:rsidRPr="00ED1F31">
          <w:rPr>
            <w:rStyle w:val="Hyperlink"/>
          </w:rPr>
          <w:t>CHANGES TO LEGISLATION AND REGULATIONS – Table 2</w:t>
        </w:r>
        <w:r w:rsidRPr="00ED1F31">
          <w:rPr>
            <w:webHidden/>
          </w:rPr>
          <w:tab/>
        </w:r>
        <w:r w:rsidRPr="00ED1F31">
          <w:rPr>
            <w:webHidden/>
          </w:rPr>
          <w:fldChar w:fldCharType="begin"/>
        </w:r>
        <w:r w:rsidRPr="00ED1F31">
          <w:rPr>
            <w:webHidden/>
          </w:rPr>
          <w:instrText xml:space="preserve"> PAGEREF _Toc505328219 \h </w:instrText>
        </w:r>
        <w:r w:rsidRPr="00ED1F31">
          <w:rPr>
            <w:webHidden/>
          </w:rPr>
        </w:r>
        <w:r w:rsidRPr="00ED1F31">
          <w:rPr>
            <w:webHidden/>
          </w:rPr>
          <w:fldChar w:fldCharType="separate"/>
        </w:r>
        <w:r w:rsidRPr="00ED1F31">
          <w:rPr>
            <w:webHidden/>
          </w:rPr>
          <w:t>52</w:t>
        </w:r>
        <w:r w:rsidRPr="00ED1F31">
          <w:rPr>
            <w:webHidden/>
          </w:rPr>
          <w:fldChar w:fldCharType="end"/>
        </w:r>
      </w:hyperlink>
    </w:p>
    <w:p w:rsidR="00E13DD9" w:rsidRPr="00ED1F31" w:rsidRDefault="00F46E39">
      <w:pPr>
        <w:pStyle w:val="TOC1"/>
        <w:rPr>
          <w:rFonts w:asciiTheme="minorHAnsi" w:eastAsiaTheme="minorEastAsia" w:hAnsiTheme="minorHAnsi"/>
          <w:b w:val="0"/>
          <w:bCs w:val="0"/>
          <w:lang w:val="fr-LU" w:eastAsia="fr-LU" w:bidi="ar-SA"/>
        </w:rPr>
      </w:pPr>
      <w:hyperlink w:anchor="_Toc505328220" w:history="1">
        <w:r w:rsidRPr="00ED1F31">
          <w:rPr>
            <w:rStyle w:val="Hyperlink"/>
          </w:rPr>
          <w:t>ANNEX C</w:t>
        </w:r>
        <w:r w:rsidRPr="00ED1F31">
          <w:rPr>
            <w:webHidden/>
          </w:rPr>
          <w:tab/>
        </w:r>
        <w:r w:rsidRPr="00ED1F31">
          <w:rPr>
            <w:webHidden/>
          </w:rPr>
          <w:fldChar w:fldCharType="begin"/>
        </w:r>
        <w:r w:rsidRPr="00ED1F31">
          <w:rPr>
            <w:webHidden/>
          </w:rPr>
          <w:instrText xml:space="preserve"> PAGEREF _Toc505328220 \h </w:instrText>
        </w:r>
        <w:r w:rsidRPr="00ED1F31">
          <w:rPr>
            <w:webHidden/>
          </w:rPr>
        </w:r>
        <w:r w:rsidRPr="00ED1F31">
          <w:rPr>
            <w:webHidden/>
          </w:rPr>
          <w:fldChar w:fldCharType="separate"/>
        </w:r>
        <w:r w:rsidRPr="00ED1F31">
          <w:rPr>
            <w:webHidden/>
          </w:rPr>
          <w:t>54</w:t>
        </w:r>
        <w:r w:rsidRPr="00ED1F31">
          <w:rPr>
            <w:webHidden/>
          </w:rPr>
          <w:fldChar w:fldCharType="end"/>
        </w:r>
      </w:hyperlink>
    </w:p>
    <w:p w:rsidR="00E13DD9" w:rsidRPr="00ED1F31" w:rsidRDefault="00F46E39">
      <w:pPr>
        <w:pStyle w:val="TOC2"/>
        <w:rPr>
          <w:rFonts w:asciiTheme="minorHAnsi" w:eastAsiaTheme="minorEastAsia" w:hAnsiTheme="minorHAnsi"/>
          <w:b w:val="0"/>
          <w:bCs w:val="0"/>
          <w:lang w:val="fr-LU" w:eastAsia="fr-LU" w:bidi="ar-SA"/>
        </w:rPr>
      </w:pPr>
      <w:hyperlink w:anchor="_Toc505328221" w:history="1">
        <w:r w:rsidRPr="00ED1F31">
          <w:rPr>
            <w:rStyle w:val="Hyperlink"/>
          </w:rPr>
          <w:t>ACF FUNCTIONAL ORGAN</w:t>
        </w:r>
        <w:r w:rsidRPr="00ED1F31">
          <w:rPr>
            <w:rStyle w:val="Hyperlink"/>
          </w:rPr>
          <w:t>ISATION CHART</w:t>
        </w:r>
        <w:r w:rsidRPr="00ED1F31">
          <w:rPr>
            <w:webHidden/>
          </w:rPr>
          <w:tab/>
        </w:r>
        <w:r w:rsidRPr="00ED1F31">
          <w:rPr>
            <w:webHidden/>
          </w:rPr>
          <w:fldChar w:fldCharType="begin"/>
        </w:r>
        <w:r w:rsidRPr="00ED1F31">
          <w:rPr>
            <w:webHidden/>
          </w:rPr>
          <w:instrText xml:space="preserve"> PAGEREF _Toc505328221 \h </w:instrText>
        </w:r>
        <w:r w:rsidRPr="00ED1F31">
          <w:rPr>
            <w:webHidden/>
          </w:rPr>
        </w:r>
        <w:r w:rsidRPr="00ED1F31">
          <w:rPr>
            <w:webHidden/>
          </w:rPr>
          <w:fldChar w:fldCharType="separate"/>
        </w:r>
        <w:r w:rsidRPr="00ED1F31">
          <w:rPr>
            <w:webHidden/>
          </w:rPr>
          <w:t>54</w:t>
        </w:r>
        <w:r w:rsidRPr="00ED1F31">
          <w:rPr>
            <w:webHidden/>
          </w:rPr>
          <w:fldChar w:fldCharType="end"/>
        </w:r>
      </w:hyperlink>
    </w:p>
    <w:p w:rsidR="00CD1C98" w:rsidRPr="00ED1F31" w:rsidRDefault="00F46E39" w:rsidP="00A262EA">
      <w:pPr>
        <w:rPr>
          <w:noProof/>
        </w:rPr>
      </w:pPr>
      <w:r w:rsidRPr="00ED1F31">
        <w:rPr>
          <w:rFonts w:ascii="Times New Roman" w:eastAsia="Calibri" w:hAnsi="Times New Roman" w:cs="Times New Roman"/>
          <w:b/>
          <w:bCs/>
          <w:noProof/>
          <w:color w:val="365F91" w:themeColor="accent1" w:themeShade="BF"/>
          <w:sz w:val="28"/>
          <w:szCs w:val="28"/>
        </w:rPr>
        <w:fldChar w:fldCharType="end"/>
      </w:r>
    </w:p>
    <w:p w:rsidR="00A113DC" w:rsidRPr="00ED1F31" w:rsidRDefault="00A113DC">
      <w:pPr>
        <w:rPr>
          <w:rFonts w:eastAsia="Calibri" w:cs="Calibri"/>
        </w:rPr>
        <w:sectPr w:rsidR="00A113DC" w:rsidRPr="00ED1F31" w:rsidSect="00F23686">
          <w:footerReference w:type="default" r:id="rId10"/>
          <w:pgSz w:w="11910" w:h="16840"/>
          <w:pgMar w:top="1397" w:right="1325" w:bottom="734" w:left="1339" w:header="0" w:footer="546" w:gutter="0"/>
          <w:pgNumType w:start="3"/>
          <w:cols w:space="720"/>
        </w:sectPr>
      </w:pPr>
    </w:p>
    <w:p w:rsidR="00A113DC" w:rsidRPr="00ED1F31" w:rsidRDefault="00F46E39">
      <w:pPr>
        <w:tabs>
          <w:tab w:val="left" w:pos="9255"/>
        </w:tabs>
        <w:spacing w:before="21"/>
        <w:ind w:left="200"/>
        <w:rPr>
          <w:rFonts w:eastAsia="Calibri" w:cs="Calibri"/>
          <w:sz w:val="28"/>
          <w:szCs w:val="28"/>
        </w:rPr>
      </w:pPr>
      <w:r w:rsidRPr="00ED1F31">
        <w:rPr>
          <w:b/>
          <w:color w:val="365F91"/>
          <w:sz w:val="28"/>
          <w:shd w:val="clear" w:color="auto" w:fill="DBE5F1"/>
        </w:rPr>
        <w:t>Abbreviations</w:t>
      </w:r>
      <w:r w:rsidRPr="00ED1F31">
        <w:tab/>
      </w:r>
    </w:p>
    <w:p w:rsidR="00A113DC" w:rsidRPr="00ED1F31" w:rsidRDefault="00A113DC">
      <w:pPr>
        <w:rPr>
          <w:rFonts w:eastAsia="Calibri" w:cs="Calibri"/>
          <w:b/>
          <w:bCs/>
          <w:sz w:val="20"/>
          <w:szCs w:val="20"/>
        </w:rPr>
      </w:pPr>
    </w:p>
    <w:p w:rsidR="00A113DC" w:rsidRPr="00ED1F31" w:rsidRDefault="00A113DC">
      <w:pPr>
        <w:spacing w:before="6"/>
        <w:rPr>
          <w:rFonts w:eastAsia="Calibri" w:cs="Calibri"/>
          <w:b/>
          <w:bCs/>
          <w:szCs w:val="24"/>
        </w:rPr>
      </w:pPr>
    </w:p>
    <w:tbl>
      <w:tblPr>
        <w:tblW w:w="0" w:type="auto"/>
        <w:tblInd w:w="107" w:type="dxa"/>
        <w:tblLayout w:type="fixed"/>
        <w:tblCellMar>
          <w:left w:w="0" w:type="dxa"/>
          <w:right w:w="0" w:type="dxa"/>
        </w:tblCellMar>
        <w:tblLook w:val="01E0" w:firstRow="1" w:lastRow="1" w:firstColumn="1" w:lastColumn="1" w:noHBand="0" w:noVBand="0"/>
      </w:tblPr>
      <w:tblGrid>
        <w:gridCol w:w="1271"/>
        <w:gridCol w:w="7426"/>
      </w:tblGrid>
      <w:tr w:rsidR="00BD7B71">
        <w:trPr>
          <w:trHeight w:hRule="exact" w:val="298"/>
        </w:trPr>
        <w:tc>
          <w:tcPr>
            <w:tcW w:w="1271" w:type="dxa"/>
            <w:tcBorders>
              <w:top w:val="nil"/>
              <w:left w:val="nil"/>
              <w:bottom w:val="nil"/>
              <w:right w:val="nil"/>
            </w:tcBorders>
          </w:tcPr>
          <w:p w:rsidR="00A113DC" w:rsidRPr="00ED1F31" w:rsidRDefault="00F46E39">
            <w:pPr>
              <w:pStyle w:val="TableParagraph"/>
              <w:spacing w:line="203" w:lineRule="exact"/>
              <w:ind w:left="200"/>
              <w:rPr>
                <w:rFonts w:eastAsia="Calibri" w:cs="Calibri"/>
                <w:sz w:val="20"/>
                <w:szCs w:val="20"/>
              </w:rPr>
            </w:pPr>
            <w:r w:rsidRPr="00ED1F31">
              <w:rPr>
                <w:b/>
                <w:sz w:val="20"/>
              </w:rPr>
              <w:t>ACF</w:t>
            </w:r>
          </w:p>
        </w:tc>
        <w:tc>
          <w:tcPr>
            <w:tcW w:w="7426" w:type="dxa"/>
            <w:tcBorders>
              <w:top w:val="nil"/>
              <w:left w:val="nil"/>
              <w:bottom w:val="nil"/>
              <w:right w:val="nil"/>
            </w:tcBorders>
          </w:tcPr>
          <w:p w:rsidR="00A113DC" w:rsidRPr="00ED1F31" w:rsidRDefault="00F46E39">
            <w:pPr>
              <w:pStyle w:val="TableParagraph"/>
              <w:spacing w:line="203" w:lineRule="exact"/>
              <w:ind w:left="169"/>
              <w:rPr>
                <w:rFonts w:eastAsia="Calibri" w:cs="Calibri"/>
                <w:sz w:val="20"/>
                <w:szCs w:val="20"/>
              </w:rPr>
            </w:pPr>
            <w:r w:rsidRPr="00ED1F31">
              <w:rPr>
                <w:sz w:val="20"/>
              </w:rPr>
              <w:t>Luxembourg Railway Authority</w:t>
            </w:r>
          </w:p>
        </w:tc>
      </w:tr>
      <w:tr w:rsidR="00BD7B71">
        <w:trPr>
          <w:trHeight w:hRule="exact" w:val="396"/>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AET</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Technical Investigation</w:t>
            </w:r>
            <w:r w:rsidRPr="00ED1F31">
              <w:rPr>
                <w:sz w:val="20"/>
              </w:rPr>
              <w:t xml:space="preserve"> Administration</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NSA</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National Safety Authority</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CEM</w:t>
            </w:r>
          </w:p>
        </w:tc>
        <w:tc>
          <w:tcPr>
            <w:tcW w:w="7426" w:type="dxa"/>
            <w:tcBorders>
              <w:top w:val="nil"/>
              <w:left w:val="nil"/>
              <w:bottom w:val="nil"/>
              <w:right w:val="nil"/>
            </w:tcBorders>
          </w:tcPr>
          <w:p w:rsidR="00A113DC" w:rsidRPr="00ED1F31" w:rsidRDefault="00F46E39" w:rsidP="00EF6AC3">
            <w:pPr>
              <w:pStyle w:val="TableParagraph"/>
              <w:spacing w:before="58"/>
              <w:ind w:left="170" w:right="157"/>
              <w:rPr>
                <w:rFonts w:eastAsia="Calibri" w:cs="Calibri"/>
                <w:sz w:val="20"/>
                <w:szCs w:val="20"/>
              </w:rPr>
            </w:pPr>
            <w:r w:rsidRPr="00ED1F31">
              <w:rPr>
                <w:sz w:val="20"/>
              </w:rPr>
              <w:t>Heavy equipment driver (train driver or shunting driver)</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RSD</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Railway Safety Directive</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ECM</w:t>
            </w:r>
          </w:p>
        </w:tc>
        <w:tc>
          <w:tcPr>
            <w:tcW w:w="7426" w:type="dxa"/>
            <w:tcBorders>
              <w:top w:val="nil"/>
              <w:left w:val="nil"/>
              <w:bottom w:val="nil"/>
              <w:right w:val="nil"/>
            </w:tcBorders>
          </w:tcPr>
          <w:p w:rsidR="00A113DC" w:rsidRPr="00ED1F31" w:rsidRDefault="00F46E39">
            <w:pPr>
              <w:pStyle w:val="TableParagraph"/>
              <w:spacing w:before="58"/>
              <w:ind w:left="170"/>
              <w:rPr>
                <w:rFonts w:eastAsia="Calibri" w:cs="Calibri"/>
                <w:sz w:val="20"/>
                <w:szCs w:val="20"/>
              </w:rPr>
            </w:pPr>
            <w:r w:rsidRPr="00ED1F31">
              <w:rPr>
                <w:sz w:val="20"/>
              </w:rPr>
              <w:t>Entity in charge of maintenance</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RU</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Railway undertaking</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MS</w:t>
            </w:r>
          </w:p>
        </w:tc>
        <w:tc>
          <w:tcPr>
            <w:tcW w:w="7426" w:type="dxa"/>
            <w:tcBorders>
              <w:top w:val="nil"/>
              <w:left w:val="nil"/>
              <w:bottom w:val="nil"/>
              <w:right w:val="nil"/>
            </w:tcBorders>
          </w:tcPr>
          <w:p w:rsidR="00A113DC" w:rsidRPr="00ED1F31" w:rsidRDefault="00F46E39">
            <w:pPr>
              <w:pStyle w:val="TableParagraph"/>
              <w:spacing w:before="58"/>
              <w:ind w:left="169"/>
              <w:rPr>
                <w:rFonts w:eastAsia="Calibri" w:cs="Calibri"/>
                <w:sz w:val="20"/>
                <w:szCs w:val="20"/>
              </w:rPr>
            </w:pPr>
            <w:r w:rsidRPr="00ED1F31">
              <w:rPr>
                <w:sz w:val="20"/>
              </w:rPr>
              <w:t>Member State</w:t>
            </w:r>
          </w:p>
        </w:tc>
      </w:tr>
      <w:tr w:rsidR="00BD7B71">
        <w:trPr>
          <w:trHeight w:hRule="exact" w:val="396"/>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ERA</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European Union Agency for Railways</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ERAIL</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European Railway Accident Information Links</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ETCS</w:t>
            </w:r>
          </w:p>
        </w:tc>
        <w:tc>
          <w:tcPr>
            <w:tcW w:w="7426" w:type="dxa"/>
            <w:tcBorders>
              <w:top w:val="nil"/>
              <w:left w:val="nil"/>
              <w:bottom w:val="nil"/>
              <w:right w:val="nil"/>
            </w:tcBorders>
          </w:tcPr>
          <w:p w:rsidR="00A113DC" w:rsidRPr="00ED1F31" w:rsidRDefault="00F46E39">
            <w:pPr>
              <w:pStyle w:val="TableParagraph"/>
              <w:spacing w:before="58"/>
              <w:ind w:left="169"/>
              <w:rPr>
                <w:rFonts w:eastAsia="Calibri" w:cs="Calibri"/>
                <w:sz w:val="20"/>
                <w:szCs w:val="20"/>
              </w:rPr>
            </w:pPr>
            <w:r w:rsidRPr="00ED1F31">
              <w:rPr>
                <w:sz w:val="20"/>
              </w:rPr>
              <w:t>European Train Control System</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IM</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Infrastructure manager</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CSI</w:t>
            </w:r>
          </w:p>
        </w:tc>
        <w:tc>
          <w:tcPr>
            <w:tcW w:w="7426" w:type="dxa"/>
            <w:tcBorders>
              <w:top w:val="nil"/>
              <w:left w:val="nil"/>
              <w:bottom w:val="nil"/>
              <w:right w:val="nil"/>
            </w:tcBorders>
          </w:tcPr>
          <w:p w:rsidR="00A113DC" w:rsidRPr="00ED1F31" w:rsidRDefault="00F46E39">
            <w:pPr>
              <w:pStyle w:val="TableParagraph"/>
              <w:spacing w:before="58"/>
              <w:ind w:left="169"/>
              <w:rPr>
                <w:rFonts w:eastAsia="Calibri" w:cs="Calibri"/>
                <w:sz w:val="20"/>
                <w:szCs w:val="20"/>
              </w:rPr>
            </w:pPr>
            <w:r w:rsidRPr="00ED1F31">
              <w:rPr>
                <w:sz w:val="20"/>
              </w:rPr>
              <w:t>Common safety indicator</w:t>
            </w:r>
          </w:p>
        </w:tc>
      </w:tr>
      <w:tr w:rsidR="00BD7B71">
        <w:trPr>
          <w:trHeight w:hRule="exact" w:val="396"/>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MSDI</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Ministry of Sustainable Development and Infrastructure</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CSM</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Common safety method</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DeBo</w:t>
            </w:r>
          </w:p>
        </w:tc>
        <w:tc>
          <w:tcPr>
            <w:tcW w:w="7426" w:type="dxa"/>
            <w:tcBorders>
              <w:top w:val="nil"/>
              <w:left w:val="nil"/>
              <w:bottom w:val="nil"/>
              <w:right w:val="nil"/>
            </w:tcBorders>
          </w:tcPr>
          <w:p w:rsidR="00A113DC" w:rsidRPr="00ED1F31" w:rsidRDefault="00F46E39">
            <w:pPr>
              <w:pStyle w:val="TableParagraph"/>
              <w:spacing w:before="58"/>
              <w:ind w:left="169"/>
              <w:rPr>
                <w:rFonts w:eastAsia="Calibri" w:cs="Calibri"/>
                <w:sz w:val="20"/>
                <w:szCs w:val="20"/>
              </w:rPr>
            </w:pPr>
            <w:r w:rsidRPr="00ED1F31">
              <w:rPr>
                <w:sz w:val="20"/>
              </w:rPr>
              <w:t xml:space="preserve">Designated body </w:t>
            </w:r>
            <w:r w:rsidRPr="00ED1F31">
              <w:rPr>
                <w:sz w:val="20"/>
              </w:rPr>
              <w:t>(competent body in Luxembourg)</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AsBo</w:t>
            </w:r>
          </w:p>
        </w:tc>
        <w:tc>
          <w:tcPr>
            <w:tcW w:w="7426" w:type="dxa"/>
            <w:tcBorders>
              <w:top w:val="nil"/>
              <w:left w:val="nil"/>
              <w:bottom w:val="nil"/>
              <w:right w:val="nil"/>
            </w:tcBorders>
          </w:tcPr>
          <w:p w:rsidR="00A113DC" w:rsidRPr="00ED1F31" w:rsidRDefault="00F46E39">
            <w:pPr>
              <w:pStyle w:val="TableParagraph"/>
              <w:spacing w:before="57"/>
              <w:ind w:left="169"/>
              <w:rPr>
                <w:rFonts w:eastAsia="Calibri" w:cs="Calibri"/>
                <w:sz w:val="20"/>
                <w:szCs w:val="20"/>
              </w:rPr>
            </w:pPr>
            <w:r w:rsidRPr="00ED1F31">
              <w:rPr>
                <w:sz w:val="20"/>
              </w:rPr>
              <w:t>Assessment body</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NIB</w:t>
            </w:r>
          </w:p>
        </w:tc>
        <w:tc>
          <w:tcPr>
            <w:tcW w:w="7426" w:type="dxa"/>
            <w:tcBorders>
              <w:top w:val="nil"/>
              <w:left w:val="nil"/>
              <w:bottom w:val="nil"/>
              <w:right w:val="nil"/>
            </w:tcBorders>
          </w:tcPr>
          <w:p w:rsidR="00A113DC" w:rsidRPr="00ED1F31" w:rsidRDefault="00F46E39">
            <w:pPr>
              <w:pStyle w:val="TableParagraph"/>
              <w:spacing w:before="58"/>
              <w:ind w:left="169"/>
              <w:rPr>
                <w:rFonts w:eastAsia="Calibri" w:cs="Calibri"/>
                <w:sz w:val="20"/>
                <w:szCs w:val="20"/>
              </w:rPr>
            </w:pPr>
            <w:r w:rsidRPr="00ED1F31">
              <w:rPr>
                <w:sz w:val="20"/>
              </w:rPr>
              <w:t>Luxembourg National Investigation Body</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NoBo</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Notified body</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CST</w:t>
            </w:r>
          </w:p>
        </w:tc>
        <w:tc>
          <w:tcPr>
            <w:tcW w:w="7426" w:type="dxa"/>
            <w:tcBorders>
              <w:top w:val="nil"/>
              <w:left w:val="nil"/>
              <w:bottom w:val="nil"/>
              <w:right w:val="nil"/>
            </w:tcBorders>
          </w:tcPr>
          <w:p w:rsidR="00A113DC" w:rsidRPr="00ED1F31" w:rsidRDefault="00F46E39">
            <w:pPr>
              <w:pStyle w:val="TableParagraph"/>
              <w:spacing w:before="58"/>
              <w:ind w:left="170"/>
              <w:rPr>
                <w:rFonts w:eastAsia="Calibri" w:cs="Calibri"/>
                <w:sz w:val="20"/>
                <w:szCs w:val="20"/>
              </w:rPr>
            </w:pPr>
            <w:r w:rsidRPr="00ED1F31">
              <w:rPr>
                <w:sz w:val="20"/>
              </w:rPr>
              <w:t>Common safety objective</w:t>
            </w:r>
          </w:p>
        </w:tc>
      </w:tr>
      <w:tr w:rsidR="00BD7B71">
        <w:trPr>
          <w:trHeight w:hRule="exact" w:val="396"/>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LC</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Level crossing</w:t>
            </w:r>
          </w:p>
        </w:tc>
      </w:tr>
      <w:tr w:rsidR="00BD7B71">
        <w:trPr>
          <w:trHeight w:hRule="exact" w:val="397"/>
        </w:trPr>
        <w:tc>
          <w:tcPr>
            <w:tcW w:w="1271" w:type="dxa"/>
            <w:tcBorders>
              <w:top w:val="nil"/>
              <w:left w:val="nil"/>
              <w:bottom w:val="nil"/>
              <w:right w:val="nil"/>
            </w:tcBorders>
          </w:tcPr>
          <w:p w:rsidR="00A113DC" w:rsidRPr="00ED1F31" w:rsidRDefault="00F46E39" w:rsidP="0033592B">
            <w:pPr>
              <w:pStyle w:val="TableParagraph"/>
              <w:spacing w:before="57"/>
              <w:ind w:left="200" w:right="102"/>
              <w:rPr>
                <w:rFonts w:eastAsia="Calibri" w:cs="Calibri"/>
                <w:sz w:val="20"/>
                <w:szCs w:val="20"/>
              </w:rPr>
            </w:pPr>
            <w:r w:rsidRPr="00ED1F31">
              <w:rPr>
                <w:b/>
                <w:sz w:val="20"/>
              </w:rPr>
              <w:t>MEMOR II+</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Luxembourg national automatic train protection system</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GRTO</w:t>
            </w:r>
          </w:p>
        </w:tc>
        <w:tc>
          <w:tcPr>
            <w:tcW w:w="7426" w:type="dxa"/>
            <w:tcBorders>
              <w:top w:val="nil"/>
              <w:left w:val="nil"/>
              <w:bottom w:val="nil"/>
              <w:right w:val="nil"/>
            </w:tcBorders>
          </w:tcPr>
          <w:p w:rsidR="00A113DC" w:rsidRPr="00ED1F31" w:rsidRDefault="00F46E39">
            <w:pPr>
              <w:pStyle w:val="TableParagraph"/>
              <w:spacing w:before="58"/>
              <w:ind w:left="170"/>
              <w:rPr>
                <w:rFonts w:eastAsia="Calibri" w:cs="Calibri"/>
                <w:sz w:val="20"/>
                <w:szCs w:val="20"/>
              </w:rPr>
            </w:pPr>
            <w:r w:rsidRPr="00ED1F31">
              <w:rPr>
                <w:sz w:val="20"/>
              </w:rPr>
              <w:t xml:space="preserve">General Rules for </w:t>
            </w:r>
            <w:r w:rsidRPr="00ED1F31">
              <w:rPr>
                <w:sz w:val="20"/>
              </w:rPr>
              <w:t>Technical Operation</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IGR</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Infrastructure Manager’s Internal General Rules</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NSR</w:t>
            </w:r>
          </w:p>
        </w:tc>
        <w:tc>
          <w:tcPr>
            <w:tcW w:w="7426" w:type="dxa"/>
            <w:tcBorders>
              <w:top w:val="nil"/>
              <w:left w:val="nil"/>
              <w:bottom w:val="nil"/>
              <w:right w:val="nil"/>
            </w:tcBorders>
          </w:tcPr>
          <w:p w:rsidR="00A113DC" w:rsidRPr="00ED1F31" w:rsidRDefault="00F46E39">
            <w:pPr>
              <w:pStyle w:val="TableParagraph"/>
              <w:spacing w:before="58"/>
              <w:ind w:left="170"/>
              <w:rPr>
                <w:rFonts w:eastAsia="Calibri" w:cs="Calibri"/>
                <w:sz w:val="20"/>
                <w:szCs w:val="20"/>
              </w:rPr>
            </w:pPr>
            <w:r w:rsidRPr="00ED1F31">
              <w:rPr>
                <w:sz w:val="20"/>
              </w:rPr>
              <w:t>Luxembourg National Safety Rules</w:t>
            </w:r>
          </w:p>
        </w:tc>
      </w:tr>
      <w:tr w:rsidR="00BD7B71">
        <w:trPr>
          <w:trHeight w:hRule="exact" w:val="397"/>
        </w:trPr>
        <w:tc>
          <w:tcPr>
            <w:tcW w:w="1271" w:type="dxa"/>
            <w:tcBorders>
              <w:top w:val="nil"/>
              <w:left w:val="nil"/>
              <w:bottom w:val="nil"/>
              <w:right w:val="nil"/>
            </w:tcBorders>
          </w:tcPr>
          <w:p w:rsidR="00A113DC" w:rsidRPr="00ED1F31" w:rsidRDefault="00F46E39">
            <w:pPr>
              <w:pStyle w:val="TableParagraph"/>
              <w:spacing w:before="57"/>
              <w:ind w:left="200"/>
              <w:rPr>
                <w:rFonts w:eastAsia="Calibri" w:cs="Calibri"/>
                <w:sz w:val="20"/>
                <w:szCs w:val="20"/>
              </w:rPr>
            </w:pPr>
            <w:r w:rsidRPr="00ED1F31">
              <w:rPr>
                <w:b/>
                <w:sz w:val="20"/>
              </w:rPr>
              <w:t>NRV</w:t>
            </w:r>
          </w:p>
        </w:tc>
        <w:tc>
          <w:tcPr>
            <w:tcW w:w="7426" w:type="dxa"/>
            <w:tcBorders>
              <w:top w:val="nil"/>
              <w:left w:val="nil"/>
              <w:bottom w:val="nil"/>
              <w:right w:val="nil"/>
            </w:tcBorders>
          </w:tcPr>
          <w:p w:rsidR="00A113DC" w:rsidRPr="00ED1F31" w:rsidRDefault="00F46E39">
            <w:pPr>
              <w:pStyle w:val="TableParagraph"/>
              <w:spacing w:before="57"/>
              <w:ind w:left="170"/>
              <w:rPr>
                <w:rFonts w:eastAsia="Calibri" w:cs="Calibri"/>
                <w:sz w:val="20"/>
                <w:szCs w:val="20"/>
              </w:rPr>
            </w:pPr>
            <w:r w:rsidRPr="00ED1F31">
              <w:rPr>
                <w:sz w:val="20"/>
              </w:rPr>
              <w:t>National reference value set by Decision 2012/226/EU</w:t>
            </w:r>
          </w:p>
        </w:tc>
      </w:tr>
      <w:tr w:rsidR="00BD7B71">
        <w:trPr>
          <w:trHeight w:hRule="exact" w:val="299"/>
        </w:trPr>
        <w:tc>
          <w:tcPr>
            <w:tcW w:w="1271" w:type="dxa"/>
            <w:tcBorders>
              <w:top w:val="nil"/>
              <w:left w:val="nil"/>
              <w:bottom w:val="nil"/>
              <w:right w:val="nil"/>
            </w:tcBorders>
          </w:tcPr>
          <w:p w:rsidR="00A113DC" w:rsidRPr="00ED1F31" w:rsidRDefault="00F46E39">
            <w:pPr>
              <w:pStyle w:val="TableParagraph"/>
              <w:spacing w:before="58"/>
              <w:ind w:left="200"/>
              <w:rPr>
                <w:rFonts w:eastAsia="Calibri" w:cs="Calibri"/>
                <w:sz w:val="20"/>
                <w:szCs w:val="20"/>
              </w:rPr>
            </w:pPr>
            <w:r w:rsidRPr="00ED1F31">
              <w:rPr>
                <w:b/>
                <w:sz w:val="20"/>
              </w:rPr>
              <w:t>EPA</w:t>
            </w:r>
          </w:p>
        </w:tc>
        <w:tc>
          <w:tcPr>
            <w:tcW w:w="7426" w:type="dxa"/>
            <w:tcBorders>
              <w:top w:val="nil"/>
              <w:left w:val="nil"/>
              <w:bottom w:val="nil"/>
              <w:right w:val="nil"/>
            </w:tcBorders>
          </w:tcPr>
          <w:p w:rsidR="00A113DC" w:rsidRPr="00ED1F31" w:rsidRDefault="00F46E39">
            <w:pPr>
              <w:pStyle w:val="TableParagraph"/>
              <w:spacing w:before="58"/>
              <w:ind w:left="170"/>
              <w:rPr>
                <w:rFonts w:eastAsia="Calibri" w:cs="Calibri"/>
                <w:sz w:val="20"/>
                <w:szCs w:val="20"/>
              </w:rPr>
            </w:pPr>
            <w:r w:rsidRPr="00ED1F31">
              <w:rPr>
                <w:sz w:val="20"/>
              </w:rPr>
              <w:t>Elementary Protection Area</w:t>
            </w:r>
          </w:p>
        </w:tc>
      </w:tr>
    </w:tbl>
    <w:p w:rsidR="00A113DC" w:rsidRPr="00ED1F31" w:rsidRDefault="00A113DC">
      <w:pPr>
        <w:rPr>
          <w:rFonts w:eastAsia="Calibri" w:cs="Calibri"/>
          <w:sz w:val="20"/>
          <w:szCs w:val="20"/>
        </w:rPr>
        <w:sectPr w:rsidR="00A113DC" w:rsidRPr="00ED1F31" w:rsidSect="00205240">
          <w:pgSz w:w="11910" w:h="16840"/>
          <w:pgMar w:top="1397" w:right="1325" w:bottom="734" w:left="1339" w:header="0" w:footer="546" w:gutter="0"/>
          <w:cols w:space="720"/>
        </w:sectPr>
      </w:pPr>
    </w:p>
    <w:p w:rsidR="00A113DC" w:rsidRPr="00ED1F31" w:rsidRDefault="00F46E39" w:rsidP="00976521">
      <w:pPr>
        <w:pStyle w:val="Heading1"/>
        <w:numPr>
          <w:ilvl w:val="0"/>
          <w:numId w:val="16"/>
        </w:numPr>
      </w:pPr>
      <w:bookmarkStart w:id="0" w:name="A._INTRODUCTION"/>
      <w:bookmarkStart w:id="1" w:name="_bookmark0"/>
      <w:bookmarkStart w:id="2" w:name="_Toc500406930"/>
      <w:bookmarkStart w:id="3" w:name="_Toc505328183"/>
      <w:bookmarkEnd w:id="0"/>
      <w:bookmarkEnd w:id="1"/>
      <w:r w:rsidRPr="00ED1F31">
        <w:t>INTRODUCTION</w:t>
      </w:r>
      <w:bookmarkEnd w:id="2"/>
      <w:bookmarkEnd w:id="3"/>
    </w:p>
    <w:p w:rsidR="00A113DC" w:rsidRPr="00ED1F31" w:rsidRDefault="00F46E39" w:rsidP="00976521">
      <w:pPr>
        <w:pStyle w:val="Heading2"/>
        <w:numPr>
          <w:ilvl w:val="1"/>
          <w:numId w:val="16"/>
        </w:numPr>
      </w:pPr>
      <w:bookmarkStart w:id="4" w:name="A.1___L’objet,_la_portée_et_les_autres_d"/>
      <w:bookmarkStart w:id="5" w:name="_bookmark1"/>
      <w:bookmarkStart w:id="6" w:name="_Toc500406931"/>
      <w:bookmarkStart w:id="7" w:name="_Toc505328184"/>
      <w:bookmarkEnd w:id="4"/>
      <w:bookmarkEnd w:id="5"/>
      <w:r w:rsidRPr="00ED1F31">
        <w:t xml:space="preserve">Purpose, scope and </w:t>
      </w:r>
      <w:r w:rsidRPr="00ED1F31">
        <w:t>other recipients of this report</w:t>
      </w:r>
      <w:bookmarkEnd w:id="6"/>
      <w:bookmarkEnd w:id="7"/>
    </w:p>
    <w:p w:rsidR="00A113DC" w:rsidRPr="00ED1F31" w:rsidRDefault="00F46E39" w:rsidP="004701B0">
      <w:pPr>
        <w:pStyle w:val="BodyText"/>
      </w:pPr>
      <w:r w:rsidRPr="00ED1F31">
        <w:t xml:space="preserve">This report covers the activities of the </w:t>
      </w:r>
      <w:r w:rsidRPr="00ED1F31">
        <w:rPr>
          <w:b/>
        </w:rPr>
        <w:t>ACF</w:t>
      </w:r>
      <w:r w:rsidRPr="00ED1F31">
        <w:t xml:space="preserve"> (</w:t>
      </w:r>
      <w:r w:rsidRPr="00ED1F31">
        <w:rPr>
          <w:b/>
        </w:rPr>
        <w:t>A</w:t>
      </w:r>
      <w:r w:rsidRPr="00ED1F31">
        <w:t xml:space="preserve">dministration des </w:t>
      </w:r>
      <w:r w:rsidRPr="00ED1F31">
        <w:rPr>
          <w:b/>
        </w:rPr>
        <w:t>C</w:t>
      </w:r>
      <w:r w:rsidRPr="00ED1F31">
        <w:t xml:space="preserve">hemins de </w:t>
      </w:r>
      <w:r w:rsidRPr="00ED1F31">
        <w:rPr>
          <w:b/>
        </w:rPr>
        <w:t>F</w:t>
      </w:r>
      <w:r w:rsidRPr="00ED1F31">
        <w:t xml:space="preserve">er) [Luxembourg Railway Authority] in its capacity as </w:t>
      </w:r>
      <w:r w:rsidRPr="00ED1F31">
        <w:rPr>
          <w:b/>
        </w:rPr>
        <w:t>N</w:t>
      </w:r>
      <w:r w:rsidRPr="00ED1F31">
        <w:t xml:space="preserve">ational </w:t>
      </w:r>
      <w:r w:rsidRPr="00ED1F31">
        <w:rPr>
          <w:b/>
        </w:rPr>
        <w:t>S</w:t>
      </w:r>
      <w:r w:rsidRPr="00ED1F31">
        <w:t xml:space="preserve">afety </w:t>
      </w:r>
      <w:r w:rsidRPr="00ED1F31">
        <w:rPr>
          <w:b/>
        </w:rPr>
        <w:t>A</w:t>
      </w:r>
      <w:r w:rsidRPr="00ED1F31">
        <w:t>uthority (</w:t>
      </w:r>
      <w:r w:rsidRPr="00ED1F31">
        <w:rPr>
          <w:b/>
        </w:rPr>
        <w:t>NSA</w:t>
      </w:r>
      <w:r w:rsidRPr="00ED1F31">
        <w:t>) during the 2016 reporting year.</w:t>
      </w:r>
    </w:p>
    <w:p w:rsidR="00A113DC" w:rsidRPr="00ED1F31" w:rsidRDefault="00A113DC">
      <w:pPr>
        <w:spacing w:before="12"/>
        <w:rPr>
          <w:rFonts w:eastAsia="Calibri" w:cs="Calibri"/>
          <w:sz w:val="33"/>
          <w:szCs w:val="33"/>
        </w:rPr>
      </w:pPr>
    </w:p>
    <w:p w:rsidR="00A113DC" w:rsidRPr="00ED1F31" w:rsidRDefault="00F46E39" w:rsidP="004701B0">
      <w:pPr>
        <w:pStyle w:val="BodyText"/>
      </w:pPr>
      <w:r w:rsidRPr="00ED1F31">
        <w:t>The objectives of the report</w:t>
      </w:r>
      <w:r w:rsidRPr="00ED1F31">
        <w:t xml:space="preserve"> are defined in Article 5 of the amended Law of 22 July 2009 on railway safety. The report must contain information on:</w:t>
      </w:r>
    </w:p>
    <w:p w:rsidR="00A113DC" w:rsidRPr="00ED1F31" w:rsidRDefault="00F46E39" w:rsidP="00976521">
      <w:pPr>
        <w:pStyle w:val="ListParagraph"/>
        <w:numPr>
          <w:ilvl w:val="2"/>
          <w:numId w:val="14"/>
        </w:numPr>
        <w:tabs>
          <w:tab w:val="left" w:pos="1720"/>
        </w:tabs>
        <w:spacing w:before="120"/>
        <w:ind w:right="117"/>
        <w:rPr>
          <w:rFonts w:eastAsia="Calibri" w:cs="Calibri"/>
          <w:szCs w:val="24"/>
        </w:rPr>
      </w:pPr>
      <w:r w:rsidRPr="00ED1F31">
        <w:t>progress with railway safety, including an inventory of the Common Safety Indicators (CSIs) defined in Annex I to Directive 2004/49/EC,</w:t>
      </w:r>
    </w:p>
    <w:p w:rsidR="00A113DC" w:rsidRPr="00ED1F31" w:rsidRDefault="00F46E39" w:rsidP="00976521">
      <w:pPr>
        <w:pStyle w:val="ListParagraph"/>
        <w:numPr>
          <w:ilvl w:val="2"/>
          <w:numId w:val="14"/>
        </w:numPr>
        <w:tabs>
          <w:tab w:val="left" w:pos="1720"/>
        </w:tabs>
        <w:ind w:right="115"/>
        <w:rPr>
          <w:rFonts w:eastAsia="Calibri" w:cs="Calibri"/>
          <w:szCs w:val="24"/>
        </w:rPr>
      </w:pPr>
      <w:r w:rsidRPr="00ED1F31">
        <w:t>important amendments made to the rules applicable to railway safety,</w:t>
      </w:r>
    </w:p>
    <w:p w:rsidR="00A113DC" w:rsidRPr="00ED1F31" w:rsidRDefault="00F46E39" w:rsidP="00976521">
      <w:pPr>
        <w:pStyle w:val="ListParagraph"/>
        <w:numPr>
          <w:ilvl w:val="2"/>
          <w:numId w:val="14"/>
        </w:numPr>
        <w:tabs>
          <w:tab w:val="left" w:pos="1720"/>
        </w:tabs>
        <w:rPr>
          <w:rFonts w:eastAsia="Calibri" w:cs="Calibri"/>
          <w:szCs w:val="24"/>
        </w:rPr>
      </w:pPr>
      <w:r w:rsidRPr="00ED1F31">
        <w:t>changes in safety certification and authorisation,</w:t>
      </w:r>
    </w:p>
    <w:p w:rsidR="00A113DC" w:rsidRPr="00ED1F31" w:rsidRDefault="00F46E39" w:rsidP="00976521">
      <w:pPr>
        <w:pStyle w:val="ListParagraph"/>
        <w:numPr>
          <w:ilvl w:val="2"/>
          <w:numId w:val="14"/>
        </w:numPr>
        <w:tabs>
          <w:tab w:val="left" w:pos="1720"/>
        </w:tabs>
        <w:ind w:right="116"/>
        <w:rPr>
          <w:rFonts w:eastAsia="Calibri" w:cs="Calibri"/>
          <w:szCs w:val="24"/>
        </w:rPr>
      </w:pPr>
      <w:r w:rsidRPr="00ED1F31">
        <w:t>the results of the monitoring of the Infrastructure Manager (IM) and railway undertakings (RUs) and the lessons that have been learnt,</w:t>
      </w:r>
    </w:p>
    <w:p w:rsidR="00A113DC" w:rsidRPr="00ED1F31" w:rsidRDefault="00F46E39" w:rsidP="00976521">
      <w:pPr>
        <w:pStyle w:val="ListParagraph"/>
        <w:numPr>
          <w:ilvl w:val="2"/>
          <w:numId w:val="14"/>
        </w:numPr>
        <w:tabs>
          <w:tab w:val="left" w:pos="1720"/>
        </w:tabs>
        <w:ind w:right="118"/>
        <w:rPr>
          <w:rFonts w:eastAsia="Calibri" w:cs="Calibri"/>
          <w:szCs w:val="24"/>
        </w:rPr>
      </w:pPr>
      <w:r w:rsidRPr="00ED1F31">
        <w:t>the exemptions granted in accordance with Article 20(b) (see page 9, Article 20(b)(5)).</w:t>
      </w:r>
    </w:p>
    <w:p w:rsidR="00A113DC" w:rsidRPr="00ED1F31" w:rsidRDefault="00A113DC">
      <w:pPr>
        <w:spacing w:before="10"/>
        <w:rPr>
          <w:rFonts w:eastAsia="Calibri" w:cs="Calibri"/>
          <w:sz w:val="33"/>
          <w:szCs w:val="33"/>
        </w:rPr>
      </w:pPr>
    </w:p>
    <w:p w:rsidR="00A113DC" w:rsidRPr="00ED1F31" w:rsidRDefault="00F46E39" w:rsidP="004701B0">
      <w:pPr>
        <w:pStyle w:val="BodyText"/>
      </w:pPr>
      <w:r w:rsidRPr="00ED1F31">
        <w:t>In accordance with Article 5 of the amended Law of 22 July 2009, the ACF reported to the Minister of Sustainable Development and Infrastructure on the performance of i</w:t>
      </w:r>
      <w:r w:rsidRPr="00ED1F31">
        <w:t>ts responsibilities and is forwarding the report to the European Union Agency for Railways (ERA). The report may be consulted on the following websites:</w:t>
      </w:r>
    </w:p>
    <w:p w:rsidR="00034489" w:rsidRPr="00ED1F31" w:rsidRDefault="00F46E39" w:rsidP="002366A0">
      <w:pPr>
        <w:pStyle w:val="BodyText"/>
        <w:jc w:val="center"/>
        <w:rPr>
          <w:spacing w:val="-1"/>
        </w:rPr>
      </w:pPr>
      <w:hyperlink r:id="rId11" w:history="1">
        <w:r w:rsidRPr="00ED1F31">
          <w:rPr>
            <w:color w:val="0000FF"/>
            <w:spacing w:val="-1"/>
            <w:u w:val="single" w:color="0000FF"/>
          </w:rPr>
          <w:t>www.railinfra.lu</w:t>
        </w:r>
      </w:hyperlink>
      <w:r w:rsidRPr="00ED1F31">
        <w:t>.</w:t>
      </w:r>
    </w:p>
    <w:p w:rsidR="00A113DC" w:rsidRPr="00ED1F31" w:rsidRDefault="00F46E39" w:rsidP="002366A0">
      <w:pPr>
        <w:pStyle w:val="BodyText"/>
        <w:jc w:val="center"/>
      </w:pPr>
      <w:r w:rsidRPr="00ED1F31">
        <w:t>and</w:t>
      </w:r>
    </w:p>
    <w:p w:rsidR="00A113DC" w:rsidRPr="00ED1F31" w:rsidRDefault="00F46E39" w:rsidP="002366A0">
      <w:pPr>
        <w:pStyle w:val="BodyText"/>
        <w:jc w:val="center"/>
      </w:pPr>
      <w:hyperlink r:id="rId12" w:history="1">
        <w:r w:rsidRPr="00ED1F31">
          <w:rPr>
            <w:color w:val="0000FF"/>
            <w:u w:val="single" w:color="0000FF"/>
          </w:rPr>
          <w:t>https://pdb.era.europa.eu/safety_docs/AnnualReport/search_results.aspx</w:t>
        </w:r>
      </w:hyperlink>
    </w:p>
    <w:p w:rsidR="00A113DC" w:rsidRPr="00ED1F31" w:rsidRDefault="00A113DC">
      <w:pPr>
        <w:spacing w:before="7"/>
        <w:rPr>
          <w:rFonts w:eastAsia="Calibri" w:cs="Calibri"/>
          <w:sz w:val="29"/>
          <w:szCs w:val="29"/>
        </w:rPr>
      </w:pPr>
    </w:p>
    <w:p w:rsidR="00A113DC" w:rsidRPr="00ED1F31" w:rsidRDefault="00F46E39" w:rsidP="004701B0">
      <w:pPr>
        <w:pStyle w:val="BodyText"/>
      </w:pPr>
      <w:r w:rsidRPr="00ED1F31">
        <w:t xml:space="preserve">The ACF also provides a hard copy version intended for restricted distribution to national stakeholders, such as the Technical </w:t>
      </w:r>
      <w:r w:rsidRPr="00ED1F31">
        <w:t>Investigation Administration, the infrastructure manager, railway undertakings that hold a Luxembourg safety certificate, administrations, companies and persons interested.</w:t>
      </w:r>
    </w:p>
    <w:p w:rsidR="00A113DC" w:rsidRPr="00ED1F31" w:rsidRDefault="00F46E39" w:rsidP="005729A3">
      <w:pPr>
        <w:pStyle w:val="Heading2"/>
        <w:pageBreakBefore/>
        <w:numPr>
          <w:ilvl w:val="1"/>
          <w:numId w:val="16"/>
        </w:numPr>
        <w:spacing w:before="0"/>
        <w:ind w:left="681"/>
      </w:pPr>
      <w:bookmarkStart w:id="8" w:name="A.2___Les_modifications_importantes_sur_"/>
      <w:bookmarkStart w:id="9" w:name="_bookmark2"/>
      <w:bookmarkStart w:id="10" w:name="_Toc500406932"/>
      <w:bookmarkStart w:id="11" w:name="_Toc505328185"/>
      <w:bookmarkEnd w:id="8"/>
      <w:bookmarkEnd w:id="9"/>
      <w:r w:rsidRPr="00ED1F31">
        <w:t>Significant organisational changes affecting the NSA</w:t>
      </w:r>
      <w:bookmarkEnd w:id="10"/>
      <w:bookmarkEnd w:id="11"/>
    </w:p>
    <w:p w:rsidR="00A113DC" w:rsidRPr="00ED1F31" w:rsidRDefault="00F46E39" w:rsidP="004701B0">
      <w:pPr>
        <w:pStyle w:val="BodyText"/>
      </w:pPr>
      <w:r w:rsidRPr="00ED1F31">
        <w:t>Having gained its ISO 9001:200</w:t>
      </w:r>
      <w:r w:rsidRPr="00ED1F31">
        <w:t>8 certification in September 2015 through the certifying body ESCEM ASBL, the ACF underwent its first follow-up audit in 2016, which it passed.</w:t>
      </w:r>
    </w:p>
    <w:p w:rsidR="00A113DC" w:rsidRPr="00ED1F31" w:rsidRDefault="00F46E39" w:rsidP="004701B0">
      <w:pPr>
        <w:pStyle w:val="BodyText"/>
      </w:pPr>
      <w:r w:rsidRPr="00ED1F31">
        <w:t>The certificate of compliance with the requirements of the above-mentioned standard is valid for the following a</w:t>
      </w:r>
      <w:r w:rsidRPr="00ED1F31">
        <w:t>reas:</w:t>
      </w:r>
    </w:p>
    <w:p w:rsidR="00A113DC" w:rsidRPr="00ED1F31" w:rsidRDefault="00F46E39" w:rsidP="00976521">
      <w:pPr>
        <w:pStyle w:val="ListParagraph"/>
        <w:numPr>
          <w:ilvl w:val="0"/>
          <w:numId w:val="19"/>
        </w:numPr>
      </w:pPr>
      <w:r w:rsidRPr="00ED1F31">
        <w:t>access to infrastructure;</w:t>
      </w:r>
    </w:p>
    <w:p w:rsidR="00A113DC" w:rsidRPr="00ED1F31" w:rsidRDefault="00F46E39" w:rsidP="00976521">
      <w:pPr>
        <w:pStyle w:val="ListParagraph"/>
        <w:numPr>
          <w:ilvl w:val="0"/>
          <w:numId w:val="19"/>
        </w:numPr>
      </w:pPr>
      <w:r w:rsidRPr="00ED1F31">
        <w:t>safety certificates and authorisations;</w:t>
      </w:r>
    </w:p>
    <w:p w:rsidR="00A113DC" w:rsidRPr="00ED1F31" w:rsidRDefault="00F46E39" w:rsidP="00976521">
      <w:pPr>
        <w:pStyle w:val="ListParagraph"/>
        <w:numPr>
          <w:ilvl w:val="0"/>
          <w:numId w:val="19"/>
        </w:numPr>
      </w:pPr>
      <w:r w:rsidRPr="00ED1F31">
        <w:t>authorisation for putting into service the structural subsystems constituting the railway system;</w:t>
      </w:r>
    </w:p>
    <w:p w:rsidR="00A113DC" w:rsidRPr="00ED1F31" w:rsidRDefault="00F46E39" w:rsidP="00976521">
      <w:pPr>
        <w:pStyle w:val="ListParagraph"/>
        <w:numPr>
          <w:ilvl w:val="0"/>
          <w:numId w:val="19"/>
        </w:numPr>
      </w:pPr>
      <w:r w:rsidRPr="00ED1F31">
        <w:t>authorisation for putting vehicles into service;</w:t>
      </w:r>
    </w:p>
    <w:p w:rsidR="00A113DC" w:rsidRPr="00ED1F31" w:rsidRDefault="00F46E39" w:rsidP="00976521">
      <w:pPr>
        <w:pStyle w:val="ListParagraph"/>
        <w:numPr>
          <w:ilvl w:val="0"/>
          <w:numId w:val="19"/>
        </w:numPr>
      </w:pPr>
      <w:r w:rsidRPr="00ED1F31">
        <w:t>national vehicle register;</w:t>
      </w:r>
    </w:p>
    <w:p w:rsidR="00A113DC" w:rsidRPr="00ED1F31" w:rsidRDefault="00F46E39" w:rsidP="00976521">
      <w:pPr>
        <w:pStyle w:val="ListParagraph"/>
        <w:numPr>
          <w:ilvl w:val="0"/>
          <w:numId w:val="19"/>
        </w:numPr>
      </w:pPr>
      <w:r w:rsidRPr="00ED1F31">
        <w:t>train driv</w:t>
      </w:r>
      <w:r w:rsidRPr="00ED1F31">
        <w:t>er certification;</w:t>
      </w:r>
    </w:p>
    <w:p w:rsidR="00A113DC" w:rsidRPr="00ED1F31" w:rsidRDefault="00F46E39" w:rsidP="00976521">
      <w:pPr>
        <w:pStyle w:val="ListParagraph"/>
        <w:numPr>
          <w:ilvl w:val="0"/>
          <w:numId w:val="19"/>
        </w:numPr>
      </w:pPr>
      <w:r w:rsidRPr="00ED1F31">
        <w:t>audits, checks and inspections for the purpose of supervision in the context of railway safety;</w:t>
      </w:r>
    </w:p>
    <w:p w:rsidR="00A113DC" w:rsidRPr="00ED1F31" w:rsidRDefault="00F46E39" w:rsidP="00976521">
      <w:pPr>
        <w:pStyle w:val="ListParagraph"/>
        <w:numPr>
          <w:ilvl w:val="0"/>
          <w:numId w:val="19"/>
        </w:numPr>
        <w:rPr>
          <w:rFonts w:asciiTheme="minorHAnsi" w:hAnsiTheme="minorHAnsi"/>
          <w:sz w:val="22"/>
        </w:rPr>
      </w:pPr>
      <w:r w:rsidRPr="00ED1F31">
        <w:t>legislative monitoring.</w:t>
      </w:r>
    </w:p>
    <w:p w:rsidR="00034489" w:rsidRPr="00ED1F31" w:rsidRDefault="00034489" w:rsidP="004701B0">
      <w:pPr>
        <w:pStyle w:val="BodyText"/>
      </w:pPr>
    </w:p>
    <w:p w:rsidR="00A113DC" w:rsidRPr="00ED1F31" w:rsidRDefault="00F46E39" w:rsidP="004701B0">
      <w:pPr>
        <w:pStyle w:val="BodyText"/>
      </w:pPr>
      <w:r w:rsidRPr="00ED1F31">
        <w:t>Only one engineer was recruited in 2016. In the second half of the year, there was a new recruitment drive. As a resu</w:t>
      </w:r>
      <w:r w:rsidRPr="00ED1F31">
        <w:t>lt of this, four other technical staff were or will be recruited by the end of September 2017. With these new recruits, the precarious situation the ACF has been in since it was formed should improve significantly.</w:t>
      </w:r>
    </w:p>
    <w:p w:rsidR="003A0568" w:rsidRPr="00ED1F31" w:rsidRDefault="00F46E39" w:rsidP="004701B0">
      <w:pPr>
        <w:pStyle w:val="BodyText"/>
      </w:pPr>
      <w:r w:rsidRPr="00ED1F31">
        <w:t xml:space="preserve">Pending the arrival and the external and </w:t>
      </w:r>
      <w:r w:rsidRPr="00ED1F31">
        <w:t>internal training of these new personnel, the staff of the Interoperability and Safety Division must, on their own or with the help of other colleagues, perform the functions that the appointee is as yet unable to perform. In order to guarantee immediate f</w:t>
      </w:r>
      <w:r w:rsidRPr="00ED1F31">
        <w:t>ulfilment of the ACF’s obligations, a list of functions was drawn up in 2014 stating which staff member is responsible for each function, which staff member is actually performing the function and who is helping to fulfil the obligations related to this fu</w:t>
      </w:r>
      <w:r w:rsidRPr="00ED1F31">
        <w:t>nction.</w:t>
      </w:r>
    </w:p>
    <w:p w:rsidR="007E0FAB" w:rsidRPr="00ED1F31" w:rsidRDefault="007E0FAB" w:rsidP="004701B0">
      <w:pPr>
        <w:pStyle w:val="BodyText"/>
      </w:pPr>
    </w:p>
    <w:p w:rsidR="007E0FAB" w:rsidRPr="00ED1F31" w:rsidRDefault="007E0FAB" w:rsidP="004701B0">
      <w:pPr>
        <w:pStyle w:val="BodyText"/>
        <w:sectPr w:rsidR="007E0FAB" w:rsidRPr="00ED1F31" w:rsidSect="00205240">
          <w:pgSz w:w="11910" w:h="16840"/>
          <w:pgMar w:top="1397" w:right="1325" w:bottom="734" w:left="1339" w:header="0" w:footer="546" w:gutter="0"/>
          <w:cols w:space="720"/>
        </w:sectPr>
      </w:pPr>
    </w:p>
    <w:p w:rsidR="00A113DC" w:rsidRPr="00ED1F31" w:rsidRDefault="00F46E39" w:rsidP="00976521">
      <w:pPr>
        <w:pStyle w:val="Heading1"/>
        <w:numPr>
          <w:ilvl w:val="0"/>
          <w:numId w:val="16"/>
        </w:numPr>
        <w:rPr>
          <w:b w:val="0"/>
          <w:bCs w:val="0"/>
        </w:rPr>
      </w:pPr>
      <w:bookmarkStart w:id="12" w:name="B._PERFORMANCES_GENERALES_SUR_LA_SECURIT"/>
      <w:bookmarkStart w:id="13" w:name="_bookmark3"/>
      <w:bookmarkStart w:id="14" w:name="_Toc500406933"/>
      <w:bookmarkStart w:id="15" w:name="_Toc505328186"/>
      <w:bookmarkEnd w:id="12"/>
      <w:bookmarkEnd w:id="13"/>
      <w:r w:rsidRPr="00ED1F31">
        <w:t>GENERAL SAFETY AND STRATEGY PERFORMANCE</w:t>
      </w:r>
      <w:bookmarkEnd w:id="14"/>
      <w:bookmarkEnd w:id="15"/>
    </w:p>
    <w:p w:rsidR="00A113DC" w:rsidRPr="00ED1F31" w:rsidRDefault="00F46E39" w:rsidP="00976521">
      <w:pPr>
        <w:pStyle w:val="Heading2"/>
        <w:numPr>
          <w:ilvl w:val="1"/>
          <w:numId w:val="16"/>
        </w:numPr>
      </w:pPr>
      <w:bookmarkStart w:id="16" w:name="B.1___Conclusions_principales_sur_l’anné"/>
      <w:bookmarkStart w:id="17" w:name="_bookmark4"/>
      <w:bookmarkStart w:id="18" w:name="_Toc500406934"/>
      <w:bookmarkStart w:id="19" w:name="_Toc505328187"/>
      <w:bookmarkEnd w:id="16"/>
      <w:bookmarkEnd w:id="17"/>
      <w:r w:rsidRPr="00ED1F31">
        <w:t>Main conclusions for the year in question</w:t>
      </w:r>
      <w:bookmarkEnd w:id="18"/>
      <w:bookmarkEnd w:id="19"/>
    </w:p>
    <w:p w:rsidR="00A113DC" w:rsidRPr="00ED1F31" w:rsidRDefault="00F46E39" w:rsidP="004701B0">
      <w:pPr>
        <w:pStyle w:val="BodyText"/>
      </w:pPr>
      <w:r w:rsidRPr="00ED1F31">
        <w:t xml:space="preserve">On the national network in 2016, there was one accident involving one serious injury, and one serious incident causing severe damage to a </w:t>
      </w:r>
      <w:r w:rsidRPr="00ED1F31">
        <w:t>locomotive.</w:t>
      </w:r>
    </w:p>
    <w:p w:rsidR="00A113DC" w:rsidRPr="00ED1F31" w:rsidRDefault="00F46E39" w:rsidP="004701B0">
      <w:pPr>
        <w:pStyle w:val="BodyText"/>
      </w:pPr>
      <w:r w:rsidRPr="00ED1F31">
        <w:t>Sadly, there were three suicides and one suicide attempt in 2016.</w:t>
      </w:r>
    </w:p>
    <w:p w:rsidR="00A113DC" w:rsidRPr="00ED1F31" w:rsidRDefault="00F46E39" w:rsidP="004701B0">
      <w:pPr>
        <w:pStyle w:val="BodyText"/>
      </w:pPr>
      <w:r w:rsidRPr="00ED1F31">
        <w:t>The overall number of precursors, excluding signals passed at danger without authority, remains stable compared to previous reporting years and is still excellent.</w:t>
      </w:r>
    </w:p>
    <w:p w:rsidR="00A113DC" w:rsidRPr="00ED1F31" w:rsidRDefault="00F46E39" w:rsidP="004701B0">
      <w:pPr>
        <w:pStyle w:val="BodyText"/>
      </w:pPr>
      <w:r w:rsidRPr="00ED1F31">
        <w:t xml:space="preserve">The number of </w:t>
      </w:r>
      <w:r w:rsidRPr="00ED1F31">
        <w:t>signals passed at danger without authority (two by trains and eight during shunting) was considerably lower than in 2015, when a worryingly high level was reached (15 by trains and 11 during shunting).</w:t>
      </w:r>
    </w:p>
    <w:p w:rsidR="00A113DC" w:rsidRPr="00ED1F31" w:rsidRDefault="00F46E39" w:rsidP="004701B0">
      <w:pPr>
        <w:pStyle w:val="BodyText"/>
      </w:pPr>
      <w:r w:rsidRPr="00ED1F31">
        <w:t>As regards infrastructure, the highlight of the year w</w:t>
      </w:r>
      <w:r w:rsidRPr="00ED1F31">
        <w:t>as the granting of authorisation for the ETCS equipment to go into service on the Kleinbettingen–Luxembourg and Luxembourg–Bettembourg Frontière lines and in all parts of Luxembourg station.</w:t>
      </w:r>
    </w:p>
    <w:p w:rsidR="00A113DC" w:rsidRPr="00ED1F31" w:rsidRDefault="00F46E39" w:rsidP="004701B0">
      <w:pPr>
        <w:pStyle w:val="BodyText"/>
      </w:pPr>
      <w:r w:rsidRPr="00ED1F31">
        <w:t>The following two observations:</w:t>
      </w:r>
    </w:p>
    <w:p w:rsidR="00A113DC" w:rsidRPr="00ED1F31" w:rsidRDefault="00F46E39" w:rsidP="00976521">
      <w:pPr>
        <w:pStyle w:val="ListParagraph"/>
        <w:numPr>
          <w:ilvl w:val="2"/>
          <w:numId w:val="20"/>
        </w:numPr>
      </w:pPr>
      <w:r w:rsidRPr="00ED1F31">
        <w:t>a considerable improvement in the</w:t>
      </w:r>
      <w:r w:rsidRPr="00ED1F31">
        <w:t xml:space="preserve"> number of signals passed at danger compared to 2015, bringing it back to the levels in the 2009-2014 period, and</w:t>
      </w:r>
    </w:p>
    <w:p w:rsidR="00A113DC" w:rsidRPr="00ED1F31" w:rsidRDefault="00F46E39" w:rsidP="00976521">
      <w:pPr>
        <w:pStyle w:val="ListParagraph"/>
        <w:numPr>
          <w:ilvl w:val="2"/>
          <w:numId w:val="20"/>
        </w:numPr>
      </w:pPr>
      <w:r w:rsidRPr="00ED1F31">
        <w:t>stabilisation of all other indicators around the mean values (2009-2015),</w:t>
      </w:r>
    </w:p>
    <w:p w:rsidR="00A113DC" w:rsidRPr="00ED1F31" w:rsidRDefault="00F46E39" w:rsidP="004701B0">
      <w:pPr>
        <w:pStyle w:val="BodyText"/>
      </w:pPr>
      <w:r w:rsidRPr="00ED1F31">
        <w:t>allow us to conclude that the safety level remains very high.</w:t>
      </w:r>
    </w:p>
    <w:p w:rsidR="00A113DC" w:rsidRPr="00ED1F31" w:rsidRDefault="00F46E39" w:rsidP="004701B0">
      <w:pPr>
        <w:pStyle w:val="BodyText"/>
      </w:pPr>
      <w:r w:rsidRPr="00ED1F31">
        <w:t>Howeve</w:t>
      </w:r>
      <w:r w:rsidRPr="00ED1F31">
        <w:t xml:space="preserve">r, caution must be maintained in view of the small size of the network (275 km of lines) and the few serious accidents that have occurred since 2009. The five signals passed at danger in 2015 could have had adverse consequences. Trends can change from one </w:t>
      </w:r>
      <w:r w:rsidRPr="00ED1F31">
        <w:t>year to another.</w:t>
      </w:r>
    </w:p>
    <w:p w:rsidR="00A113DC" w:rsidRPr="00ED1F31" w:rsidRDefault="00F46E39" w:rsidP="004701B0">
      <w:pPr>
        <w:pStyle w:val="BodyText"/>
      </w:pPr>
      <w:r w:rsidRPr="00ED1F31">
        <w:t>All the railway stakeholders in Luxembourg, the two railway undertakings and the Luxembourg infrastructure manager, are certified in accordance with the amended Railway Safety Directive and with the Luxembourg laws transposing that Directi</w:t>
      </w:r>
      <w:r w:rsidRPr="00ED1F31">
        <w:t>ve. The two RUs established in other Member States also have a B certificate in accordance with the regulatory framework. One of the certificates expired in mid-2016 and no application for renewal has yet been received by the ACF.</w:t>
      </w:r>
    </w:p>
    <w:p w:rsidR="00A113DC" w:rsidRPr="00ED1F31" w:rsidRDefault="00F46E39" w:rsidP="005729A3">
      <w:pPr>
        <w:pStyle w:val="Heading2"/>
        <w:pageBreakBefore/>
        <w:numPr>
          <w:ilvl w:val="1"/>
          <w:numId w:val="16"/>
        </w:numPr>
        <w:spacing w:before="0"/>
        <w:ind w:left="533" w:hanging="442"/>
      </w:pPr>
      <w:bookmarkStart w:id="20" w:name="B.2___Stratégie,_programmes_et_initiativ"/>
      <w:bookmarkStart w:id="21" w:name="_bookmark5"/>
      <w:bookmarkStart w:id="22" w:name="_Toc500406935"/>
      <w:bookmarkStart w:id="23" w:name="_Toc505328188"/>
      <w:bookmarkEnd w:id="20"/>
      <w:bookmarkEnd w:id="21"/>
      <w:r w:rsidRPr="00ED1F31">
        <w:t>Safety strategy, programm</w:t>
      </w:r>
      <w:r w:rsidRPr="00ED1F31">
        <w:t>es and initiatives</w:t>
      </w:r>
      <w:bookmarkEnd w:id="22"/>
      <w:bookmarkEnd w:id="23"/>
    </w:p>
    <w:p w:rsidR="00A113DC" w:rsidRPr="00ED1F31" w:rsidRDefault="00F46E39" w:rsidP="004701B0">
      <w:pPr>
        <w:pStyle w:val="BodyText"/>
      </w:pPr>
      <w:r w:rsidRPr="00ED1F31">
        <w:t>Three processes underpin the ACF’s strategy:</w:t>
      </w:r>
    </w:p>
    <w:p w:rsidR="00A113DC" w:rsidRPr="00ED1F31" w:rsidRDefault="00F46E39" w:rsidP="00976521">
      <w:pPr>
        <w:pStyle w:val="ListParagraph"/>
        <w:numPr>
          <w:ilvl w:val="2"/>
          <w:numId w:val="21"/>
        </w:numPr>
      </w:pPr>
      <w:r w:rsidRPr="00ED1F31">
        <w:t>Performing a detailed assessment in line with the legal framework for requesting safety certificates and approvals, authorisations to put rolling stock and infrastructure subsystems into servi</w:t>
      </w:r>
      <w:r w:rsidRPr="00ED1F31">
        <w:t>ce. The opinions which the ACF gives to the supervising ministry in charge of issuing safety authorisations and certificates are accompanied by recommendations for improvements to be implemented by the entity concerned within a clearly defined deadline.</w:t>
      </w:r>
    </w:p>
    <w:p w:rsidR="00A113DC" w:rsidRPr="00ED1F31" w:rsidRDefault="00F46E39" w:rsidP="00976521">
      <w:pPr>
        <w:pStyle w:val="ListParagraph"/>
        <w:numPr>
          <w:ilvl w:val="2"/>
          <w:numId w:val="21"/>
        </w:numPr>
      </w:pPr>
      <w:r w:rsidRPr="00ED1F31">
        <w:t>Performing audits, inspections and checks to satisfy the supervision obligations laid down in various legal acts.</w:t>
      </w:r>
    </w:p>
    <w:p w:rsidR="00A113DC" w:rsidRPr="00ED1F31" w:rsidRDefault="00F46E39" w:rsidP="00976521">
      <w:pPr>
        <w:pStyle w:val="ListParagraph"/>
        <w:numPr>
          <w:ilvl w:val="2"/>
          <w:numId w:val="21"/>
        </w:numPr>
      </w:pPr>
      <w:r w:rsidRPr="00ED1F31">
        <w:t>Being in continuous contact with the stakeholders in the Luxembourg railway sector, the national and European institutions and the other safet</w:t>
      </w:r>
      <w:r w:rsidRPr="00ED1F31">
        <w:t>y authorities, particularly those in our neighbouring countries.</w:t>
      </w:r>
    </w:p>
    <w:p w:rsidR="00A113DC" w:rsidRPr="00ED1F31" w:rsidRDefault="00F46E39" w:rsidP="001258F9">
      <w:pPr>
        <w:pStyle w:val="BodyText"/>
      </w:pPr>
      <w:r w:rsidRPr="00ED1F31">
        <w:t>Given the high level of safety on the Luxembourg network, besides the plans for supervision the Luxembourg Railway Authority has thus far not drawn up an actual safety programme or plan. As s</w:t>
      </w:r>
      <w:r w:rsidRPr="00ED1F31">
        <w:t>tated below, the ACF issues recommendations to the relevant stakeholders after assessing applications for safety authorisations and certificates and also after audits.</w:t>
      </w:r>
    </w:p>
    <w:p w:rsidR="00A113DC" w:rsidRPr="00ED1F31" w:rsidRDefault="00F46E39" w:rsidP="001258F9">
      <w:pPr>
        <w:pStyle w:val="BodyText"/>
      </w:pPr>
      <w:r w:rsidRPr="00ED1F31">
        <w:t>In the light of the analyses carried out and the action plans put in place by the releva</w:t>
      </w:r>
      <w:r w:rsidRPr="00ED1F31">
        <w:t>nt stakeholders to counter the high increase in signals passed at danger, we are of the opinion that no further measures are necessary at present. However, we remain vigilant as regards changes in the safety indicators and in this precursor in particular.</w:t>
      </w:r>
    </w:p>
    <w:p w:rsidR="00A113DC" w:rsidRPr="00ED1F31" w:rsidRDefault="00F46E39" w:rsidP="001258F9">
      <w:pPr>
        <w:pStyle w:val="BodyText"/>
      </w:pPr>
      <w:r w:rsidRPr="00ED1F31">
        <w:t>On 16 February 2017, a head-on collision between a passenger train and a freight train occurred at the marshalling yard in Bettembourg, in which one person died and two were injured. This collision revealed failings in Luxembourg’s Class B system (MEMOR II</w:t>
      </w:r>
      <w:r w:rsidRPr="00ED1F31">
        <w:t>+).</w:t>
      </w:r>
    </w:p>
    <w:p w:rsidR="00A113DC" w:rsidRPr="00ED1F31" w:rsidRDefault="00F46E39" w:rsidP="001258F9">
      <w:pPr>
        <w:pStyle w:val="BodyText"/>
      </w:pPr>
      <w:r w:rsidRPr="00ED1F31">
        <w:t>As a result of one of the four recommendations made by the Technical Investigation Administration based on the initial conclusions, the ACF brought forward the deadline for the mandatory installation of ETCS in rolling stock to 31 December 2019 (it was</w:t>
      </w:r>
      <w:r w:rsidRPr="00ED1F31">
        <w:t xml:space="preserve"> originally 30 June 2021).</w:t>
      </w:r>
    </w:p>
    <w:p w:rsidR="00A113DC" w:rsidRPr="00ED1F31" w:rsidRDefault="00F46E39" w:rsidP="001258F9">
      <w:pPr>
        <w:pStyle w:val="BodyText"/>
      </w:pPr>
      <w:r w:rsidRPr="00ED1F31">
        <w:t>The ACF has proposed that freight trains from Thionville (France) that have neither MEMOR II+ nor ETCS installed will have access to the Bettembourg marshalling yard, a few kilometres from the French border, only until 31 Decembe</w:t>
      </w:r>
      <w:r w:rsidRPr="00ED1F31">
        <w:t>r 2017.</w:t>
      </w:r>
    </w:p>
    <w:p w:rsidR="00A113DC" w:rsidRPr="00ED1F31" w:rsidRDefault="00F46E39" w:rsidP="001258F9">
      <w:pPr>
        <w:pStyle w:val="BodyText"/>
        <w:pageBreakBefore/>
      </w:pPr>
      <w:r w:rsidRPr="00ED1F31">
        <w:t>As regards supervision, the following aspects will be audited in 2017:</w:t>
      </w:r>
    </w:p>
    <w:p w:rsidR="00A113DC" w:rsidRPr="00ED1F31" w:rsidRDefault="00F46E39" w:rsidP="00976521">
      <w:pPr>
        <w:pStyle w:val="ListParagraph"/>
        <w:numPr>
          <w:ilvl w:val="2"/>
          <w:numId w:val="22"/>
        </w:numPr>
        <w:rPr>
          <w:szCs w:val="24"/>
        </w:rPr>
      </w:pPr>
      <w:r w:rsidRPr="00ED1F31">
        <w:t>Measures to manage all risks related to a railway undertaking’s activity.</w:t>
      </w:r>
    </w:p>
    <w:p w:rsidR="00A113DC" w:rsidRPr="00ED1F31" w:rsidRDefault="00F46E39" w:rsidP="00976521">
      <w:pPr>
        <w:pStyle w:val="ListParagraph"/>
        <w:numPr>
          <w:ilvl w:val="2"/>
          <w:numId w:val="22"/>
        </w:numPr>
        <w:rPr>
          <w:szCs w:val="24"/>
        </w:rPr>
      </w:pPr>
      <w:r w:rsidRPr="00ED1F31">
        <w:t>Risks caused by the activities of parties outside the railway system.</w:t>
      </w:r>
    </w:p>
    <w:p w:rsidR="00A113DC" w:rsidRPr="00ED1F31" w:rsidRDefault="00F46E39" w:rsidP="00976521">
      <w:pPr>
        <w:pStyle w:val="ListParagraph"/>
        <w:numPr>
          <w:ilvl w:val="2"/>
          <w:numId w:val="22"/>
        </w:numPr>
        <w:rPr>
          <w:szCs w:val="24"/>
        </w:rPr>
      </w:pPr>
      <w:r w:rsidRPr="00ED1F31">
        <w:t>Action, alert and information pla</w:t>
      </w:r>
      <w:r w:rsidRPr="00ED1F31">
        <w:t>ns for emergencies, adopted in agreement with the competent public authorities.</w:t>
      </w:r>
    </w:p>
    <w:p w:rsidR="00A113DC" w:rsidRPr="00ED1F31" w:rsidRDefault="00F46E39" w:rsidP="00976521">
      <w:pPr>
        <w:pStyle w:val="ListParagraph"/>
        <w:numPr>
          <w:ilvl w:val="2"/>
          <w:numId w:val="22"/>
        </w:numPr>
        <w:rPr>
          <w:szCs w:val="24"/>
        </w:rPr>
      </w:pPr>
      <w:r w:rsidRPr="00ED1F31">
        <w:t>Compliance with network-specific rules.</w:t>
      </w:r>
    </w:p>
    <w:p w:rsidR="00A113DC" w:rsidRPr="00ED1F31" w:rsidRDefault="00F46E39" w:rsidP="00976521">
      <w:pPr>
        <w:pStyle w:val="ListParagraph"/>
        <w:numPr>
          <w:ilvl w:val="2"/>
          <w:numId w:val="22"/>
        </w:numPr>
        <w:rPr>
          <w:szCs w:val="24"/>
        </w:rPr>
      </w:pPr>
      <w:r w:rsidRPr="00ED1F31">
        <w:t>Compliance with network-specific rules regarding staff skills.</w:t>
      </w:r>
    </w:p>
    <w:p w:rsidR="00A113DC" w:rsidRPr="00ED1F31" w:rsidRDefault="00F46E39" w:rsidP="00976521">
      <w:pPr>
        <w:pStyle w:val="ListParagraph"/>
        <w:numPr>
          <w:ilvl w:val="2"/>
          <w:numId w:val="22"/>
        </w:numPr>
      </w:pPr>
      <w:r w:rsidRPr="00ED1F31">
        <w:t>Compliance with specific rules on rolling stock management.</w:t>
      </w:r>
    </w:p>
    <w:p w:rsidR="00A113DC" w:rsidRPr="00ED1F31" w:rsidRDefault="00F46E39" w:rsidP="004701B0">
      <w:pPr>
        <w:pStyle w:val="BodyText"/>
      </w:pPr>
      <w:r w:rsidRPr="00ED1F31">
        <w:t>Following the</w:t>
      </w:r>
      <w:r w:rsidRPr="00ED1F31">
        <w:t xml:space="preserve"> discrepancies from the applicable references, the following subject will be included in the audit programme in 2017:</w:t>
      </w:r>
    </w:p>
    <w:p w:rsidR="00A113DC" w:rsidRPr="00ED1F31" w:rsidRDefault="00F46E39" w:rsidP="00976521">
      <w:pPr>
        <w:pStyle w:val="ListParagraph"/>
        <w:numPr>
          <w:ilvl w:val="2"/>
          <w:numId w:val="23"/>
        </w:numPr>
        <w:rPr>
          <w:szCs w:val="24"/>
        </w:rPr>
      </w:pPr>
      <w:r w:rsidRPr="00ED1F31">
        <w:t>Management of risks related to the use of contractors and control of suppliers.</w:t>
      </w:r>
    </w:p>
    <w:p w:rsidR="00A113DC" w:rsidRPr="00ED1F31" w:rsidRDefault="00F46E39" w:rsidP="00976521">
      <w:pPr>
        <w:pStyle w:val="ListParagraph"/>
        <w:numPr>
          <w:ilvl w:val="2"/>
          <w:numId w:val="23"/>
        </w:numPr>
        <w:rPr>
          <w:rFonts w:eastAsia="Calibri" w:cs="Calibri"/>
          <w:szCs w:val="24"/>
        </w:rPr>
      </w:pPr>
      <w:r w:rsidRPr="00ED1F31">
        <w:t>Procedures to ensure that accidents or incidents and near-</w:t>
      </w:r>
      <w:r w:rsidRPr="00ED1F31">
        <w:t>misses, as well as other dangerous occurrences, are reported, examined and analysed and that the necessary preventive measures are taken.</w:t>
      </w:r>
    </w:p>
    <w:p w:rsidR="00A113DC" w:rsidRPr="00ED1F31" w:rsidRDefault="00F46E39" w:rsidP="001258F9">
      <w:pPr>
        <w:pStyle w:val="BodyText"/>
      </w:pPr>
      <w:r w:rsidRPr="00ED1F31">
        <w:t xml:space="preserve">To ascertain whether structural, functional, operational and organisational changes by the different stakeholders are </w:t>
      </w:r>
      <w:r w:rsidRPr="00ED1F31">
        <w:t xml:space="preserve">properly managed, the ACF has decided to include the correct application of Commission Implementing Regulation (EU) No 402/2013 on the common safety method for risk evaluation and assessment in the annual audit programmes to be carried out on stakeholders </w:t>
      </w:r>
      <w:r w:rsidRPr="00ED1F31">
        <w:t>in the sector.</w:t>
      </w:r>
    </w:p>
    <w:p w:rsidR="00A113DC" w:rsidRPr="00ED1F31" w:rsidRDefault="00F46E39" w:rsidP="001258F9">
      <w:pPr>
        <w:pStyle w:val="BodyText"/>
      </w:pPr>
      <w:r w:rsidRPr="00ED1F31">
        <w:t>Nevertheless, it should be mentioned that a number of projects and programmes are currently being implemented by the Ministry of Sustainable Development, the IM and the RUs, along with awareness campaigns directly linked to safety, such as:</w:t>
      </w:r>
    </w:p>
    <w:p w:rsidR="00A113DC" w:rsidRPr="00ED1F31" w:rsidRDefault="00F46E39" w:rsidP="00976521">
      <w:pPr>
        <w:pStyle w:val="ListParagraph"/>
        <w:numPr>
          <w:ilvl w:val="0"/>
          <w:numId w:val="13"/>
        </w:numPr>
        <w:tabs>
          <w:tab w:val="left" w:pos="1380"/>
        </w:tabs>
        <w:spacing w:before="118" w:line="276" w:lineRule="auto"/>
        <w:ind w:left="1380" w:right="119" w:hanging="356"/>
        <w:rPr>
          <w:rFonts w:eastAsia="Calibri" w:cs="Calibri"/>
          <w:szCs w:val="24"/>
        </w:rPr>
      </w:pPr>
      <w:r w:rsidRPr="00ED1F31">
        <w:t>installation of ETCS equipment in existing rolling stock or systematic replacement of rolling stock without ETCS, which is a much more effective system in terms of operational safety than the Class B equipment (MEMOR II+);</w:t>
      </w:r>
    </w:p>
    <w:p w:rsidR="00A113DC" w:rsidRPr="00ED1F31" w:rsidRDefault="00F46E39" w:rsidP="00976521">
      <w:pPr>
        <w:pStyle w:val="ListParagraph"/>
        <w:numPr>
          <w:ilvl w:val="0"/>
          <w:numId w:val="13"/>
        </w:numPr>
        <w:tabs>
          <w:tab w:val="left" w:pos="1380"/>
        </w:tabs>
        <w:ind w:left="1380" w:hanging="356"/>
        <w:rPr>
          <w:rFonts w:eastAsia="Calibri" w:cs="Calibri"/>
          <w:szCs w:val="24"/>
        </w:rPr>
      </w:pPr>
      <w:r w:rsidRPr="00ED1F31">
        <w:t>the programme for the gradual eli</w:t>
      </w:r>
      <w:r w:rsidRPr="00ED1F31">
        <w:t>mination of level crossings;</w:t>
      </w:r>
    </w:p>
    <w:p w:rsidR="00A113DC" w:rsidRPr="00ED1F31" w:rsidRDefault="00F46E39" w:rsidP="00976521">
      <w:pPr>
        <w:pStyle w:val="ListParagraph"/>
        <w:numPr>
          <w:ilvl w:val="0"/>
          <w:numId w:val="13"/>
        </w:numPr>
        <w:tabs>
          <w:tab w:val="left" w:pos="1380"/>
        </w:tabs>
        <w:spacing w:before="42" w:line="276" w:lineRule="auto"/>
        <w:ind w:left="1380" w:right="117" w:hanging="356"/>
        <w:rPr>
          <w:rFonts w:eastAsia="Calibri" w:cs="Calibri"/>
          <w:szCs w:val="24"/>
        </w:rPr>
      </w:pPr>
      <w:r w:rsidRPr="00ED1F31">
        <w:t>regular campaigns (including an annual campaign) on level crossing use by road users, to inform users of the dangers of crossing the tracks.</w:t>
      </w:r>
    </w:p>
    <w:p w:rsidR="00A113DC" w:rsidRPr="00ED1F31" w:rsidRDefault="00F46E39" w:rsidP="005729A3">
      <w:pPr>
        <w:pStyle w:val="Heading2"/>
        <w:pageBreakBefore/>
        <w:numPr>
          <w:ilvl w:val="1"/>
          <w:numId w:val="16"/>
        </w:numPr>
        <w:spacing w:before="0"/>
        <w:ind w:left="533" w:hanging="442"/>
      </w:pPr>
      <w:bookmarkStart w:id="24" w:name="B.3___Evaluation_de_l’exercice_écoulé"/>
      <w:bookmarkStart w:id="25" w:name="_bookmark6"/>
      <w:bookmarkStart w:id="26" w:name="_Toc500406936"/>
      <w:bookmarkStart w:id="27" w:name="_Toc505328189"/>
      <w:bookmarkEnd w:id="24"/>
      <w:bookmarkEnd w:id="25"/>
      <w:r w:rsidRPr="00ED1F31">
        <w:t>Assessment of the past year</w:t>
      </w:r>
      <w:bookmarkEnd w:id="26"/>
      <w:bookmarkEnd w:id="27"/>
    </w:p>
    <w:p w:rsidR="00A113DC" w:rsidRPr="00ED1F31" w:rsidRDefault="00F46E39" w:rsidP="001258F9">
      <w:pPr>
        <w:pStyle w:val="BodyText"/>
      </w:pPr>
      <w:r w:rsidRPr="00ED1F31">
        <w:t xml:space="preserve">As already mentioned in point B1, the safety level as </w:t>
      </w:r>
      <w:r w:rsidRPr="00ED1F31">
        <w:t>regards the Common Safety Targets (CST) laid down by the European Union is very high and remains stable. The indicators for 2016 are all below or at the National Reference Values (NRV) (for Luxembourg) set out in Commission Decision 2012/226/EU on the seco</w:t>
      </w:r>
      <w:r w:rsidRPr="00ED1F31">
        <w:t>nd set of common safety targets as regards the rail system. We would particularly like to highlight the fact that the situation concerning signals passed at danger, which had increased at an alarming rate, has markedly improved and the number recorded, inv</w:t>
      </w:r>
      <w:r w:rsidRPr="00ED1F31">
        <w:t>olving two trains and eight shunting manoeuvres, is one of the lowest since the ACF was set up. Breakdowns of safety performance are given in Chapter C and Annex A.</w:t>
      </w:r>
    </w:p>
    <w:p w:rsidR="00A113DC" w:rsidRPr="00ED1F31" w:rsidRDefault="00F46E39" w:rsidP="001258F9">
      <w:pPr>
        <w:pStyle w:val="BodyText"/>
      </w:pPr>
      <w:r w:rsidRPr="00ED1F31">
        <w:t>We concentrated on the following issues in our audits of the RUs in 2016:</w:t>
      </w:r>
    </w:p>
    <w:p w:rsidR="00A113DC" w:rsidRPr="00ED1F31" w:rsidRDefault="00F46E39" w:rsidP="00976521">
      <w:pPr>
        <w:pStyle w:val="ListParagraph"/>
        <w:numPr>
          <w:ilvl w:val="2"/>
          <w:numId w:val="24"/>
        </w:numPr>
        <w:rPr>
          <w:i/>
        </w:rPr>
      </w:pPr>
      <w:r w:rsidRPr="00ED1F31">
        <w:rPr>
          <w:i/>
        </w:rPr>
        <w:t>Management of all</w:t>
      </w:r>
      <w:r w:rsidRPr="00ED1F31">
        <w:rPr>
          <w:i/>
        </w:rPr>
        <w:t xml:space="preserve"> risks related to the railway undertaking’s activities;</w:t>
      </w:r>
    </w:p>
    <w:p w:rsidR="00A113DC" w:rsidRPr="00ED1F31" w:rsidRDefault="00F46E39" w:rsidP="00976521">
      <w:pPr>
        <w:pStyle w:val="ListParagraph"/>
        <w:numPr>
          <w:ilvl w:val="2"/>
          <w:numId w:val="24"/>
        </w:numPr>
        <w:rPr>
          <w:i/>
        </w:rPr>
      </w:pPr>
      <w:r w:rsidRPr="00ED1F31">
        <w:rPr>
          <w:i/>
        </w:rPr>
        <w:t>Management of risks related to the use of contractors and control of suppliers;</w:t>
      </w:r>
    </w:p>
    <w:p w:rsidR="00A113DC" w:rsidRPr="00ED1F31" w:rsidRDefault="00F46E39" w:rsidP="00976521">
      <w:pPr>
        <w:pStyle w:val="ListParagraph"/>
        <w:numPr>
          <w:ilvl w:val="2"/>
          <w:numId w:val="24"/>
        </w:numPr>
        <w:rPr>
          <w:i/>
        </w:rPr>
      </w:pPr>
      <w:r w:rsidRPr="00ED1F31">
        <w:rPr>
          <w:i/>
        </w:rPr>
        <w:t>Setting up of staff training programmes and systems for monitoring maintenance of their skills and for ensuring tasks ar</w:t>
      </w:r>
      <w:r w:rsidRPr="00ED1F31">
        <w:rPr>
          <w:i/>
        </w:rPr>
        <w:t>e performed accordingly;</w:t>
      </w:r>
    </w:p>
    <w:p w:rsidR="00A113DC" w:rsidRPr="00ED1F31" w:rsidRDefault="00F46E39" w:rsidP="00976521">
      <w:pPr>
        <w:pStyle w:val="ListParagraph"/>
        <w:numPr>
          <w:ilvl w:val="2"/>
          <w:numId w:val="24"/>
        </w:numPr>
        <w:rPr>
          <w:i/>
        </w:rPr>
      </w:pPr>
      <w:r w:rsidRPr="00ED1F31">
        <w:rPr>
          <w:i/>
        </w:rPr>
        <w:t>Qualitative and quantitative targets of the organisation as regards maintenance and improvement of safety, including plans and procedures for meeting those targets;</w:t>
      </w:r>
    </w:p>
    <w:p w:rsidR="00A113DC" w:rsidRPr="00ED1F31" w:rsidRDefault="00F46E39" w:rsidP="00976521">
      <w:pPr>
        <w:pStyle w:val="ListParagraph"/>
        <w:numPr>
          <w:ilvl w:val="2"/>
          <w:numId w:val="24"/>
        </w:numPr>
        <w:rPr>
          <w:i/>
        </w:rPr>
      </w:pPr>
      <w:r w:rsidRPr="00ED1F31">
        <w:rPr>
          <w:i/>
        </w:rPr>
        <w:t>Procedures for meeting existing, new and modified technical and op</w:t>
      </w:r>
      <w:r w:rsidRPr="00ED1F31">
        <w:rPr>
          <w:i/>
        </w:rPr>
        <w:t>erational standards or other requirements;</w:t>
      </w:r>
    </w:p>
    <w:p w:rsidR="00A113DC" w:rsidRPr="00ED1F31" w:rsidRDefault="00F46E39" w:rsidP="00976521">
      <w:pPr>
        <w:pStyle w:val="ListParagraph"/>
        <w:numPr>
          <w:ilvl w:val="2"/>
          <w:numId w:val="24"/>
        </w:numPr>
        <w:rPr>
          <w:i/>
        </w:rPr>
      </w:pPr>
      <w:r w:rsidRPr="00ED1F31">
        <w:rPr>
          <w:i/>
        </w:rPr>
        <w:t>Procedures and methods for assessing risks and taking risk control measures whenever a change in operating conditions or the introduction of new equipment produces new infrastructure or operational risks;</w:t>
      </w:r>
    </w:p>
    <w:p w:rsidR="00A113DC" w:rsidRPr="00ED1F31" w:rsidRDefault="00F46E39" w:rsidP="00976521">
      <w:pPr>
        <w:pStyle w:val="ListParagraph"/>
        <w:numPr>
          <w:ilvl w:val="2"/>
          <w:numId w:val="24"/>
        </w:numPr>
        <w:rPr>
          <w:i/>
        </w:rPr>
      </w:pPr>
      <w:r w:rsidRPr="00ED1F31">
        <w:rPr>
          <w:i/>
        </w:rPr>
        <w:t>Procedur</w:t>
      </w:r>
      <w:r w:rsidRPr="00ED1F31">
        <w:rPr>
          <w:i/>
        </w:rPr>
        <w:t>es to ensure that accidents, incidents and near-misses and other dangerous occurrences are reported, examined and analysed and that the necessary preventive measures are taken.</w:t>
      </w:r>
    </w:p>
    <w:p w:rsidR="00A113DC" w:rsidRPr="00ED1F31" w:rsidRDefault="00F46E39" w:rsidP="001258F9">
      <w:pPr>
        <w:pStyle w:val="BodyText"/>
        <w:pageBreakBefore/>
      </w:pPr>
      <w:r w:rsidRPr="00ED1F31">
        <w:t>The main topics covered by IM audits are listed below:</w:t>
      </w:r>
    </w:p>
    <w:p w:rsidR="00A113DC" w:rsidRPr="00ED1F31" w:rsidRDefault="00F46E39" w:rsidP="00976521">
      <w:pPr>
        <w:pStyle w:val="ListParagraph"/>
        <w:numPr>
          <w:ilvl w:val="2"/>
          <w:numId w:val="25"/>
        </w:numPr>
        <w:rPr>
          <w:i/>
          <w:szCs w:val="24"/>
        </w:rPr>
      </w:pPr>
      <w:r w:rsidRPr="00ED1F31">
        <w:rPr>
          <w:i/>
        </w:rPr>
        <w:t>Infrastructure Operation</w:t>
      </w:r>
      <w:r w:rsidRPr="00ED1F31">
        <w:rPr>
          <w:i/>
        </w:rPr>
        <w:t>s Service audited area – traffic management;</w:t>
      </w:r>
    </w:p>
    <w:p w:rsidR="00A113DC" w:rsidRPr="00ED1F31" w:rsidRDefault="00F46E39" w:rsidP="00976521">
      <w:pPr>
        <w:pStyle w:val="ListParagraph"/>
        <w:numPr>
          <w:ilvl w:val="2"/>
          <w:numId w:val="25"/>
        </w:numPr>
        <w:rPr>
          <w:i/>
          <w:szCs w:val="24"/>
        </w:rPr>
      </w:pPr>
      <w:r w:rsidRPr="00ED1F31">
        <w:rPr>
          <w:i/>
        </w:rPr>
        <w:t>Safety management system documentation;</w:t>
      </w:r>
    </w:p>
    <w:p w:rsidR="00A113DC" w:rsidRPr="00ED1F31" w:rsidRDefault="00F46E39" w:rsidP="00976521">
      <w:pPr>
        <w:pStyle w:val="ListParagraph"/>
        <w:numPr>
          <w:ilvl w:val="2"/>
          <w:numId w:val="25"/>
        </w:numPr>
        <w:rPr>
          <w:i/>
          <w:szCs w:val="24"/>
        </w:rPr>
      </w:pPr>
      <w:r w:rsidRPr="00ED1F31">
        <w:rPr>
          <w:i/>
        </w:rPr>
        <w:t>Allocation of responsibilities;</w:t>
      </w:r>
    </w:p>
    <w:p w:rsidR="00A113DC" w:rsidRPr="00ED1F31" w:rsidRDefault="00F46E39" w:rsidP="00976521">
      <w:pPr>
        <w:pStyle w:val="ListParagraph"/>
        <w:numPr>
          <w:ilvl w:val="2"/>
          <w:numId w:val="25"/>
        </w:numPr>
        <w:rPr>
          <w:i/>
          <w:szCs w:val="24"/>
        </w:rPr>
      </w:pPr>
      <w:r w:rsidRPr="00ED1F31">
        <w:rPr>
          <w:i/>
        </w:rPr>
        <w:t>Ensuring that the different levels of management are making checks;</w:t>
      </w:r>
    </w:p>
    <w:p w:rsidR="00A113DC" w:rsidRPr="00ED1F31" w:rsidRDefault="00F46E39" w:rsidP="00976521">
      <w:pPr>
        <w:pStyle w:val="ListParagraph"/>
        <w:numPr>
          <w:ilvl w:val="2"/>
          <w:numId w:val="25"/>
        </w:numPr>
        <w:rPr>
          <w:i/>
          <w:szCs w:val="24"/>
        </w:rPr>
      </w:pPr>
      <w:r w:rsidRPr="00ED1F31">
        <w:rPr>
          <w:i/>
        </w:rPr>
        <w:t>Setting up of staff training programmes and systems for monitoring skil</w:t>
      </w:r>
      <w:r w:rsidRPr="00ED1F31">
        <w:rPr>
          <w:i/>
        </w:rPr>
        <w:t>ls maintenance and for ensuring tasks are performed accordingly;</w:t>
      </w:r>
    </w:p>
    <w:p w:rsidR="00A113DC" w:rsidRPr="00ED1F31" w:rsidRDefault="00F46E39" w:rsidP="00976521">
      <w:pPr>
        <w:pStyle w:val="ListParagraph"/>
        <w:numPr>
          <w:ilvl w:val="2"/>
          <w:numId w:val="25"/>
        </w:numPr>
        <w:rPr>
          <w:i/>
          <w:szCs w:val="24"/>
        </w:rPr>
      </w:pPr>
      <w:r w:rsidRPr="00ED1F31">
        <w:rPr>
          <w:i/>
        </w:rPr>
        <w:t>Measures to ensure sufficient information is circulated within the organisation and, where appropriate, between organisations operating on the same infrastructure;</w:t>
      </w:r>
    </w:p>
    <w:p w:rsidR="00A113DC" w:rsidRPr="00ED1F31" w:rsidRDefault="00F46E39" w:rsidP="00976521">
      <w:pPr>
        <w:pStyle w:val="ListParagraph"/>
        <w:numPr>
          <w:ilvl w:val="2"/>
          <w:numId w:val="25"/>
        </w:numPr>
        <w:rPr>
          <w:i/>
          <w:szCs w:val="24"/>
        </w:rPr>
      </w:pPr>
      <w:r w:rsidRPr="00ED1F31">
        <w:rPr>
          <w:i/>
        </w:rPr>
        <w:t>Planning of regular interna</w:t>
      </w:r>
      <w:r w:rsidRPr="00ED1F31">
        <w:rPr>
          <w:i/>
        </w:rPr>
        <w:t>l audits of the safety management system;</w:t>
      </w:r>
    </w:p>
    <w:p w:rsidR="00A113DC" w:rsidRPr="00ED1F31" w:rsidRDefault="00F46E39" w:rsidP="00976521">
      <w:pPr>
        <w:pStyle w:val="ListParagraph"/>
        <w:numPr>
          <w:ilvl w:val="2"/>
          <w:numId w:val="25"/>
        </w:numPr>
        <w:rPr>
          <w:i/>
          <w:szCs w:val="24"/>
        </w:rPr>
      </w:pPr>
      <w:r w:rsidRPr="00ED1F31">
        <w:rPr>
          <w:i/>
        </w:rPr>
        <w:t>Operational safety of railway infrastructure;</w:t>
      </w:r>
    </w:p>
    <w:p w:rsidR="00A113DC" w:rsidRPr="00ED1F31" w:rsidRDefault="00F46E39" w:rsidP="00976521">
      <w:pPr>
        <w:pStyle w:val="ListParagraph"/>
        <w:numPr>
          <w:ilvl w:val="2"/>
          <w:numId w:val="25"/>
        </w:numPr>
        <w:rPr>
          <w:rFonts w:eastAsia="Calibri" w:cs="Calibri"/>
          <w:szCs w:val="24"/>
        </w:rPr>
      </w:pPr>
      <w:r w:rsidRPr="00ED1F31">
        <w:rPr>
          <w:i/>
        </w:rPr>
        <w:t>Action, alert and information plans for emergencies, adopted in agreement with the competent public authorities.</w:t>
      </w:r>
    </w:p>
    <w:p w:rsidR="00A113DC" w:rsidRPr="00ED1F31" w:rsidRDefault="00A113DC" w:rsidP="001258F9">
      <w:pPr>
        <w:pStyle w:val="BodyText"/>
      </w:pPr>
    </w:p>
    <w:p w:rsidR="00A113DC" w:rsidRPr="00ED1F31" w:rsidRDefault="00F46E39" w:rsidP="001258F9">
      <w:pPr>
        <w:pStyle w:val="BodyText"/>
      </w:pPr>
      <w:r w:rsidRPr="00ED1F31">
        <w:t xml:space="preserve">Given the risks posed by the IM’s signal boxes, </w:t>
      </w:r>
      <w:r w:rsidRPr="00ED1F31">
        <w:t>especially during degraded operation or disrupted traffic conditions, the ACF would like to broaden its audits in this area, but because it has no experts on the subject, its ability to do so remains limited.</w:t>
      </w:r>
    </w:p>
    <w:p w:rsidR="00A113DC" w:rsidRPr="00ED1F31" w:rsidRDefault="00A113DC" w:rsidP="001258F9">
      <w:pPr>
        <w:pStyle w:val="BodyText"/>
      </w:pPr>
    </w:p>
    <w:p w:rsidR="00A113DC" w:rsidRPr="00ED1F31" w:rsidRDefault="00F46E39" w:rsidP="001258F9">
      <w:pPr>
        <w:pStyle w:val="BodyText"/>
      </w:pPr>
      <w:r w:rsidRPr="00ED1F31">
        <w:t xml:space="preserve">The findings of the audits carried out by the </w:t>
      </w:r>
      <w:r w:rsidRPr="00ED1F31">
        <w:t>ACF were satisfactory. Nevertheless, as in the evaluation of applications for safety authorisations and certificates, several points were noted and recommendations for improvement with time scales for implementing them were sent to the entities concerned.</w:t>
      </w:r>
    </w:p>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A113DC" w:rsidRPr="00ED1F31" w:rsidRDefault="00A113DC" w:rsidP="009D7853"/>
    <w:p w:rsidR="009D7853" w:rsidRPr="00ED1F31" w:rsidRDefault="009D7853" w:rsidP="00661C6C">
      <w:pPr>
        <w:ind w:left="0"/>
      </w:pPr>
    </w:p>
    <w:p w:rsidR="00A113DC" w:rsidRPr="00ED1F31" w:rsidRDefault="00F46E39" w:rsidP="009D7853">
      <w:pPr>
        <w:pStyle w:val="Quote"/>
        <w:rPr>
          <w:rFonts w:eastAsia="Calibri" w:cs="Calibri"/>
          <w:szCs w:val="16"/>
        </w:rPr>
      </w:pPr>
      <w:r w:rsidRPr="00ED1F31">
        <w:t>*Centralised control station covering, for example, a whole line and/or a whole station</w:t>
      </w:r>
    </w:p>
    <w:p w:rsidR="00A113DC" w:rsidRPr="00ED1F31" w:rsidRDefault="00F46E39" w:rsidP="005729A3">
      <w:pPr>
        <w:pStyle w:val="Heading2"/>
        <w:pageBreakBefore/>
        <w:numPr>
          <w:ilvl w:val="1"/>
          <w:numId w:val="16"/>
        </w:numPr>
        <w:spacing w:before="0"/>
        <w:ind w:left="533" w:hanging="442"/>
      </w:pPr>
      <w:bookmarkStart w:id="28" w:name="B.4___Domaines_d’intérêt_pour_l’année_pr"/>
      <w:bookmarkStart w:id="29" w:name="_bookmark7"/>
      <w:bookmarkStart w:id="30" w:name="_Toc500406937"/>
      <w:bookmarkStart w:id="31" w:name="_Toc505328190"/>
      <w:bookmarkEnd w:id="28"/>
      <w:bookmarkEnd w:id="29"/>
      <w:r w:rsidRPr="00ED1F31">
        <w:t>Areas of interest for next year (2017)</w:t>
      </w:r>
      <w:bookmarkEnd w:id="30"/>
      <w:bookmarkEnd w:id="31"/>
    </w:p>
    <w:p w:rsidR="00A113DC" w:rsidRPr="00ED1F31" w:rsidRDefault="00F46E39" w:rsidP="009D7853">
      <w:pPr>
        <w:pStyle w:val="BodyText"/>
      </w:pPr>
      <w:r w:rsidRPr="00ED1F31">
        <w:t>Future areas of interest are:</w:t>
      </w:r>
    </w:p>
    <w:p w:rsidR="00A113DC" w:rsidRPr="00ED1F31" w:rsidRDefault="00F46E39" w:rsidP="00976521">
      <w:pPr>
        <w:pStyle w:val="ListParagraph"/>
        <w:numPr>
          <w:ilvl w:val="0"/>
          <w:numId w:val="26"/>
        </w:numPr>
      </w:pPr>
      <w:r w:rsidRPr="00ED1F31">
        <w:t>increasing the number of audits;</w:t>
      </w:r>
    </w:p>
    <w:p w:rsidR="00A113DC" w:rsidRPr="00ED1F31" w:rsidRDefault="00F46E39" w:rsidP="00976521">
      <w:pPr>
        <w:pStyle w:val="ListParagraph"/>
        <w:numPr>
          <w:ilvl w:val="0"/>
          <w:numId w:val="26"/>
        </w:numPr>
      </w:pPr>
      <w:r w:rsidRPr="00ED1F31">
        <w:t>strengthening cooperation with other NSAs;</w:t>
      </w:r>
    </w:p>
    <w:p w:rsidR="00A113DC" w:rsidRPr="00ED1F31" w:rsidRDefault="00F46E39" w:rsidP="00976521">
      <w:pPr>
        <w:pStyle w:val="ListParagraph"/>
        <w:numPr>
          <w:ilvl w:val="0"/>
          <w:numId w:val="26"/>
        </w:numPr>
      </w:pPr>
      <w:r w:rsidRPr="00ED1F31">
        <w:t xml:space="preserve">as </w:t>
      </w:r>
      <w:r w:rsidRPr="00ED1F31">
        <w:t>regards infrastructure, authorisation for putting the ETCS subsystem into service on all lines, which would allow the commercial test phase, not completed for reasons attributable to the RU CFL, to be closed and normal mode to commence;</w:t>
      </w:r>
    </w:p>
    <w:p w:rsidR="00A113DC" w:rsidRPr="00ED1F31" w:rsidRDefault="00F46E39" w:rsidP="00976521">
      <w:pPr>
        <w:pStyle w:val="ListParagraph"/>
        <w:numPr>
          <w:ilvl w:val="0"/>
          <w:numId w:val="26"/>
        </w:numPr>
      </w:pPr>
      <w:r w:rsidRPr="00ED1F31">
        <w:t>authorisation to pu</w:t>
      </w:r>
      <w:r w:rsidRPr="00ED1F31">
        <w:t>t the ETCS subsystem into service on vehicles;</w:t>
      </w:r>
    </w:p>
    <w:p w:rsidR="00A113DC" w:rsidRPr="00ED1F31" w:rsidRDefault="00F46E39" w:rsidP="00976521">
      <w:pPr>
        <w:pStyle w:val="ListParagraph"/>
        <w:numPr>
          <w:ilvl w:val="0"/>
          <w:numId w:val="26"/>
        </w:numPr>
      </w:pPr>
      <w:r w:rsidRPr="00ED1F31">
        <w:t>active participation by the ACF in the working groups on transposition of the technical pillar of the fourth railway package within the Railway Interoperability and Safety Committee (RISC) and the European Uni</w:t>
      </w:r>
      <w:r w:rsidRPr="00ED1F31">
        <w:t>on Agency for Railways;</w:t>
      </w:r>
    </w:p>
    <w:p w:rsidR="007E0FAB" w:rsidRPr="00ED1F31" w:rsidRDefault="00F46E39" w:rsidP="00976521">
      <w:pPr>
        <w:pStyle w:val="ListParagraph"/>
        <w:numPr>
          <w:ilvl w:val="0"/>
          <w:numId w:val="26"/>
        </w:numPr>
      </w:pPr>
      <w:r w:rsidRPr="00ED1F31">
        <w:t>preparation by the ACF for the changes planned under the fourth railway package.</w:t>
      </w:r>
    </w:p>
    <w:p w:rsidR="00661C6C" w:rsidRPr="00ED1F31" w:rsidRDefault="00661C6C" w:rsidP="00976521">
      <w:pPr>
        <w:pStyle w:val="ListParagraph"/>
        <w:numPr>
          <w:ilvl w:val="0"/>
          <w:numId w:val="26"/>
        </w:numPr>
        <w:sectPr w:rsidR="00661C6C" w:rsidRPr="00ED1F31" w:rsidSect="00205240">
          <w:pgSz w:w="11910" w:h="16840"/>
          <w:pgMar w:top="1397" w:right="1325" w:bottom="734" w:left="1339" w:header="0" w:footer="546" w:gutter="0"/>
          <w:cols w:space="720"/>
        </w:sectPr>
      </w:pPr>
    </w:p>
    <w:p w:rsidR="00A113DC" w:rsidRPr="00ED1F31" w:rsidRDefault="00F46E39" w:rsidP="00976521">
      <w:pPr>
        <w:pStyle w:val="Heading1"/>
        <w:numPr>
          <w:ilvl w:val="0"/>
          <w:numId w:val="16"/>
        </w:numPr>
        <w:rPr>
          <w:b w:val="0"/>
          <w:bCs w:val="0"/>
        </w:rPr>
      </w:pPr>
      <w:bookmarkStart w:id="32" w:name="C._EVOLUTIONS_DANS_LES_PERFORMANCES_DE_S"/>
      <w:bookmarkStart w:id="33" w:name="_bookmark8"/>
      <w:bookmarkStart w:id="34" w:name="_Toc500406938"/>
      <w:bookmarkStart w:id="35" w:name="_Toc505328191"/>
      <w:bookmarkEnd w:id="32"/>
      <w:bookmarkEnd w:id="33"/>
      <w:r w:rsidRPr="00ED1F31">
        <w:t>SAFETY PERFORMANCE TRENDS</w:t>
      </w:r>
      <w:bookmarkEnd w:id="34"/>
      <w:bookmarkEnd w:id="35"/>
    </w:p>
    <w:p w:rsidR="00A113DC" w:rsidRPr="00ED1F31" w:rsidRDefault="00F46E39" w:rsidP="00976521">
      <w:pPr>
        <w:pStyle w:val="Heading2"/>
        <w:numPr>
          <w:ilvl w:val="1"/>
          <w:numId w:val="16"/>
        </w:numPr>
      </w:pPr>
      <w:bookmarkStart w:id="36" w:name="C.1___Analyse_détaillée_des_dernières_te"/>
      <w:bookmarkStart w:id="37" w:name="_bookmark9"/>
      <w:bookmarkStart w:id="38" w:name="_Toc500406939"/>
      <w:bookmarkStart w:id="39" w:name="_Toc505328192"/>
      <w:bookmarkEnd w:id="36"/>
      <w:bookmarkEnd w:id="37"/>
      <w:r w:rsidRPr="00ED1F31">
        <w:t>Detailed analysis of the latest trends recorded</w:t>
      </w:r>
      <w:bookmarkEnd w:id="38"/>
      <w:bookmarkEnd w:id="39"/>
    </w:p>
    <w:tbl>
      <w:tblPr>
        <w:tblW w:w="0" w:type="auto"/>
        <w:tblInd w:w="115" w:type="dxa"/>
        <w:tblLayout w:type="fixed"/>
        <w:tblCellMar>
          <w:left w:w="0" w:type="dxa"/>
          <w:right w:w="0" w:type="dxa"/>
        </w:tblCellMar>
        <w:tblLook w:val="01E0" w:firstRow="1" w:lastRow="1" w:firstColumn="1" w:lastColumn="1" w:noHBand="0" w:noVBand="0"/>
      </w:tblPr>
      <w:tblGrid>
        <w:gridCol w:w="3120"/>
        <w:gridCol w:w="2282"/>
        <w:gridCol w:w="917"/>
        <w:gridCol w:w="914"/>
        <w:gridCol w:w="914"/>
        <w:gridCol w:w="914"/>
        <w:gridCol w:w="917"/>
      </w:tblGrid>
      <w:tr w:rsidR="00BD7B71" w:rsidTr="004C4429">
        <w:trPr>
          <w:trHeight w:hRule="exact" w:val="739"/>
        </w:trPr>
        <w:tc>
          <w:tcPr>
            <w:tcW w:w="312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ind w:left="103"/>
              <w:rPr>
                <w:rFonts w:ascii="Arial" w:eastAsia="Arial" w:hAnsi="Arial" w:cs="Arial"/>
                <w:sz w:val="20"/>
                <w:szCs w:val="20"/>
              </w:rPr>
            </w:pPr>
            <w:r w:rsidRPr="00ED1F31">
              <w:rPr>
                <w:rFonts w:ascii="Arial" w:hAnsi="Arial"/>
                <w:b/>
                <w:sz w:val="20"/>
              </w:rPr>
              <w:t>Main indicators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shd w:val="clear" w:color="auto" w:fill="DEDEDE"/>
            <w:vAlign w:val="center"/>
          </w:tcPr>
          <w:p w:rsidR="00A113DC" w:rsidRPr="00ED1F31" w:rsidRDefault="00F46E39" w:rsidP="004C4429">
            <w:pPr>
              <w:pStyle w:val="TableParagraph"/>
              <w:ind w:left="0" w:right="2"/>
              <w:jc w:val="center"/>
              <w:rPr>
                <w:rFonts w:ascii="Arial" w:eastAsia="Arial" w:hAnsi="Arial" w:cs="Arial"/>
                <w:sz w:val="16"/>
                <w:szCs w:val="16"/>
              </w:rPr>
            </w:pPr>
            <w:r w:rsidRPr="00ED1F31">
              <w:rPr>
                <w:rFonts w:ascii="Arial" w:hAnsi="Arial"/>
                <w:sz w:val="16"/>
              </w:rPr>
              <w:t>2016</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ind w:left="0" w:right="5"/>
              <w:jc w:val="center"/>
              <w:rPr>
                <w:rFonts w:ascii="Arial" w:eastAsia="Arial" w:hAnsi="Arial" w:cs="Arial"/>
                <w:sz w:val="16"/>
                <w:szCs w:val="16"/>
              </w:rPr>
            </w:pPr>
            <w:r w:rsidRPr="00ED1F31">
              <w:rPr>
                <w:rFonts w:ascii="Arial" w:hAnsi="Arial"/>
                <w:sz w:val="16"/>
              </w:rPr>
              <w:t>2015</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line="398" w:lineRule="auto"/>
              <w:ind w:left="0" w:right="0"/>
              <w:jc w:val="center"/>
              <w:rPr>
                <w:rFonts w:ascii="Arial" w:eastAsia="Arial" w:hAnsi="Arial" w:cs="Arial"/>
                <w:sz w:val="16"/>
                <w:szCs w:val="16"/>
              </w:rPr>
            </w:pPr>
            <w:r w:rsidRPr="00ED1F31">
              <w:rPr>
                <w:rFonts w:ascii="Arial" w:hAnsi="Arial"/>
                <w:spacing w:val="-2"/>
                <w:sz w:val="16"/>
              </w:rPr>
              <w:t>Average 11-16</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line="398" w:lineRule="auto"/>
              <w:ind w:left="0" w:right="0"/>
              <w:jc w:val="center"/>
              <w:rPr>
                <w:rFonts w:ascii="Arial" w:eastAsia="Arial" w:hAnsi="Arial" w:cs="Arial"/>
                <w:sz w:val="16"/>
                <w:szCs w:val="16"/>
              </w:rPr>
            </w:pPr>
            <w:r w:rsidRPr="00ED1F31">
              <w:rPr>
                <w:rFonts w:ascii="Arial" w:hAnsi="Arial"/>
                <w:sz w:val="16"/>
              </w:rPr>
              <w:t xml:space="preserve">According to </w:t>
            </w:r>
            <w:r w:rsidRPr="00ED1F31">
              <w:rPr>
                <w:rFonts w:ascii="Arial" w:hAnsi="Arial"/>
                <w:sz w:val="16"/>
              </w:rPr>
              <w:t>NRV</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line="398" w:lineRule="auto"/>
              <w:ind w:left="0" w:right="1"/>
              <w:jc w:val="center"/>
              <w:rPr>
                <w:rFonts w:ascii="Arial" w:eastAsia="Arial" w:hAnsi="Arial" w:cs="Arial"/>
                <w:sz w:val="16"/>
                <w:szCs w:val="16"/>
              </w:rPr>
            </w:pPr>
            <w:r w:rsidRPr="00ED1F31">
              <w:rPr>
                <w:rFonts w:ascii="Arial" w:hAnsi="Arial"/>
                <w:sz w:val="16"/>
              </w:rPr>
              <w:t>According to CST</w:t>
            </w: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255"/>
              <w:rPr>
                <w:rFonts w:ascii="Arial" w:eastAsia="Arial" w:hAnsi="Arial" w:cs="Arial"/>
                <w:sz w:val="16"/>
                <w:szCs w:val="16"/>
              </w:rPr>
            </w:pPr>
            <w:r w:rsidRPr="00ED1F31">
              <w:rPr>
                <w:rFonts w:ascii="Arial" w:hAnsi="Arial"/>
                <w:sz w:val="16"/>
              </w:rPr>
              <w:t>Total number of persons seriously injured and killed (excluding suicides)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0.8</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1.93</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23.79</w:t>
            </w:r>
          </w:p>
        </w:tc>
      </w:tr>
      <w:tr w:rsidR="00BD7B71" w:rsidTr="004C4429">
        <w:trPr>
          <w:trHeight w:hRule="exact" w:val="432"/>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0.09</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0.21</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2.59</w:t>
            </w: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Pr>
                <w:rFonts w:ascii="Arial" w:eastAsia="Arial" w:hAnsi="Arial" w:cs="Arial"/>
                <w:sz w:val="16"/>
                <w:szCs w:val="16"/>
              </w:rPr>
            </w:pPr>
            <w:r w:rsidRPr="00ED1F31">
              <w:rPr>
                <w:rFonts w:ascii="Arial" w:hAnsi="Arial"/>
                <w:sz w:val="16"/>
              </w:rPr>
              <w:t>Passengers seriously injured and killed</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8"/>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8"/>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8"/>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8"/>
              <w:ind w:left="0" w:right="0"/>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8"/>
              <w:ind w:left="0" w:right="0"/>
              <w:jc w:val="center"/>
              <w:rPr>
                <w:rFonts w:ascii="Arial" w:eastAsia="Arial" w:hAnsi="Arial" w:cs="Arial"/>
                <w:sz w:val="16"/>
                <w:szCs w:val="16"/>
              </w:rPr>
            </w:pPr>
            <w:r w:rsidRPr="00ED1F31">
              <w:rPr>
                <w:rFonts w:ascii="Arial" w:hAnsi="Arial"/>
                <w:sz w:val="16"/>
              </w:rPr>
              <w:t>0.20</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8"/>
              <w:ind w:left="0" w:right="0"/>
              <w:jc w:val="center"/>
              <w:rPr>
                <w:rFonts w:ascii="Arial" w:eastAsia="Arial" w:hAnsi="Arial" w:cs="Arial"/>
                <w:sz w:val="16"/>
                <w:szCs w:val="16"/>
              </w:rPr>
            </w:pPr>
            <w:r w:rsidRPr="00ED1F31">
              <w:rPr>
                <w:rFonts w:ascii="Arial" w:hAnsi="Arial"/>
                <w:spacing w:val="-1"/>
                <w:sz w:val="16"/>
              </w:rPr>
              <w:t>1.43</w:t>
            </w:r>
          </w:p>
        </w:tc>
      </w:tr>
      <w:tr w:rsidR="00BD7B71" w:rsidTr="004C4429">
        <w:trPr>
          <w:trHeight w:hRule="exact" w:val="619"/>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767" w:right="17" w:hanging="423"/>
              <w:rPr>
                <w:rFonts w:ascii="Arial" w:eastAsia="Arial" w:hAnsi="Arial" w:cs="Arial"/>
                <w:sz w:val="16"/>
                <w:szCs w:val="16"/>
              </w:rPr>
            </w:pPr>
            <w:r w:rsidRPr="00ED1F31">
              <w:rPr>
                <w:rFonts w:ascii="Arial" w:hAnsi="Arial"/>
                <w:sz w:val="16"/>
              </w:rPr>
              <w:t xml:space="preserve">Number/million </w:t>
            </w:r>
            <w:r w:rsidRPr="00ED1F31">
              <w:rPr>
                <w:rFonts w:ascii="Arial" w:hAnsi="Arial"/>
                <w:sz w:val="16"/>
              </w:rPr>
              <w:t>passenger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ind w:left="0" w:right="0"/>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ind w:left="0" w:right="0"/>
              <w:jc w:val="center"/>
              <w:rPr>
                <w:rFonts w:ascii="Arial" w:eastAsia="Arial" w:hAnsi="Arial" w:cs="Arial"/>
                <w:sz w:val="16"/>
                <w:szCs w:val="16"/>
              </w:rPr>
            </w:pPr>
            <w:r w:rsidRPr="00ED1F31">
              <w:rPr>
                <w:rFonts w:ascii="Arial" w:hAnsi="Arial"/>
                <w:sz w:val="16"/>
              </w:rPr>
              <w:t>0.02</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ind w:left="0" w:right="0"/>
              <w:jc w:val="center"/>
              <w:rPr>
                <w:rFonts w:ascii="Arial" w:eastAsia="Arial" w:hAnsi="Arial" w:cs="Arial"/>
                <w:sz w:val="16"/>
                <w:szCs w:val="16"/>
              </w:rPr>
            </w:pPr>
            <w:r w:rsidRPr="00ED1F31">
              <w:rPr>
                <w:rFonts w:ascii="Arial" w:hAnsi="Arial"/>
                <w:spacing w:val="-1"/>
                <w:sz w:val="16"/>
              </w:rPr>
              <w:t>0.17</w:t>
            </w: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469"/>
              <w:rPr>
                <w:rFonts w:ascii="Arial" w:eastAsia="Arial" w:hAnsi="Arial" w:cs="Arial"/>
                <w:sz w:val="16"/>
                <w:szCs w:val="16"/>
              </w:rPr>
            </w:pPr>
            <w:r w:rsidRPr="00ED1F31">
              <w:rPr>
                <w:rFonts w:ascii="Arial" w:hAnsi="Arial"/>
                <w:sz w:val="16"/>
              </w:rPr>
              <w:t>Staff including subcontractors seriously injured or killed</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0.11</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0.72</w:t>
            </w:r>
          </w:p>
        </w:tc>
      </w:tr>
      <w:tr w:rsidR="00BD7B71" w:rsidTr="004C4429">
        <w:trPr>
          <w:trHeight w:hRule="exact" w:val="432"/>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0.01</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0.08</w:t>
            </w: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114"/>
              <w:rPr>
                <w:rFonts w:ascii="Arial" w:eastAsia="Arial" w:hAnsi="Arial" w:cs="Arial"/>
                <w:sz w:val="16"/>
                <w:szCs w:val="16"/>
              </w:rPr>
            </w:pPr>
            <w:r w:rsidRPr="00ED1F31">
              <w:rPr>
                <w:rFonts w:ascii="Arial" w:hAnsi="Arial"/>
                <w:sz w:val="16"/>
              </w:rPr>
              <w:t>People killed or seriously injured on level crossings including accidents involving pedestrians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0.40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0.88</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6.52</w:t>
            </w: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0.04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0.10</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0.71</w:t>
            </w: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157"/>
              <w:rPr>
                <w:rFonts w:ascii="Arial" w:eastAsia="Arial" w:hAnsi="Arial" w:cs="Arial"/>
                <w:sz w:val="16"/>
                <w:szCs w:val="16"/>
              </w:rPr>
            </w:pPr>
            <w:r w:rsidRPr="00ED1F31">
              <w:rPr>
                <w:rFonts w:ascii="Arial" w:hAnsi="Arial"/>
                <w:sz w:val="16"/>
              </w:rPr>
              <w:t>Unauthorised persons killed and injured on railway premises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0.73</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18.83</w:t>
            </w: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0.04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0.08</w:t>
            </w: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pacing w:val="-1"/>
                <w:sz w:val="16"/>
              </w:rPr>
              <w:t>2.05</w:t>
            </w:r>
          </w:p>
        </w:tc>
      </w:tr>
      <w:tr w:rsidR="00BD7B71" w:rsidTr="004C4429">
        <w:trPr>
          <w:trHeight w:hRule="exact" w:val="432"/>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spacing w:before="137"/>
              <w:ind w:left="103"/>
              <w:rPr>
                <w:rFonts w:ascii="Arial" w:eastAsia="Arial" w:hAnsi="Arial" w:cs="Arial"/>
                <w:sz w:val="16"/>
                <w:szCs w:val="16"/>
              </w:rPr>
            </w:pPr>
            <w:r w:rsidRPr="00ED1F31">
              <w:rPr>
                <w:rFonts w:ascii="Arial" w:hAnsi="Arial"/>
                <w:sz w:val="16"/>
              </w:rPr>
              <w:t>Suicides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3</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3</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5</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8"/>
              <w:ind w:left="2" w:right="17"/>
              <w:jc w:val="center"/>
              <w:rPr>
                <w:rFonts w:ascii="Arial" w:eastAsia="Arial" w:hAnsi="Arial" w:cs="Arial"/>
                <w:sz w:val="16"/>
                <w:szCs w:val="16"/>
              </w:rPr>
            </w:pPr>
            <w:r w:rsidRPr="00ED1F31">
              <w:rPr>
                <w:rFonts w:ascii="Arial" w:hAnsi="Arial"/>
                <w:sz w:val="16"/>
              </w:rPr>
              <w:t xml:space="preserve">Number/million </w:t>
            </w:r>
            <w:r w:rsidRPr="00ED1F31">
              <w:rPr>
                <w:rFonts w:ascii="Arial" w:hAnsi="Arial"/>
                <w:sz w:val="16"/>
              </w:rPr>
              <w:t>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8"/>
              <w:ind w:left="0" w:right="2"/>
              <w:jc w:val="center"/>
              <w:rPr>
                <w:rFonts w:ascii="Arial" w:eastAsia="Arial" w:hAnsi="Arial" w:cs="Arial"/>
                <w:sz w:val="16"/>
                <w:szCs w:val="16"/>
              </w:rPr>
            </w:pPr>
            <w:r w:rsidRPr="00ED1F31">
              <w:rPr>
                <w:rFonts w:ascii="Arial" w:hAnsi="Arial"/>
                <w:sz w:val="16"/>
              </w:rPr>
              <w:t>0.34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8"/>
              <w:ind w:left="0" w:right="5"/>
              <w:jc w:val="center"/>
              <w:rPr>
                <w:rFonts w:ascii="Arial" w:eastAsia="Arial" w:hAnsi="Arial" w:cs="Arial"/>
                <w:sz w:val="16"/>
                <w:szCs w:val="16"/>
              </w:rPr>
            </w:pPr>
            <w:r w:rsidRPr="00ED1F31">
              <w:rPr>
                <w:rFonts w:ascii="Arial" w:hAnsi="Arial"/>
                <w:sz w:val="16"/>
              </w:rPr>
              <w:t>0.33</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8"/>
              <w:ind w:left="0" w:right="0"/>
              <w:jc w:val="center"/>
              <w:rPr>
                <w:rFonts w:ascii="Arial" w:eastAsia="Arial" w:hAnsi="Arial" w:cs="Arial"/>
                <w:sz w:val="16"/>
                <w:szCs w:val="16"/>
              </w:rPr>
            </w:pPr>
            <w:r w:rsidRPr="00ED1F31">
              <w:rPr>
                <w:rFonts w:ascii="Arial" w:hAnsi="Arial"/>
                <w:sz w:val="16"/>
              </w:rPr>
              <w:t>0.56</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spacing w:before="139"/>
              <w:ind w:left="103"/>
              <w:rPr>
                <w:rFonts w:ascii="Arial" w:eastAsia="Arial" w:hAnsi="Arial" w:cs="Arial"/>
                <w:sz w:val="16"/>
                <w:szCs w:val="16"/>
              </w:rPr>
            </w:pPr>
            <w:r w:rsidRPr="00ED1F31">
              <w:rPr>
                <w:rFonts w:ascii="Arial" w:hAnsi="Arial"/>
                <w:i/>
                <w:sz w:val="16"/>
              </w:rPr>
              <w:t>Suicide attempts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right="17"/>
              <w:jc w:val="center"/>
              <w:rPr>
                <w:rFonts w:ascii="Arial" w:eastAsia="Arial" w:hAnsi="Arial" w:cs="Arial"/>
                <w:sz w:val="16"/>
                <w:szCs w:val="16"/>
              </w:rPr>
            </w:pPr>
            <w:r w:rsidRPr="00ED1F31">
              <w:rPr>
                <w:rFonts w:ascii="Arial" w:hAnsi="Arial"/>
                <w:i/>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i/>
                <w:sz w:val="16"/>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i/>
                <w:sz w:val="16"/>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2"/>
              <w:ind w:left="0" w:right="0"/>
              <w:jc w:val="center"/>
              <w:rPr>
                <w:rFonts w:ascii="Arial" w:eastAsia="Arial" w:hAnsi="Arial" w:cs="Arial"/>
                <w:sz w:val="10"/>
                <w:szCs w:val="10"/>
              </w:rPr>
            </w:pPr>
            <w:r w:rsidRPr="00ED1F31">
              <w:rPr>
                <w:rFonts w:ascii="Arial" w:hAnsi="Arial"/>
                <w:i/>
                <w:position w:val="-5"/>
                <w:sz w:val="16"/>
              </w:rPr>
              <w:t>1</w:t>
            </w:r>
            <w:r w:rsidRPr="00ED1F31">
              <w:rPr>
                <w:rFonts w:ascii="Arial" w:hAnsi="Arial"/>
                <w:i/>
                <w:sz w:val="10"/>
              </w:rPr>
              <w:t>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5"/>
              <w:jc w:val="center"/>
              <w:rPr>
                <w:rFonts w:ascii="Arial" w:eastAsia="Arial" w:hAnsi="Arial" w:cs="Arial"/>
                <w:sz w:val="16"/>
                <w:szCs w:val="16"/>
              </w:rPr>
            </w:pPr>
            <w:r w:rsidRPr="00ED1F31">
              <w:rPr>
                <w:rFonts w:ascii="Arial" w:hAnsi="Arial"/>
                <w:sz w:val="16"/>
              </w:rPr>
              <w:t>0.11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2"/>
              <w:ind w:left="0" w:right="0"/>
              <w:jc w:val="center"/>
              <w:rPr>
                <w:rFonts w:ascii="Arial" w:eastAsia="Arial" w:hAnsi="Arial" w:cs="Arial"/>
                <w:sz w:val="10"/>
                <w:szCs w:val="10"/>
              </w:rPr>
            </w:pPr>
            <w:r w:rsidRPr="00ED1F31">
              <w:rPr>
                <w:rFonts w:ascii="Arial" w:hAnsi="Arial"/>
                <w:sz w:val="16"/>
              </w:rPr>
              <w:t>0.11</w:t>
            </w:r>
            <w:r w:rsidRPr="00ED1F31">
              <w:rPr>
                <w:rFonts w:ascii="Arial" w:hAnsi="Arial"/>
                <w:position w:val="6"/>
                <w:sz w:val="10"/>
              </w:rPr>
              <w:t>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spacing w:before="139"/>
              <w:ind w:left="103"/>
              <w:rPr>
                <w:rFonts w:ascii="Arial" w:eastAsia="Arial" w:hAnsi="Arial" w:cs="Arial"/>
                <w:sz w:val="16"/>
                <w:szCs w:val="16"/>
              </w:rPr>
            </w:pPr>
            <w:r w:rsidRPr="00ED1F31">
              <w:rPr>
                <w:rFonts w:ascii="Arial" w:hAnsi="Arial"/>
                <w:sz w:val="16"/>
              </w:rPr>
              <w:t>Broken rails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1.8</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0.20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2"/>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spacing w:before="137"/>
              <w:ind w:left="103"/>
              <w:rPr>
                <w:rFonts w:ascii="Arial" w:eastAsia="Arial" w:hAnsi="Arial" w:cs="Arial"/>
                <w:sz w:val="16"/>
                <w:szCs w:val="16"/>
              </w:rPr>
            </w:pPr>
            <w:r w:rsidRPr="00ED1F31">
              <w:rPr>
                <w:rFonts w:ascii="Arial" w:hAnsi="Arial"/>
                <w:sz w:val="16"/>
              </w:rPr>
              <w:t>Track buckling</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1.6</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8"/>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8"/>
              <w:ind w:left="0" w:right="2"/>
              <w:jc w:val="center"/>
              <w:rPr>
                <w:rFonts w:ascii="Arial" w:eastAsia="Arial" w:hAnsi="Arial" w:cs="Arial"/>
                <w:sz w:val="16"/>
                <w:szCs w:val="16"/>
              </w:rPr>
            </w:pPr>
            <w:r w:rsidRPr="00ED1F31">
              <w:rPr>
                <w:rFonts w:ascii="Arial" w:hAnsi="Arial"/>
                <w:sz w:val="16"/>
              </w:rPr>
              <w:t>0.11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8"/>
              <w:ind w:left="0" w:right="5"/>
              <w:jc w:val="center"/>
              <w:rPr>
                <w:rFonts w:ascii="Arial" w:eastAsia="Arial" w:hAnsi="Arial" w:cs="Arial"/>
                <w:sz w:val="16"/>
                <w:szCs w:val="16"/>
              </w:rPr>
            </w:pPr>
            <w:r w:rsidRPr="00ED1F31">
              <w:rPr>
                <w:rFonts w:ascii="Arial" w:hAnsi="Arial"/>
                <w:sz w:val="16"/>
              </w:rPr>
              <w:t>0.44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8"/>
              <w:ind w:left="0" w:right="0"/>
              <w:jc w:val="center"/>
              <w:rPr>
                <w:rFonts w:ascii="Arial" w:eastAsia="Arial" w:hAnsi="Arial" w:cs="Arial"/>
                <w:sz w:val="16"/>
                <w:szCs w:val="16"/>
              </w:rPr>
            </w:pPr>
            <w:r w:rsidRPr="00ED1F31">
              <w:rPr>
                <w:rFonts w:ascii="Arial" w:hAnsi="Arial"/>
                <w:sz w:val="16"/>
              </w:rPr>
              <w:t>0.18</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261"/>
              <w:rPr>
                <w:rFonts w:ascii="Arial" w:eastAsia="Arial" w:hAnsi="Arial" w:cs="Arial"/>
                <w:sz w:val="16"/>
                <w:szCs w:val="16"/>
              </w:rPr>
            </w:pPr>
            <w:r w:rsidRPr="00ED1F31">
              <w:rPr>
                <w:rFonts w:ascii="Arial" w:hAnsi="Arial"/>
                <w:sz w:val="16"/>
              </w:rPr>
              <w:t>Wrong-side signalling failures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0.20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0.02</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434"/>
              <w:rPr>
                <w:rFonts w:ascii="Arial" w:eastAsia="Arial" w:hAnsi="Arial" w:cs="Arial"/>
                <w:sz w:val="16"/>
                <w:szCs w:val="16"/>
              </w:rPr>
            </w:pPr>
            <w:r w:rsidRPr="00ED1F31">
              <w:rPr>
                <w:rFonts w:ascii="Arial" w:hAnsi="Arial"/>
                <w:sz w:val="16"/>
              </w:rPr>
              <w:t>Signals passed at danger without authority</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2"/>
              <w:ind w:left="3" w:right="17"/>
              <w:jc w:val="center"/>
              <w:rPr>
                <w:rFonts w:ascii="Arial" w:eastAsia="Arial" w:hAnsi="Arial" w:cs="Arial"/>
                <w:sz w:val="10"/>
                <w:szCs w:val="10"/>
              </w:rPr>
            </w:pPr>
            <w:r w:rsidRPr="00ED1F31">
              <w:rPr>
                <w:rFonts w:ascii="Arial" w:hAnsi="Arial"/>
                <w:sz w:val="16"/>
              </w:rPr>
              <w:t>Number</w:t>
            </w:r>
            <w:r w:rsidRPr="00ED1F31">
              <w:rPr>
                <w:rFonts w:ascii="Arial" w:hAnsi="Arial"/>
                <w:position w:val="6"/>
                <w:sz w:val="10"/>
              </w:rPr>
              <w:t>3)</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2"/>
              <w:ind w:left="0" w:right="3"/>
              <w:jc w:val="center"/>
              <w:rPr>
                <w:rFonts w:ascii="Arial" w:eastAsia="Arial" w:hAnsi="Arial" w:cs="Arial"/>
                <w:sz w:val="10"/>
                <w:szCs w:val="10"/>
              </w:rPr>
            </w:pPr>
            <w:r w:rsidRPr="00ED1F31">
              <w:rPr>
                <w:rFonts w:ascii="Arial" w:hAnsi="Arial"/>
                <w:position w:val="-5"/>
                <w:sz w:val="16"/>
              </w:rPr>
              <w:t>2</w:t>
            </w:r>
            <w:r w:rsidRPr="00ED1F31">
              <w:rPr>
                <w:rFonts w:ascii="Arial" w:hAnsi="Arial"/>
                <w:sz w:val="10"/>
              </w:rPr>
              <w:t>4)</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5"/>
              <w:jc w:val="center"/>
              <w:rPr>
                <w:rFonts w:ascii="Arial" w:eastAsia="Arial" w:hAnsi="Arial" w:cs="Arial"/>
                <w:sz w:val="16"/>
                <w:szCs w:val="16"/>
              </w:rPr>
            </w:pPr>
            <w:r w:rsidRPr="00ED1F31">
              <w:rPr>
                <w:rFonts w:ascii="Arial" w:hAnsi="Arial"/>
                <w:sz w:val="16"/>
              </w:rPr>
              <w:t>15</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6.40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2"/>
              <w:ind w:left="3" w:right="17"/>
              <w:jc w:val="center"/>
              <w:rPr>
                <w:rFonts w:ascii="Arial" w:eastAsia="Arial" w:hAnsi="Arial" w:cs="Arial"/>
                <w:sz w:val="10"/>
                <w:szCs w:val="10"/>
              </w:rPr>
            </w:pPr>
            <w:r w:rsidRPr="00ED1F31">
              <w:rPr>
                <w:rFonts w:ascii="Arial" w:hAnsi="Arial"/>
                <w:sz w:val="16"/>
              </w:rPr>
              <w:t>Number/million train-km</w:t>
            </w:r>
            <w:r w:rsidRPr="00ED1F31">
              <w:rPr>
                <w:rFonts w:ascii="Arial" w:hAnsi="Arial"/>
                <w:position w:val="6"/>
                <w:sz w:val="10"/>
              </w:rPr>
              <w:t>3)</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2"/>
              <w:jc w:val="center"/>
              <w:rPr>
                <w:rFonts w:ascii="Arial" w:eastAsia="Arial" w:hAnsi="Arial" w:cs="Arial"/>
                <w:sz w:val="16"/>
                <w:szCs w:val="16"/>
              </w:rPr>
            </w:pPr>
            <w:r w:rsidRPr="00ED1F31">
              <w:rPr>
                <w:rFonts w:ascii="Arial" w:hAnsi="Arial"/>
                <w:sz w:val="16"/>
              </w:rPr>
              <w:t>0.25</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5"/>
              <w:jc w:val="center"/>
              <w:rPr>
                <w:rFonts w:ascii="Arial" w:eastAsia="Arial" w:hAnsi="Arial" w:cs="Arial"/>
                <w:sz w:val="16"/>
                <w:szCs w:val="16"/>
              </w:rPr>
            </w:pPr>
            <w:r w:rsidRPr="00ED1F31">
              <w:rPr>
                <w:rFonts w:ascii="Arial" w:hAnsi="Arial"/>
                <w:sz w:val="16"/>
              </w:rPr>
              <w:t>1.63</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6"/>
              <w:ind w:left="0" w:right="0"/>
              <w:jc w:val="center"/>
              <w:rPr>
                <w:rFonts w:ascii="Arial" w:eastAsia="Arial" w:hAnsi="Arial" w:cs="Arial"/>
                <w:sz w:val="16"/>
                <w:szCs w:val="16"/>
              </w:rPr>
            </w:pPr>
            <w:r w:rsidRPr="00ED1F31">
              <w:rPr>
                <w:rFonts w:ascii="Arial" w:hAnsi="Arial"/>
                <w:sz w:val="16"/>
              </w:rPr>
              <w:t>0.71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2"/>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336"/>
              <w:rPr>
                <w:rFonts w:ascii="Arial" w:eastAsia="Arial" w:hAnsi="Arial" w:cs="Arial"/>
                <w:sz w:val="16"/>
                <w:szCs w:val="16"/>
              </w:rPr>
            </w:pPr>
            <w:r w:rsidRPr="00ED1F31">
              <w:rPr>
                <w:rFonts w:ascii="Arial" w:hAnsi="Arial"/>
                <w:sz w:val="16"/>
              </w:rPr>
              <w:t xml:space="preserve">Signals passed at danger without authority during </w:t>
            </w:r>
            <w:r w:rsidRPr="00ED1F31">
              <w:rPr>
                <w:rFonts w:ascii="Arial" w:hAnsi="Arial"/>
                <w:sz w:val="16"/>
              </w:rPr>
              <w:t>shunting</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Number</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8</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5"/>
              <w:jc w:val="center"/>
              <w:rPr>
                <w:rFonts w:ascii="Arial" w:eastAsia="Arial" w:hAnsi="Arial" w:cs="Arial"/>
                <w:sz w:val="16"/>
                <w:szCs w:val="16"/>
              </w:rPr>
            </w:pPr>
            <w:r w:rsidRPr="00ED1F31">
              <w:rPr>
                <w:rFonts w:ascii="Arial" w:hAnsi="Arial"/>
                <w:sz w:val="16"/>
              </w:rPr>
              <w:t>11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2"/>
              <w:ind w:left="0" w:right="0"/>
              <w:jc w:val="center"/>
              <w:rPr>
                <w:rFonts w:ascii="Arial" w:eastAsia="Arial" w:hAnsi="Arial" w:cs="Arial"/>
                <w:sz w:val="10"/>
                <w:szCs w:val="10"/>
              </w:rPr>
            </w:pPr>
            <w:r w:rsidRPr="00ED1F31">
              <w:rPr>
                <w:rFonts w:ascii="Arial" w:hAnsi="Arial"/>
                <w:sz w:val="16"/>
              </w:rPr>
              <w:t>9.5</w:t>
            </w:r>
            <w:r w:rsidRPr="00ED1F31">
              <w:rPr>
                <w:rFonts w:ascii="Arial" w:hAnsi="Arial"/>
                <w:position w:val="6"/>
                <w:sz w:val="10"/>
              </w:rPr>
              <w:t>5)</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8"/>
              <w:ind w:left="2" w:right="17"/>
              <w:jc w:val="center"/>
              <w:rPr>
                <w:rFonts w:ascii="Arial" w:eastAsia="Arial" w:hAnsi="Arial" w:cs="Arial"/>
                <w:sz w:val="16"/>
                <w:szCs w:val="16"/>
              </w:rPr>
            </w:pPr>
            <w:r w:rsidRPr="00ED1F31">
              <w:rPr>
                <w:rFonts w:ascii="Arial" w:hAnsi="Arial"/>
                <w:sz w:val="16"/>
              </w:rPr>
              <w:t>Number/million train-km</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8"/>
              <w:ind w:left="0" w:right="2"/>
              <w:jc w:val="center"/>
              <w:rPr>
                <w:rFonts w:ascii="Arial" w:eastAsia="Arial" w:hAnsi="Arial" w:cs="Arial"/>
                <w:sz w:val="16"/>
                <w:szCs w:val="16"/>
              </w:rPr>
            </w:pPr>
            <w:r w:rsidRPr="00ED1F31">
              <w:rPr>
                <w:rFonts w:ascii="Arial" w:hAnsi="Arial"/>
                <w:sz w:val="16"/>
              </w:rPr>
              <w:t>0.92</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8"/>
              <w:ind w:left="0" w:right="5"/>
              <w:jc w:val="center"/>
              <w:rPr>
                <w:rFonts w:ascii="Arial" w:eastAsia="Arial" w:hAnsi="Arial" w:cs="Arial"/>
                <w:sz w:val="16"/>
                <w:szCs w:val="16"/>
              </w:rPr>
            </w:pPr>
            <w:r w:rsidRPr="00ED1F31">
              <w:rPr>
                <w:rFonts w:ascii="Arial" w:hAnsi="Arial"/>
                <w:sz w:val="16"/>
              </w:rPr>
              <w:t>1.20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5"/>
              <w:ind w:left="0" w:right="0"/>
              <w:jc w:val="center"/>
              <w:rPr>
                <w:rFonts w:ascii="Arial" w:eastAsia="Arial" w:hAnsi="Arial" w:cs="Arial"/>
                <w:sz w:val="10"/>
                <w:szCs w:val="10"/>
              </w:rPr>
            </w:pPr>
            <w:r w:rsidRPr="00ED1F31">
              <w:rPr>
                <w:rFonts w:ascii="Arial" w:hAnsi="Arial"/>
                <w:sz w:val="16"/>
              </w:rPr>
              <w:t>1.06</w:t>
            </w:r>
            <w:r w:rsidRPr="00ED1F31">
              <w:rPr>
                <w:rFonts w:ascii="Arial" w:hAnsi="Arial"/>
                <w:position w:val="6"/>
                <w:sz w:val="10"/>
              </w:rPr>
              <w:t>5)</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val="restart"/>
            <w:tcBorders>
              <w:top w:val="single" w:sz="4" w:space="0" w:color="000000"/>
              <w:left w:val="single" w:sz="4" w:space="0" w:color="000000"/>
              <w:right w:val="single" w:sz="4" w:space="0" w:color="000000"/>
            </w:tcBorders>
          </w:tcPr>
          <w:p w:rsidR="00A113DC" w:rsidRPr="00ED1F31" w:rsidRDefault="00F46E39">
            <w:pPr>
              <w:pStyle w:val="TableParagraph"/>
              <w:ind w:left="103" w:right="115"/>
              <w:rPr>
                <w:rFonts w:ascii="Arial" w:eastAsia="Arial" w:hAnsi="Arial" w:cs="Arial"/>
                <w:sz w:val="16"/>
                <w:szCs w:val="16"/>
              </w:rPr>
            </w:pPr>
            <w:r w:rsidRPr="00ED1F31">
              <w:rPr>
                <w:rFonts w:ascii="Arial" w:hAnsi="Arial"/>
                <w:sz w:val="16"/>
              </w:rPr>
              <w:t>Percentage of train kilometres using operational ATP systems</w:t>
            </w: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4" w:right="17"/>
              <w:jc w:val="center"/>
              <w:rPr>
                <w:rFonts w:ascii="Arial" w:eastAsia="Arial" w:hAnsi="Arial" w:cs="Arial"/>
                <w:sz w:val="16"/>
                <w:szCs w:val="16"/>
              </w:rPr>
            </w:pPr>
            <w:r w:rsidRPr="00ED1F31">
              <w:rPr>
                <w:rFonts w:ascii="Arial" w:hAnsi="Arial"/>
                <w:sz w:val="16"/>
              </w:rPr>
              <w:t>MEMOR II+</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60%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80%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2"/>
              <w:ind w:left="0" w:right="0"/>
              <w:jc w:val="center"/>
              <w:rPr>
                <w:rFonts w:ascii="Arial" w:eastAsia="Arial" w:hAnsi="Arial" w:cs="Arial"/>
                <w:sz w:val="10"/>
                <w:szCs w:val="10"/>
              </w:rPr>
            </w:pPr>
            <w:r w:rsidRPr="00ED1F31">
              <w:rPr>
                <w:rFonts w:ascii="Arial" w:hAnsi="Arial"/>
                <w:sz w:val="16"/>
              </w:rPr>
              <w:t>97%</w:t>
            </w:r>
            <w:r w:rsidRPr="00ED1F31">
              <w:rPr>
                <w:rFonts w:ascii="Arial" w:hAnsi="Arial"/>
                <w:position w:val="6"/>
                <w:sz w:val="10"/>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r w:rsidR="00BD7B71" w:rsidTr="004C4429">
        <w:trPr>
          <w:trHeight w:hRule="exact" w:val="434"/>
        </w:trPr>
        <w:tc>
          <w:tcPr>
            <w:tcW w:w="3120" w:type="dxa"/>
            <w:vMerge/>
            <w:tcBorders>
              <w:left w:val="single" w:sz="4" w:space="0" w:color="000000"/>
              <w:bottom w:val="single" w:sz="4" w:space="0" w:color="000000"/>
              <w:right w:val="single" w:sz="4" w:space="0" w:color="000000"/>
            </w:tcBorders>
          </w:tcPr>
          <w:p w:rsidR="00A113DC" w:rsidRPr="00ED1F31" w:rsidRDefault="00A113DC">
            <w:pPr>
              <w:rPr>
                <w:rFonts w:ascii="Arial" w:hAnsi="Arial" w:cs="Arial"/>
              </w:rPr>
            </w:pPr>
          </w:p>
        </w:tc>
        <w:tc>
          <w:tcPr>
            <w:tcW w:w="2282" w:type="dxa"/>
            <w:tcBorders>
              <w:top w:val="single" w:sz="4" w:space="0" w:color="000000"/>
              <w:left w:val="single" w:sz="4" w:space="0" w:color="000000"/>
              <w:bottom w:val="single" w:sz="4" w:space="0" w:color="000000"/>
              <w:right w:val="single" w:sz="4" w:space="0" w:color="000000"/>
            </w:tcBorders>
          </w:tcPr>
          <w:p w:rsidR="00A113DC" w:rsidRPr="00ED1F31" w:rsidRDefault="00F46E39" w:rsidP="00751115">
            <w:pPr>
              <w:pStyle w:val="TableParagraph"/>
              <w:spacing w:before="116"/>
              <w:ind w:left="3" w:right="17"/>
              <w:jc w:val="center"/>
              <w:rPr>
                <w:rFonts w:ascii="Arial" w:eastAsia="Arial" w:hAnsi="Arial" w:cs="Arial"/>
                <w:sz w:val="16"/>
                <w:szCs w:val="16"/>
              </w:rPr>
            </w:pPr>
            <w:r w:rsidRPr="00ED1F31">
              <w:rPr>
                <w:rFonts w:ascii="Arial" w:hAnsi="Arial"/>
                <w:sz w:val="16"/>
              </w:rPr>
              <w:t>ETCS</w:t>
            </w:r>
          </w:p>
        </w:tc>
        <w:tc>
          <w:tcPr>
            <w:tcW w:w="917"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40%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C4429">
            <w:pPr>
              <w:pStyle w:val="TableParagraph"/>
              <w:spacing w:before="116"/>
              <w:ind w:left="0" w:right="1"/>
              <w:jc w:val="center"/>
              <w:rPr>
                <w:rFonts w:ascii="Arial" w:eastAsia="Arial" w:hAnsi="Arial" w:cs="Arial"/>
                <w:sz w:val="16"/>
                <w:szCs w:val="16"/>
              </w:rPr>
            </w:pPr>
            <w:r w:rsidRPr="00ED1F31">
              <w:rPr>
                <w:rFonts w:ascii="Arial" w:hAnsi="Arial"/>
                <w:sz w:val="16"/>
              </w:rPr>
              <w:t>20%</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51115">
            <w:pPr>
              <w:pStyle w:val="TableParagraph"/>
              <w:spacing w:before="112"/>
              <w:ind w:left="0" w:right="0"/>
              <w:jc w:val="center"/>
              <w:rPr>
                <w:rFonts w:ascii="Arial" w:eastAsia="Arial" w:hAnsi="Arial" w:cs="Arial"/>
                <w:sz w:val="10"/>
                <w:szCs w:val="10"/>
              </w:rPr>
            </w:pPr>
            <w:r w:rsidRPr="00ED1F31">
              <w:rPr>
                <w:rFonts w:ascii="Arial" w:hAnsi="Arial"/>
                <w:position w:val="-5"/>
                <w:sz w:val="16"/>
              </w:rPr>
              <w:t>2%</w:t>
            </w:r>
            <w:r w:rsidRPr="00ED1F31">
              <w:rPr>
                <w:rFonts w:ascii="Arial" w:hAnsi="Arial"/>
                <w:sz w:val="10"/>
              </w:rPr>
              <w:t>2)</w:t>
            </w:r>
          </w:p>
        </w:tc>
        <w:tc>
          <w:tcPr>
            <w:tcW w:w="91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51115">
            <w:pPr>
              <w:ind w:left="0" w:right="0"/>
              <w:jc w:val="center"/>
              <w:rPr>
                <w:rFonts w:ascii="Arial" w:hAnsi="Arial" w:cs="Arial"/>
              </w:rPr>
            </w:pPr>
          </w:p>
        </w:tc>
      </w:tr>
    </w:tbl>
    <w:p w:rsidR="00A113DC" w:rsidRPr="00ED1F31" w:rsidRDefault="00F46E39" w:rsidP="00661C6C">
      <w:pPr>
        <w:pStyle w:val="Quote"/>
        <w:spacing w:before="120"/>
        <w:ind w:left="567" w:hanging="425"/>
      </w:pPr>
      <w:r w:rsidRPr="00ED1F31">
        <w:rPr>
          <w:vertAlign w:val="superscript"/>
        </w:rPr>
        <w:t>1) and 2)</w:t>
      </w:r>
      <w:r w:rsidRPr="00ED1F31">
        <w:tab/>
        <w:t>not averages but the percentages for 2009</w:t>
      </w:r>
    </w:p>
    <w:p w:rsidR="00A113DC" w:rsidRPr="00ED1F31" w:rsidRDefault="00F46E39" w:rsidP="009D7853">
      <w:pPr>
        <w:pStyle w:val="Quote"/>
        <w:ind w:left="567" w:hanging="425"/>
      </w:pPr>
      <w:r w:rsidRPr="00ED1F31">
        <w:rPr>
          <w:vertAlign w:val="superscript"/>
        </w:rPr>
        <w:t>3)</w:t>
      </w:r>
      <w:r w:rsidRPr="00ED1F31">
        <w:tab/>
        <w:t>no</w:t>
      </w:r>
      <w:r w:rsidRPr="00ED1F31">
        <w:t xml:space="preserve"> signals passed at danger recorded</w:t>
      </w:r>
    </w:p>
    <w:p w:rsidR="00A113DC" w:rsidRPr="00ED1F31" w:rsidRDefault="00F46E39" w:rsidP="009D7853">
      <w:pPr>
        <w:pStyle w:val="Quote"/>
        <w:ind w:left="567" w:hanging="425"/>
      </w:pPr>
      <w:r w:rsidRPr="00ED1F31">
        <w:rPr>
          <w:vertAlign w:val="superscript"/>
        </w:rPr>
        <w:t>4)</w:t>
      </w:r>
      <w:r w:rsidRPr="00ED1F31">
        <w:tab/>
        <w:t>plus one signal passed at danger at Volmerange-les-Mines (France), a section of line managed and operated by the IM (CFL), not included in the statistics supplied to ERA</w:t>
      </w:r>
    </w:p>
    <w:p w:rsidR="00A113DC" w:rsidRPr="00ED1F31" w:rsidRDefault="00F46E39" w:rsidP="009D7853">
      <w:pPr>
        <w:pStyle w:val="Quote"/>
        <w:ind w:left="567" w:hanging="425"/>
      </w:pPr>
      <w:r w:rsidRPr="00ED1F31">
        <w:rPr>
          <w:vertAlign w:val="superscript"/>
        </w:rPr>
        <w:t>5)</w:t>
      </w:r>
      <w:r w:rsidRPr="00ED1F31">
        <w:tab/>
        <w:t>2015 and 2016 average indicators added in 201</w:t>
      </w:r>
      <w:r w:rsidRPr="00ED1F31">
        <w:t>5</w:t>
      </w:r>
    </w:p>
    <w:p w:rsidR="00A113DC" w:rsidRPr="00ED1F31" w:rsidRDefault="00F46E39" w:rsidP="00E1543E">
      <w:pPr>
        <w:pStyle w:val="BodyText"/>
        <w:pageBreakBefore/>
      </w:pPr>
      <w:r w:rsidRPr="00ED1F31">
        <w:rPr>
          <w:b/>
          <w:u w:val="single"/>
        </w:rPr>
        <w:t>People seriously injured or killed</w:t>
      </w:r>
      <w:r w:rsidRPr="00ED1F31">
        <w:t xml:space="preserve"> (including employees of railway stakeholders and their subcontractors)</w:t>
      </w:r>
    </w:p>
    <w:p w:rsidR="00A113DC" w:rsidRPr="00ED1F31" w:rsidRDefault="00F46E39" w:rsidP="00E1543E">
      <w:pPr>
        <w:pStyle w:val="BodyText"/>
      </w:pPr>
      <w:r w:rsidRPr="00ED1F31">
        <w:t>Despite the fact that one person was seriously injured in the past reporting year, the average of 0.8 victims per year recorded for the 2011 to 2016</w:t>
      </w:r>
      <w:r w:rsidRPr="00ED1F31">
        <w:t xml:space="preserve"> period is the same as the average in the report for 2015. This is well below the number of victims calculated on the basis of the latest National Reference Values (NRV) set out in Commission Decision 2012/226/EU, which is 1.93.</w:t>
      </w:r>
    </w:p>
    <w:p w:rsidR="00A113DC" w:rsidRPr="00ED1F31" w:rsidRDefault="00F46E39" w:rsidP="00E1543E">
      <w:pPr>
        <w:pStyle w:val="BodyText"/>
        <w:spacing w:before="600"/>
        <w:rPr>
          <w:b/>
          <w:u w:val="single"/>
        </w:rPr>
      </w:pPr>
      <w:r w:rsidRPr="00ED1F31">
        <w:rPr>
          <w:b/>
          <w:u w:val="single"/>
        </w:rPr>
        <w:t>Suicides</w:t>
      </w:r>
    </w:p>
    <w:p w:rsidR="00A113DC" w:rsidRPr="00ED1F31" w:rsidRDefault="00F46E39" w:rsidP="00E1543E">
      <w:pPr>
        <w:pStyle w:val="BodyText"/>
      </w:pPr>
      <w:r w:rsidRPr="00ED1F31">
        <w:t>The high number of</w:t>
      </w:r>
      <w:r w:rsidRPr="00ED1F31">
        <w:t xml:space="preserve"> suicides remains the main scourge that railways everywhere in Europe continue to face. They represent around 70% of deaths in the railway sector and this is a growing trend.</w:t>
      </w:r>
    </w:p>
    <w:p w:rsidR="00A113DC" w:rsidRPr="00ED1F31" w:rsidRDefault="00F46E39" w:rsidP="00E1543E">
      <w:pPr>
        <w:pStyle w:val="BodyText"/>
      </w:pPr>
      <w:r w:rsidRPr="00ED1F31">
        <w:t>In the past reporting year, three suicides and one suicide attempt were recorded,</w:t>
      </w:r>
      <w:r w:rsidRPr="00ED1F31">
        <w:t xml:space="preserve"> which is exactly the same as the number recorded in 2016. Since 2009, there has been a downward trend in the average number of suicides. The average for the 2012 to 2016 period is 4.2 per year, compared to 5.00 between 2010 and 2014.</w:t>
      </w:r>
    </w:p>
    <w:p w:rsidR="00A113DC" w:rsidRPr="00ED1F31" w:rsidRDefault="00F46E39" w:rsidP="00E1543E">
      <w:pPr>
        <w:pStyle w:val="BodyText"/>
      </w:pPr>
      <w:r w:rsidRPr="00ED1F31">
        <w:t xml:space="preserve">As the number of </w:t>
      </w:r>
      <w:r w:rsidRPr="00ED1F31">
        <w:t>suicide attempts has only been recorded since 2015, it is not possible to state what the trend here is.</w:t>
      </w:r>
    </w:p>
    <w:p w:rsidR="00A113DC" w:rsidRPr="00ED1F31" w:rsidRDefault="00F46E39" w:rsidP="00E1543E">
      <w:pPr>
        <w:pStyle w:val="BodyText"/>
      </w:pPr>
      <w:r w:rsidRPr="00ED1F31">
        <w:t xml:space="preserve">On this subject, we should mention the </w:t>
      </w:r>
      <w:r w:rsidRPr="00ED1F31">
        <w:rPr>
          <w:b/>
        </w:rPr>
        <w:t>‘</w:t>
      </w:r>
      <w:r w:rsidRPr="00ED1F31">
        <w:rPr>
          <w:b/>
          <w:u w:val="single"/>
        </w:rPr>
        <w:t>Prevention of suicides is everyone’s responsibility</w:t>
      </w:r>
      <w:r w:rsidRPr="00ED1F31">
        <w:rPr>
          <w:b/>
        </w:rPr>
        <w:t>’</w:t>
      </w:r>
      <w:r w:rsidRPr="00ED1F31">
        <w:t xml:space="preserve"> campaign launched by the Luxembourg Ministry of Health. A N</w:t>
      </w:r>
      <w:r w:rsidRPr="00ED1F31">
        <w:t>ational Suicide Prevention Plan for Luxembourg for the 2015 to 2019 period has also been drawn up.</w:t>
      </w:r>
    </w:p>
    <w:p w:rsidR="00A113DC" w:rsidRPr="00ED1F31" w:rsidRDefault="00F46E39" w:rsidP="00E1543E">
      <w:pPr>
        <w:pStyle w:val="BodyText"/>
      </w:pPr>
      <w:r w:rsidRPr="00ED1F31">
        <w:t>For information purposes, the link is:</w:t>
      </w:r>
    </w:p>
    <w:p w:rsidR="00A113DC" w:rsidRPr="00ED1F31" w:rsidRDefault="00F46E39" w:rsidP="00E1543E">
      <w:pPr>
        <w:pStyle w:val="BodyText"/>
        <w:rPr>
          <w:u w:val="single"/>
        </w:rPr>
      </w:pPr>
      <w:r w:rsidRPr="00ED1F31">
        <w:t>http://www.sante.public.lu/fr/publications/p/plan-national-suicide-lux-2015-</w:t>
      </w:r>
      <w:r w:rsidRPr="00ED1F31">
        <w:rPr>
          <w:u w:val="single"/>
        </w:rPr>
        <w:t>2019/index.html</w:t>
      </w:r>
    </w:p>
    <w:p w:rsidR="00A113DC" w:rsidRPr="00ED1F31" w:rsidRDefault="00F46E39" w:rsidP="00E1543E">
      <w:pPr>
        <w:pStyle w:val="BodyText"/>
        <w:rPr>
          <w:b/>
          <w:u w:val="single"/>
        </w:rPr>
      </w:pPr>
      <w:r w:rsidRPr="00ED1F31">
        <w:rPr>
          <w:b/>
          <w:u w:val="single"/>
        </w:rPr>
        <w:t xml:space="preserve">Precursors to accidents – </w:t>
      </w:r>
      <w:r w:rsidRPr="00ED1F31">
        <w:rPr>
          <w:b/>
          <w:u w:val="single"/>
        </w:rPr>
        <w:t>infrastructure, rolling stock</w:t>
      </w:r>
    </w:p>
    <w:p w:rsidR="00A7509E" w:rsidRPr="00ED1F31" w:rsidRDefault="00F46E39" w:rsidP="00E1543E">
      <w:pPr>
        <w:pStyle w:val="BodyText"/>
      </w:pPr>
      <w:r w:rsidRPr="00ED1F31">
        <w:t>The total number of precursors to accidents recorded in relation to infrastructure and rolling stock (excluding signals passed at danger) was three in 2016, which is its lowest level and was achieved once before in 2014. Overa</w:t>
      </w:r>
      <w:r w:rsidRPr="00ED1F31">
        <w:t>ll these indicators are stable and at a very good level. This allows us to conclude that the general condition of the railway infrastructure and rolling stock is excellent, at least as regards the subsystems considered by the common safety indicators as pr</w:t>
      </w:r>
      <w:r w:rsidRPr="00ED1F31">
        <w:t>ecursors. However, the first cracked wheel was reported to us in 2016.</w:t>
      </w:r>
    </w:p>
    <w:p w:rsidR="00A113DC" w:rsidRPr="00ED1F31" w:rsidRDefault="00F46E39" w:rsidP="00E1543E">
      <w:pPr>
        <w:pStyle w:val="BodyText"/>
        <w:pageBreakBefore/>
        <w:rPr>
          <w:b/>
          <w:u w:val="single"/>
        </w:rPr>
      </w:pPr>
      <w:r w:rsidRPr="00ED1F31">
        <w:rPr>
          <w:b/>
          <w:u w:val="single"/>
        </w:rPr>
        <w:t>Precursors to accidents – railway operations</w:t>
      </w:r>
    </w:p>
    <w:p w:rsidR="00A113DC" w:rsidRPr="00ED1F31" w:rsidRDefault="00F46E39" w:rsidP="00E1543E">
      <w:pPr>
        <w:pStyle w:val="BodyText"/>
      </w:pPr>
      <w:r w:rsidRPr="00ED1F31">
        <w:t>The number of signals passed at danger, which was on an upward trend in 2014 and reached very worrying levels in 2015, returned to much bett</w:t>
      </w:r>
      <w:r w:rsidRPr="00ED1F31">
        <w:t>er levels in 2016 with two signals passed at danger (the one at Volmerange-les-Mines is not counted because the ACF’s figures are limited to Luxembourg only). The table below shows the signals passed at danger recorded by the ACF since its creation in 2009</w:t>
      </w:r>
      <w:r w:rsidRPr="00ED1F31">
        <w:t>.</w:t>
      </w:r>
    </w:p>
    <w:p w:rsidR="00A113DC" w:rsidRPr="00ED1F31" w:rsidRDefault="00A113DC">
      <w:pPr>
        <w:spacing w:before="10"/>
        <w:rPr>
          <w:rFonts w:eastAsia="Calibri" w:cs="Calibri"/>
          <w:sz w:val="9"/>
          <w:szCs w:val="9"/>
        </w:rPr>
      </w:pPr>
    </w:p>
    <w:tbl>
      <w:tblPr>
        <w:tblW w:w="0" w:type="auto"/>
        <w:tblInd w:w="856" w:type="dxa"/>
        <w:tblLayout w:type="fixed"/>
        <w:tblCellMar>
          <w:left w:w="0" w:type="dxa"/>
          <w:right w:w="0" w:type="dxa"/>
        </w:tblCellMar>
        <w:tblLook w:val="01E0" w:firstRow="1" w:lastRow="1" w:firstColumn="1" w:lastColumn="1" w:noHBand="0" w:noVBand="0"/>
      </w:tblPr>
      <w:tblGrid>
        <w:gridCol w:w="2448"/>
        <w:gridCol w:w="660"/>
        <w:gridCol w:w="662"/>
        <w:gridCol w:w="715"/>
        <w:gridCol w:w="701"/>
        <w:gridCol w:w="710"/>
        <w:gridCol w:w="708"/>
        <w:gridCol w:w="718"/>
        <w:gridCol w:w="708"/>
      </w:tblGrid>
      <w:tr w:rsidR="00BD7B71" w:rsidTr="00E1543E">
        <w:trPr>
          <w:trHeight w:hRule="exact" w:val="480"/>
        </w:trPr>
        <w:tc>
          <w:tcPr>
            <w:tcW w:w="2448" w:type="dxa"/>
            <w:tcBorders>
              <w:top w:val="single" w:sz="4" w:space="0" w:color="000000"/>
              <w:left w:val="single" w:sz="4" w:space="0" w:color="000000"/>
              <w:bottom w:val="single" w:sz="4" w:space="0" w:color="000000"/>
              <w:right w:val="single" w:sz="4" w:space="0" w:color="000000"/>
            </w:tcBorders>
          </w:tcPr>
          <w:p w:rsidR="00A113DC" w:rsidRPr="00ED1F31" w:rsidRDefault="00A113DC">
            <w:pPr>
              <w:rPr>
                <w:rFonts w:hAnsi="Arial"/>
              </w:rPr>
            </w:pPr>
          </w:p>
        </w:tc>
        <w:tc>
          <w:tcPr>
            <w:tcW w:w="660" w:type="dxa"/>
            <w:tcBorders>
              <w:top w:val="single" w:sz="4" w:space="0" w:color="000000"/>
              <w:left w:val="single" w:sz="4" w:space="0" w:color="000000"/>
              <w:bottom w:val="single" w:sz="4" w:space="0" w:color="000000"/>
              <w:right w:val="single" w:sz="4" w:space="0" w:color="000000"/>
            </w:tcBorders>
            <w:shd w:val="clear" w:color="auto" w:fill="99FF66"/>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2009</w:t>
            </w:r>
          </w:p>
        </w:tc>
        <w:tc>
          <w:tcPr>
            <w:tcW w:w="662"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2010</w:t>
            </w:r>
          </w:p>
        </w:tc>
        <w:tc>
          <w:tcPr>
            <w:tcW w:w="715" w:type="dxa"/>
            <w:tcBorders>
              <w:top w:val="single" w:sz="4" w:space="0" w:color="000000"/>
              <w:left w:val="single" w:sz="4" w:space="0" w:color="000000"/>
              <w:bottom w:val="single" w:sz="4" w:space="0" w:color="000000"/>
              <w:right w:val="single" w:sz="4" w:space="0" w:color="000000"/>
            </w:tcBorders>
            <w:shd w:val="clear" w:color="auto" w:fill="FFC000"/>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2011</w:t>
            </w:r>
          </w:p>
        </w:tc>
        <w:tc>
          <w:tcPr>
            <w:tcW w:w="701"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2012</w:t>
            </w:r>
          </w:p>
        </w:tc>
        <w:tc>
          <w:tcPr>
            <w:tcW w:w="710"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2013</w:t>
            </w:r>
          </w:p>
        </w:tc>
        <w:tc>
          <w:tcPr>
            <w:tcW w:w="708"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2014</w:t>
            </w:r>
          </w:p>
        </w:tc>
        <w:tc>
          <w:tcPr>
            <w:tcW w:w="718" w:type="dxa"/>
            <w:tcBorders>
              <w:top w:val="single" w:sz="4" w:space="0" w:color="000000"/>
              <w:left w:val="single" w:sz="4" w:space="0" w:color="000000"/>
              <w:bottom w:val="single" w:sz="4" w:space="0" w:color="000000"/>
              <w:right w:val="single" w:sz="4" w:space="0" w:color="000000"/>
            </w:tcBorders>
            <w:shd w:val="clear" w:color="auto" w:fill="FF3300"/>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2015</w:t>
            </w:r>
          </w:p>
        </w:tc>
        <w:tc>
          <w:tcPr>
            <w:tcW w:w="708" w:type="dxa"/>
            <w:tcBorders>
              <w:top w:val="single" w:sz="4" w:space="0" w:color="000000"/>
              <w:left w:val="single" w:sz="4" w:space="0" w:color="000000"/>
              <w:bottom w:val="single" w:sz="4" w:space="0" w:color="000000"/>
              <w:right w:val="single" w:sz="4" w:space="0" w:color="000000"/>
            </w:tcBorders>
            <w:shd w:val="clear" w:color="auto" w:fill="99FF66"/>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2016</w:t>
            </w:r>
          </w:p>
        </w:tc>
      </w:tr>
      <w:tr w:rsidR="00BD7B71" w:rsidTr="00E1543E">
        <w:trPr>
          <w:trHeight w:hRule="exact" w:val="480"/>
        </w:trPr>
        <w:tc>
          <w:tcPr>
            <w:tcW w:w="2448"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9"/>
              <w:ind w:left="103" w:right="179"/>
              <w:rPr>
                <w:rFonts w:ascii="Arial" w:eastAsia="Arial" w:hAnsi="Arial" w:cs="Arial"/>
                <w:sz w:val="20"/>
                <w:szCs w:val="20"/>
              </w:rPr>
            </w:pPr>
            <w:r w:rsidRPr="00ED1F31">
              <w:rPr>
                <w:rFonts w:ascii="Arial" w:hAnsi="Arial"/>
                <w:sz w:val="20"/>
              </w:rPr>
              <w:t>Signals passed at danger without authority (train)</w:t>
            </w:r>
          </w:p>
        </w:tc>
        <w:tc>
          <w:tcPr>
            <w:tcW w:w="660" w:type="dxa"/>
            <w:tcBorders>
              <w:top w:val="single" w:sz="4" w:space="0" w:color="000000"/>
              <w:left w:val="single" w:sz="4" w:space="0" w:color="000000"/>
              <w:bottom w:val="single" w:sz="4" w:space="0" w:color="000000"/>
              <w:right w:val="single" w:sz="4" w:space="0" w:color="000000"/>
            </w:tcBorders>
            <w:shd w:val="clear" w:color="auto" w:fill="99FF66"/>
          </w:tcPr>
          <w:p w:rsidR="00A113DC" w:rsidRPr="00ED1F31" w:rsidRDefault="00F46E39" w:rsidP="00C84485">
            <w:pPr>
              <w:pStyle w:val="TableParagraph"/>
              <w:spacing w:before="115"/>
              <w:ind w:left="0" w:right="-10"/>
              <w:jc w:val="center"/>
              <w:rPr>
                <w:rFonts w:ascii="Arial" w:eastAsia="Arial" w:hAnsi="Arial" w:cs="Arial"/>
                <w:sz w:val="20"/>
                <w:szCs w:val="20"/>
              </w:rPr>
            </w:pPr>
            <w:r w:rsidRPr="00ED1F31">
              <w:rPr>
                <w:rFonts w:ascii="Arial" w:hAnsi="Arial"/>
                <w:b/>
                <w:sz w:val="20"/>
              </w:rPr>
              <w:t>1</w:t>
            </w:r>
          </w:p>
        </w:tc>
        <w:tc>
          <w:tcPr>
            <w:tcW w:w="662"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4</w:t>
            </w:r>
          </w:p>
        </w:tc>
        <w:tc>
          <w:tcPr>
            <w:tcW w:w="715" w:type="dxa"/>
            <w:tcBorders>
              <w:top w:val="single" w:sz="4" w:space="0" w:color="000000"/>
              <w:left w:val="single" w:sz="4" w:space="0" w:color="000000"/>
              <w:bottom w:val="single" w:sz="4" w:space="0" w:color="000000"/>
              <w:right w:val="single" w:sz="4" w:space="0" w:color="000000"/>
            </w:tcBorders>
            <w:shd w:val="clear" w:color="auto" w:fill="FFC000"/>
          </w:tcPr>
          <w:p w:rsidR="00A113DC" w:rsidRPr="00ED1F31" w:rsidRDefault="00F46E39" w:rsidP="00C84485">
            <w:pPr>
              <w:pStyle w:val="TableParagraph"/>
              <w:spacing w:before="115"/>
              <w:ind w:left="0" w:right="-10"/>
              <w:jc w:val="center"/>
              <w:rPr>
                <w:rFonts w:ascii="Arial" w:eastAsia="Arial" w:hAnsi="Arial" w:cs="Arial"/>
                <w:sz w:val="20"/>
                <w:szCs w:val="20"/>
              </w:rPr>
            </w:pPr>
            <w:r w:rsidRPr="00ED1F31">
              <w:rPr>
                <w:rFonts w:ascii="Arial" w:hAnsi="Arial"/>
                <w:b/>
                <w:sz w:val="20"/>
              </w:rPr>
              <w:t>11</w:t>
            </w:r>
          </w:p>
        </w:tc>
        <w:tc>
          <w:tcPr>
            <w:tcW w:w="701"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5</w:t>
            </w:r>
          </w:p>
        </w:tc>
        <w:tc>
          <w:tcPr>
            <w:tcW w:w="710"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4</w:t>
            </w:r>
          </w:p>
        </w:tc>
        <w:tc>
          <w:tcPr>
            <w:tcW w:w="708" w:type="dxa"/>
            <w:tcBorders>
              <w:top w:val="single" w:sz="4" w:space="0" w:color="000000"/>
              <w:left w:val="single" w:sz="4" w:space="0" w:color="000000"/>
              <w:bottom w:val="single" w:sz="4" w:space="0" w:color="000000"/>
              <w:right w:val="single" w:sz="4" w:space="0" w:color="000000"/>
            </w:tcBorders>
          </w:tcPr>
          <w:p w:rsidR="00A113DC" w:rsidRPr="00ED1F31" w:rsidRDefault="00F46E39" w:rsidP="00C84485">
            <w:pPr>
              <w:pStyle w:val="TableParagraph"/>
              <w:spacing w:before="117"/>
              <w:ind w:left="0" w:right="-10"/>
              <w:jc w:val="center"/>
              <w:rPr>
                <w:rFonts w:ascii="Arial" w:eastAsia="Arial" w:hAnsi="Arial" w:cs="Arial"/>
                <w:sz w:val="20"/>
                <w:szCs w:val="20"/>
              </w:rPr>
            </w:pPr>
            <w:r w:rsidRPr="00ED1F31">
              <w:rPr>
                <w:rFonts w:ascii="Arial" w:hAnsi="Arial"/>
                <w:sz w:val="20"/>
              </w:rPr>
              <w:t>6</w:t>
            </w:r>
          </w:p>
        </w:tc>
        <w:tc>
          <w:tcPr>
            <w:tcW w:w="718" w:type="dxa"/>
            <w:tcBorders>
              <w:top w:val="single" w:sz="4" w:space="0" w:color="000000"/>
              <w:left w:val="single" w:sz="4" w:space="0" w:color="000000"/>
              <w:bottom w:val="single" w:sz="4" w:space="0" w:color="000000"/>
              <w:right w:val="single" w:sz="4" w:space="0" w:color="000000"/>
            </w:tcBorders>
            <w:shd w:val="clear" w:color="auto" w:fill="FF3300"/>
          </w:tcPr>
          <w:p w:rsidR="00A113DC" w:rsidRPr="00ED1F31" w:rsidRDefault="00F46E39" w:rsidP="00C84485">
            <w:pPr>
              <w:pStyle w:val="TableParagraph"/>
              <w:spacing w:before="115"/>
              <w:ind w:left="0" w:right="-10"/>
              <w:jc w:val="center"/>
              <w:rPr>
                <w:rFonts w:ascii="Arial" w:eastAsia="Arial" w:hAnsi="Arial" w:cs="Arial"/>
                <w:sz w:val="20"/>
                <w:szCs w:val="20"/>
              </w:rPr>
            </w:pPr>
            <w:r w:rsidRPr="00ED1F31">
              <w:rPr>
                <w:rFonts w:ascii="Arial" w:hAnsi="Arial"/>
                <w:b/>
                <w:sz w:val="20"/>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99FF66"/>
          </w:tcPr>
          <w:p w:rsidR="00A113DC" w:rsidRPr="00ED1F31" w:rsidRDefault="00F46E39" w:rsidP="00C84485">
            <w:pPr>
              <w:pStyle w:val="TableParagraph"/>
              <w:spacing w:before="115"/>
              <w:ind w:left="0" w:right="-10"/>
              <w:jc w:val="center"/>
              <w:rPr>
                <w:rFonts w:ascii="Arial" w:eastAsia="Arial" w:hAnsi="Arial" w:cs="Arial"/>
                <w:sz w:val="20"/>
                <w:szCs w:val="20"/>
              </w:rPr>
            </w:pPr>
            <w:r w:rsidRPr="00ED1F31">
              <w:rPr>
                <w:rFonts w:ascii="Arial" w:hAnsi="Arial"/>
                <w:b/>
                <w:sz w:val="20"/>
              </w:rPr>
              <w:t>2</w:t>
            </w:r>
          </w:p>
        </w:tc>
      </w:tr>
    </w:tbl>
    <w:p w:rsidR="00A113DC" w:rsidRPr="00ED1F31" w:rsidRDefault="00A113DC">
      <w:pPr>
        <w:spacing w:before="11"/>
        <w:rPr>
          <w:rFonts w:eastAsia="Calibri" w:cs="Calibri"/>
          <w:sz w:val="4"/>
          <w:szCs w:val="4"/>
        </w:rPr>
      </w:pPr>
    </w:p>
    <w:p w:rsidR="00E1543E" w:rsidRPr="00ED1F31" w:rsidRDefault="00F46E39" w:rsidP="00E1543E">
      <w:pPr>
        <w:spacing w:before="59" w:line="276" w:lineRule="auto"/>
        <w:ind w:left="851" w:right="113" w:firstLine="11"/>
        <w:rPr>
          <w:sz w:val="20"/>
        </w:rPr>
      </w:pPr>
      <w:r w:rsidRPr="00ED1F31">
        <w:rPr>
          <w:sz w:val="20"/>
        </w:rPr>
        <w:t>Average number of signals passed at danger by trains:</w:t>
      </w:r>
      <w:r w:rsidRPr="00ED1F31">
        <w:tab/>
      </w:r>
      <w:r w:rsidRPr="00ED1F31">
        <w:rPr>
          <w:sz w:val="20"/>
        </w:rPr>
        <w:t xml:space="preserve">6.5/year </w:t>
      </w:r>
    </w:p>
    <w:p w:rsidR="00A113DC" w:rsidRPr="00ED1F31" w:rsidRDefault="00F46E39" w:rsidP="00E1543E">
      <w:pPr>
        <w:spacing w:before="59" w:line="276" w:lineRule="auto"/>
        <w:ind w:left="851" w:right="113" w:firstLine="11"/>
        <w:rPr>
          <w:rFonts w:eastAsia="Calibri" w:cs="Calibri"/>
          <w:sz w:val="20"/>
          <w:szCs w:val="20"/>
        </w:rPr>
      </w:pPr>
      <w:r w:rsidRPr="00ED1F31">
        <w:rPr>
          <w:sz w:val="20"/>
        </w:rPr>
        <w:t>Average excluding the best and worst results:</w:t>
      </w:r>
      <w:r w:rsidRPr="00ED1F31">
        <w:tab/>
      </w:r>
      <w:r w:rsidRPr="00ED1F31">
        <w:rPr>
          <w:sz w:val="20"/>
        </w:rPr>
        <w:t>5.3/year</w:t>
      </w:r>
    </w:p>
    <w:p w:rsidR="00A113DC" w:rsidRPr="00ED1F31" w:rsidRDefault="00F46E39" w:rsidP="00E1543E">
      <w:pPr>
        <w:pStyle w:val="BodyText"/>
      </w:pPr>
      <w:r w:rsidRPr="00ED1F31">
        <w:t xml:space="preserve">In 2016, eight </w:t>
      </w:r>
      <w:r w:rsidRPr="00ED1F31">
        <w:t>signals were passed at danger during shunting, compared to 11 in 2015, which is an improvement. As the ACF does not have figures for years prior to 2015, we cannot draw any more detailed conclusions.</w:t>
      </w:r>
    </w:p>
    <w:p w:rsidR="00A113DC" w:rsidRPr="00ED1F31" w:rsidRDefault="00F46E39" w:rsidP="00E1543E">
      <w:pPr>
        <w:pStyle w:val="BodyText"/>
      </w:pPr>
      <w:r w:rsidRPr="00ED1F31">
        <w:t>After the catastrophic figures for 2015 for signals pass</w:t>
      </w:r>
      <w:r w:rsidRPr="00ED1F31">
        <w:t>ed at danger, the action plans to remedy this worrying situation, which include no fewer than 68 measures agreed and implemented by stakeholders, have paid off.</w:t>
      </w:r>
    </w:p>
    <w:p w:rsidR="00A113DC" w:rsidRPr="00ED1F31" w:rsidRDefault="00F46E39" w:rsidP="00E1543E">
      <w:pPr>
        <w:pStyle w:val="BodyText"/>
      </w:pPr>
      <w:r w:rsidRPr="00ED1F31">
        <w:t>These measures can be grouped into seven categories dealing with the following themes:</w:t>
      </w:r>
    </w:p>
    <w:p w:rsidR="00A113DC" w:rsidRPr="00ED1F31" w:rsidRDefault="00F46E39" w:rsidP="00976521">
      <w:pPr>
        <w:pStyle w:val="ListParagraph"/>
        <w:numPr>
          <w:ilvl w:val="2"/>
          <w:numId w:val="27"/>
        </w:numPr>
      </w:pPr>
      <w:r w:rsidRPr="00ED1F31">
        <w:t>training, communication with train drivers and feedback;</w:t>
      </w:r>
    </w:p>
    <w:p w:rsidR="00A113DC" w:rsidRPr="00ED1F31" w:rsidRDefault="00F46E39" w:rsidP="00976521">
      <w:pPr>
        <w:pStyle w:val="ListParagraph"/>
        <w:numPr>
          <w:ilvl w:val="2"/>
          <w:numId w:val="27"/>
        </w:numPr>
      </w:pPr>
      <w:r w:rsidRPr="00ED1F31">
        <w:t>coaching and awareness training for train drivers;</w:t>
      </w:r>
    </w:p>
    <w:p w:rsidR="00A113DC" w:rsidRPr="00ED1F31" w:rsidRDefault="00F46E39" w:rsidP="00976521">
      <w:pPr>
        <w:pStyle w:val="ListParagraph"/>
        <w:numPr>
          <w:ilvl w:val="2"/>
          <w:numId w:val="27"/>
        </w:numPr>
      </w:pPr>
      <w:r w:rsidRPr="00ED1F31">
        <w:t>increased frequency of controls of train drivers and improved controls of video and audio tapes;</w:t>
      </w:r>
    </w:p>
    <w:p w:rsidR="00A113DC" w:rsidRPr="00ED1F31" w:rsidRDefault="00F46E39" w:rsidP="00976521">
      <w:pPr>
        <w:pStyle w:val="ListParagraph"/>
        <w:numPr>
          <w:ilvl w:val="2"/>
          <w:numId w:val="27"/>
        </w:numPr>
      </w:pPr>
      <w:r w:rsidRPr="00ED1F31">
        <w:t>well-being at work, stress elimination as far as po</w:t>
      </w:r>
      <w:r w:rsidRPr="00ED1F31">
        <w:t>ssible, and optimisation of rostering;</w:t>
      </w:r>
    </w:p>
    <w:p w:rsidR="00A113DC" w:rsidRPr="00ED1F31" w:rsidRDefault="00F46E39" w:rsidP="00976521">
      <w:pPr>
        <w:pStyle w:val="ListParagraph"/>
        <w:numPr>
          <w:ilvl w:val="2"/>
          <w:numId w:val="27"/>
        </w:numPr>
      </w:pPr>
      <w:r w:rsidRPr="00ED1F31">
        <w:t>adaptation of regulations on the use of mobile phones and cultivation of good workplace habits;</w:t>
      </w:r>
    </w:p>
    <w:p w:rsidR="00A113DC" w:rsidRPr="00ED1F31" w:rsidRDefault="00F46E39" w:rsidP="00976521">
      <w:pPr>
        <w:pStyle w:val="ListParagraph"/>
        <w:numPr>
          <w:ilvl w:val="2"/>
          <w:numId w:val="27"/>
        </w:numPr>
      </w:pPr>
      <w:r w:rsidRPr="00ED1F31">
        <w:t>optimisation of the visibility and clarity of signals (RU and IM working group);</w:t>
      </w:r>
    </w:p>
    <w:p w:rsidR="00A113DC" w:rsidRPr="00ED1F31" w:rsidRDefault="00F46E39" w:rsidP="00976521">
      <w:pPr>
        <w:pStyle w:val="ListParagraph"/>
        <w:numPr>
          <w:ilvl w:val="2"/>
          <w:numId w:val="27"/>
        </w:numPr>
      </w:pPr>
      <w:r w:rsidRPr="00ED1F31">
        <w:t>exchange of information and experience b</w:t>
      </w:r>
      <w:r w:rsidRPr="00ED1F31">
        <w:t>etween RUs, partner RUs and IMs, as well as participation in the UIC’s ‘SPAD Task Force’.</w:t>
      </w:r>
    </w:p>
    <w:p w:rsidR="00A113DC" w:rsidRPr="00ED1F31" w:rsidRDefault="00F46E39" w:rsidP="00460B7F">
      <w:pPr>
        <w:pStyle w:val="BodyText"/>
      </w:pPr>
      <w:r w:rsidRPr="00ED1F31">
        <w:t xml:space="preserve">On the basis of the results already recorded in the second half of 2015 and in 2016, the action taken by the different stakeholders has proved successful. The ACF is </w:t>
      </w:r>
      <w:r w:rsidRPr="00ED1F31">
        <w:t>encouraging them to continue strict implementation of their actions.</w:t>
      </w:r>
    </w:p>
    <w:p w:rsidR="00A113DC" w:rsidRPr="00ED1F31" w:rsidRDefault="00F46E39" w:rsidP="00460B7F">
      <w:pPr>
        <w:pStyle w:val="BodyText"/>
        <w:pageBreakBefore/>
      </w:pPr>
      <w:r w:rsidRPr="00ED1F31">
        <w:t>Generally, we fully support the approaches taken by companies in the sector to improve safety culture internally.</w:t>
      </w:r>
    </w:p>
    <w:p w:rsidR="00A113DC" w:rsidRPr="00ED1F31" w:rsidRDefault="00F46E39" w:rsidP="00460B7F">
      <w:pPr>
        <w:pStyle w:val="BodyText"/>
        <w:rPr>
          <w:b/>
          <w:u w:val="single"/>
        </w:rPr>
      </w:pPr>
      <w:r w:rsidRPr="00ED1F31">
        <w:rPr>
          <w:b/>
          <w:u w:val="single"/>
        </w:rPr>
        <w:t>Infrastructure</w:t>
      </w:r>
    </w:p>
    <w:p w:rsidR="00A113DC" w:rsidRPr="00ED1F31" w:rsidRDefault="00F46E39" w:rsidP="00460B7F">
      <w:pPr>
        <w:pStyle w:val="BodyText"/>
      </w:pPr>
      <w:r w:rsidRPr="00ED1F31">
        <w:t>At the end of 2015, the entire national rail network, with</w:t>
      </w:r>
      <w:r w:rsidRPr="00ED1F31">
        <w:t xml:space="preserve"> the exception of the industrial rail network was equipped with ETCS. It was installed in nine lots, with the different lots each consisting of one or more complete or partial lines and one or more stations. The ACF issued the first authorisations in Octob</w:t>
      </w:r>
      <w:r w:rsidRPr="00ED1F31">
        <w:t>er 2016 and the final ones in July 2017, as the applications for authorisation to carry out the work were received. The table below shows the different lots and the date of issue by the ACF of authorisation for entry into service:</w:t>
      </w:r>
    </w:p>
    <w:p w:rsidR="00A113DC" w:rsidRPr="00ED1F31" w:rsidRDefault="00A113DC">
      <w:pPr>
        <w:spacing w:before="10"/>
        <w:rPr>
          <w:rFonts w:eastAsia="Calibri" w:cs="Calibri"/>
          <w:sz w:val="19"/>
          <w:szCs w:val="19"/>
        </w:rPr>
      </w:pPr>
    </w:p>
    <w:tbl>
      <w:tblPr>
        <w:tblW w:w="0" w:type="auto"/>
        <w:tblInd w:w="851" w:type="dxa"/>
        <w:tblLayout w:type="fixed"/>
        <w:tblCellMar>
          <w:left w:w="0" w:type="dxa"/>
          <w:right w:w="0" w:type="dxa"/>
        </w:tblCellMar>
        <w:tblLook w:val="01E0" w:firstRow="1" w:lastRow="1" w:firstColumn="1" w:lastColumn="1" w:noHBand="0" w:noVBand="0"/>
      </w:tblPr>
      <w:tblGrid>
        <w:gridCol w:w="1356"/>
        <w:gridCol w:w="5662"/>
        <w:gridCol w:w="1082"/>
      </w:tblGrid>
      <w:tr w:rsidR="00BD7B71" w:rsidTr="00751115">
        <w:trPr>
          <w:trHeight w:hRule="exact" w:val="643"/>
        </w:trPr>
        <w:tc>
          <w:tcPr>
            <w:tcW w:w="8100" w:type="dxa"/>
            <w:gridSpan w:val="3"/>
            <w:tcBorders>
              <w:top w:val="single" w:sz="8" w:space="0" w:color="000000"/>
              <w:left w:val="single" w:sz="8" w:space="0" w:color="000000"/>
              <w:bottom w:val="single" w:sz="4" w:space="0" w:color="000000"/>
              <w:right w:val="single" w:sz="8" w:space="0" w:color="000000"/>
            </w:tcBorders>
            <w:vAlign w:val="center"/>
          </w:tcPr>
          <w:p w:rsidR="00A113DC" w:rsidRPr="00ED1F31" w:rsidRDefault="00F46E39">
            <w:pPr>
              <w:pStyle w:val="TableParagraph"/>
              <w:ind w:left="1833"/>
              <w:rPr>
                <w:rFonts w:eastAsia="Calibri" w:cs="Calibri"/>
              </w:rPr>
            </w:pPr>
            <w:r w:rsidRPr="00ED1F31">
              <w:t xml:space="preserve">Authorisation for entry </w:t>
            </w:r>
            <w:r w:rsidRPr="00ED1F31">
              <w:t>into service of groundside ETCS</w:t>
            </w:r>
          </w:p>
        </w:tc>
      </w:tr>
      <w:tr w:rsidR="00BD7B71" w:rsidTr="00751115">
        <w:trPr>
          <w:trHeight w:hRule="exact" w:val="638"/>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Date</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jc w:val="center"/>
              <w:rPr>
                <w:rFonts w:eastAsia="Calibri" w:cs="Calibri"/>
              </w:rPr>
            </w:pPr>
            <w:r w:rsidRPr="00ED1F31">
              <w:t>Lot description</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No</w:t>
            </w:r>
          </w:p>
        </w:tc>
      </w:tr>
      <w:tr w:rsidR="00BD7B71" w:rsidTr="00751115">
        <w:trPr>
          <w:trHeight w:hRule="exact" w:val="638"/>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05/10/2016</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eastAsia="Calibri" w:cs="Calibri"/>
              </w:rPr>
            </w:pPr>
            <w:r w:rsidRPr="00ED1F31">
              <w:t>Luxembourg – Kleinbettingen</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8</w:t>
            </w:r>
          </w:p>
        </w:tc>
      </w:tr>
      <w:tr w:rsidR="00BD7B71" w:rsidTr="00751115">
        <w:trPr>
          <w:trHeight w:hRule="exact" w:val="638"/>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13/10/2016</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eastAsia="Calibri" w:cs="Calibri"/>
              </w:rPr>
            </w:pPr>
            <w:r w:rsidRPr="00ED1F31">
              <w:t>Luxembourg station</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4</w:t>
            </w:r>
          </w:p>
        </w:tc>
      </w:tr>
      <w:tr w:rsidR="00BD7B71" w:rsidTr="00751115">
        <w:trPr>
          <w:trHeight w:hRule="exact" w:val="638"/>
        </w:trPr>
        <w:tc>
          <w:tcPr>
            <w:tcW w:w="1356" w:type="dxa"/>
            <w:tcBorders>
              <w:top w:val="single" w:sz="4" w:space="0" w:color="000000"/>
              <w:left w:val="single" w:sz="8" w:space="0" w:color="000000"/>
              <w:bottom w:val="single" w:sz="4" w:space="0" w:color="FF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14/10/2016</w:t>
            </w:r>
          </w:p>
        </w:tc>
        <w:tc>
          <w:tcPr>
            <w:tcW w:w="5662" w:type="dxa"/>
            <w:tcBorders>
              <w:top w:val="single" w:sz="4" w:space="0" w:color="000000"/>
              <w:left w:val="single" w:sz="4" w:space="0" w:color="000000"/>
              <w:bottom w:val="single" w:sz="4" w:space="0" w:color="FF0000"/>
              <w:right w:val="single" w:sz="4" w:space="0" w:color="000000"/>
            </w:tcBorders>
            <w:vAlign w:val="center"/>
          </w:tcPr>
          <w:p w:rsidR="00A113DC" w:rsidRPr="00ED1F31" w:rsidRDefault="00F46E39">
            <w:pPr>
              <w:pStyle w:val="TableParagraph"/>
              <w:ind w:left="103"/>
              <w:rPr>
                <w:rFonts w:eastAsia="Calibri" w:cs="Calibri"/>
              </w:rPr>
            </w:pPr>
            <w:r w:rsidRPr="00ED1F31">
              <w:t>Berchem – Bettembourg Frontière</w:t>
            </w:r>
          </w:p>
        </w:tc>
        <w:tc>
          <w:tcPr>
            <w:tcW w:w="1082" w:type="dxa"/>
            <w:tcBorders>
              <w:top w:val="single" w:sz="4" w:space="0" w:color="000000"/>
              <w:left w:val="single" w:sz="4" w:space="0" w:color="000000"/>
              <w:bottom w:val="single" w:sz="4" w:space="0" w:color="FF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5</w:t>
            </w:r>
          </w:p>
        </w:tc>
      </w:tr>
      <w:tr w:rsidR="00BD7B71" w:rsidTr="00751115">
        <w:trPr>
          <w:trHeight w:hRule="exact" w:val="638"/>
        </w:trPr>
        <w:tc>
          <w:tcPr>
            <w:tcW w:w="1356" w:type="dxa"/>
            <w:tcBorders>
              <w:top w:val="single" w:sz="4" w:space="0" w:color="FF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02/06/2017</w:t>
            </w:r>
          </w:p>
        </w:tc>
        <w:tc>
          <w:tcPr>
            <w:tcW w:w="5662" w:type="dxa"/>
            <w:tcBorders>
              <w:top w:val="single" w:sz="4" w:space="0" w:color="FF0000"/>
              <w:left w:val="single" w:sz="4" w:space="0" w:color="000000"/>
              <w:bottom w:val="single" w:sz="4" w:space="0" w:color="000000"/>
              <w:right w:val="single" w:sz="4" w:space="0" w:color="000000"/>
            </w:tcBorders>
            <w:vAlign w:val="center"/>
          </w:tcPr>
          <w:p w:rsidR="00A113DC" w:rsidRPr="00587420" w:rsidRDefault="00F46E39">
            <w:pPr>
              <w:pStyle w:val="TableParagraph"/>
              <w:ind w:left="103"/>
              <w:rPr>
                <w:rFonts w:eastAsia="Calibri" w:cs="Calibri"/>
                <w:lang w:val="fr-BE"/>
              </w:rPr>
            </w:pPr>
            <w:r w:rsidRPr="00587420">
              <w:rPr>
                <w:lang w:val="fr-BE"/>
              </w:rPr>
              <w:t>Leudelange – Belval-Usines – Rodange Frontière</w:t>
            </w:r>
          </w:p>
        </w:tc>
        <w:tc>
          <w:tcPr>
            <w:tcW w:w="1082" w:type="dxa"/>
            <w:tcBorders>
              <w:top w:val="single" w:sz="4" w:space="0" w:color="FF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w:t>
            </w:r>
            <w:r w:rsidRPr="00ED1F31">
              <w:rPr>
                <w:sz w:val="20"/>
              </w:rPr>
              <w:t xml:space="preserve"> 7</w:t>
            </w:r>
          </w:p>
        </w:tc>
      </w:tr>
      <w:tr w:rsidR="00BD7B71" w:rsidTr="00751115">
        <w:trPr>
          <w:trHeight w:hRule="exact" w:val="638"/>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02/06/2017</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eastAsia="Calibri" w:cs="Calibri"/>
              </w:rPr>
            </w:pPr>
            <w:r w:rsidRPr="00ED1F31">
              <w:t>Noertzange – Esch-sur-Alzette</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6</w:t>
            </w:r>
          </w:p>
        </w:tc>
      </w:tr>
      <w:tr w:rsidR="00BD7B71" w:rsidTr="00751115">
        <w:trPr>
          <w:trHeight w:hRule="exact" w:val="641"/>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19/07/2017</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eastAsia="Calibri" w:cs="Calibri"/>
              </w:rPr>
            </w:pPr>
            <w:r w:rsidRPr="00ED1F31">
              <w:t>Ettelbrück – Diekirch and Ettelbrück – Bissen</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1</w:t>
            </w:r>
          </w:p>
        </w:tc>
      </w:tr>
      <w:tr w:rsidR="00BD7B71" w:rsidTr="00751115">
        <w:trPr>
          <w:trHeight w:hRule="exact" w:val="638"/>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19/07/2017</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eastAsia="Calibri" w:cs="Calibri"/>
              </w:rPr>
            </w:pPr>
            <w:r w:rsidRPr="00ED1F31">
              <w:t>Ettelbrück – Dommeldange</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2</w:t>
            </w:r>
          </w:p>
        </w:tc>
      </w:tr>
      <w:tr w:rsidR="00BD7B71" w:rsidTr="00751115">
        <w:trPr>
          <w:trHeight w:hRule="exact" w:val="638"/>
        </w:trPr>
        <w:tc>
          <w:tcPr>
            <w:tcW w:w="1356" w:type="dxa"/>
            <w:tcBorders>
              <w:top w:val="single" w:sz="4" w:space="0" w:color="000000"/>
              <w:left w:val="single" w:sz="8" w:space="0" w:color="000000"/>
              <w:bottom w:val="single" w:sz="4"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19/07/2017</w:t>
            </w:r>
          </w:p>
        </w:tc>
        <w:tc>
          <w:tcPr>
            <w:tcW w:w="566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eastAsia="Calibri" w:cs="Calibri"/>
              </w:rPr>
            </w:pPr>
            <w:r w:rsidRPr="00ED1F31">
              <w:t>Ettelbrück – Troisvierges and Kautenbauch – Wiltz</w:t>
            </w:r>
          </w:p>
        </w:tc>
        <w:tc>
          <w:tcPr>
            <w:tcW w:w="1082" w:type="dxa"/>
            <w:tcBorders>
              <w:top w:val="single" w:sz="4" w:space="0" w:color="000000"/>
              <w:left w:val="single" w:sz="4" w:space="0" w:color="000000"/>
              <w:bottom w:val="single" w:sz="4"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3</w:t>
            </w:r>
          </w:p>
        </w:tc>
      </w:tr>
      <w:tr w:rsidR="00BD7B71" w:rsidTr="00751115">
        <w:trPr>
          <w:trHeight w:hRule="exact" w:val="643"/>
        </w:trPr>
        <w:tc>
          <w:tcPr>
            <w:tcW w:w="1356" w:type="dxa"/>
            <w:tcBorders>
              <w:top w:val="single" w:sz="4" w:space="0" w:color="000000"/>
              <w:left w:val="single" w:sz="8" w:space="0" w:color="000000"/>
              <w:bottom w:val="single" w:sz="8" w:space="0" w:color="000000"/>
              <w:right w:val="single" w:sz="4" w:space="0" w:color="000000"/>
            </w:tcBorders>
            <w:vAlign w:val="center"/>
          </w:tcPr>
          <w:p w:rsidR="00A113DC" w:rsidRPr="00ED1F31" w:rsidRDefault="00F46E39" w:rsidP="00C84485">
            <w:pPr>
              <w:pStyle w:val="TableParagraph"/>
              <w:ind w:left="10" w:right="0"/>
              <w:jc w:val="center"/>
              <w:rPr>
                <w:rFonts w:eastAsia="Calibri" w:cs="Calibri"/>
              </w:rPr>
            </w:pPr>
            <w:r w:rsidRPr="00ED1F31">
              <w:t>20/07/2017</w:t>
            </w:r>
          </w:p>
        </w:tc>
        <w:tc>
          <w:tcPr>
            <w:tcW w:w="5662" w:type="dxa"/>
            <w:tcBorders>
              <w:top w:val="single" w:sz="4" w:space="0" w:color="000000"/>
              <w:left w:val="single" w:sz="4" w:space="0" w:color="000000"/>
              <w:bottom w:val="single" w:sz="8" w:space="0" w:color="000000"/>
              <w:right w:val="single" w:sz="4" w:space="0" w:color="000000"/>
            </w:tcBorders>
            <w:vAlign w:val="center"/>
          </w:tcPr>
          <w:p w:rsidR="00A113DC" w:rsidRPr="00ED1F31" w:rsidRDefault="00F46E39">
            <w:pPr>
              <w:pStyle w:val="TableParagraph"/>
              <w:ind w:left="103"/>
              <w:rPr>
                <w:rFonts w:eastAsia="Calibri" w:cs="Calibri"/>
              </w:rPr>
            </w:pPr>
            <w:r w:rsidRPr="00ED1F31">
              <w:t xml:space="preserve">Oetrange – </w:t>
            </w:r>
            <w:r w:rsidRPr="00ED1F31">
              <w:t>Wasserbillig Frontière</w:t>
            </w:r>
          </w:p>
        </w:tc>
        <w:tc>
          <w:tcPr>
            <w:tcW w:w="1082" w:type="dxa"/>
            <w:tcBorders>
              <w:top w:val="single" w:sz="4" w:space="0" w:color="000000"/>
              <w:left w:val="single" w:sz="4" w:space="0" w:color="000000"/>
              <w:bottom w:val="single" w:sz="8" w:space="0" w:color="000000"/>
              <w:right w:val="single" w:sz="8" w:space="0" w:color="000000"/>
            </w:tcBorders>
            <w:vAlign w:val="center"/>
          </w:tcPr>
          <w:p w:rsidR="00A113DC" w:rsidRPr="00ED1F31" w:rsidRDefault="00F46E39" w:rsidP="00C84485">
            <w:pPr>
              <w:pStyle w:val="TableParagraph"/>
              <w:ind w:left="0" w:right="0"/>
              <w:jc w:val="center"/>
              <w:rPr>
                <w:rFonts w:eastAsia="Calibri" w:cs="Calibri"/>
                <w:sz w:val="20"/>
                <w:szCs w:val="20"/>
              </w:rPr>
            </w:pPr>
            <w:r w:rsidRPr="00ED1F31">
              <w:rPr>
                <w:sz w:val="20"/>
              </w:rPr>
              <w:t>Lot 9</w:t>
            </w:r>
          </w:p>
        </w:tc>
      </w:tr>
    </w:tbl>
    <w:p w:rsidR="00A113DC" w:rsidRPr="00ED1F31" w:rsidRDefault="00A113DC">
      <w:pPr>
        <w:rPr>
          <w:rFonts w:eastAsia="Calibri" w:cs="Calibri"/>
          <w:sz w:val="20"/>
          <w:szCs w:val="20"/>
        </w:rPr>
      </w:pPr>
    </w:p>
    <w:p w:rsidR="00A113DC" w:rsidRPr="00ED1F31" w:rsidRDefault="00F46E39" w:rsidP="00460B7F">
      <w:pPr>
        <w:pStyle w:val="BodyText"/>
      </w:pPr>
      <w:r w:rsidRPr="00ED1F31">
        <w:t>The number of level crossings has been reduced by 18 since 2009, which represents a 13% reduction.</w:t>
      </w:r>
    </w:p>
    <w:tbl>
      <w:tblPr>
        <w:tblW w:w="8756" w:type="dxa"/>
        <w:tblInd w:w="851" w:type="dxa"/>
        <w:tblLayout w:type="fixed"/>
        <w:tblCellMar>
          <w:left w:w="0" w:type="dxa"/>
          <w:right w:w="0" w:type="dxa"/>
        </w:tblCellMar>
        <w:tblLook w:val="01E0" w:firstRow="1" w:lastRow="1" w:firstColumn="1" w:lastColumn="1" w:noHBand="0" w:noVBand="0"/>
      </w:tblPr>
      <w:tblGrid>
        <w:gridCol w:w="4392"/>
        <w:gridCol w:w="1810"/>
        <w:gridCol w:w="852"/>
        <w:gridCol w:w="850"/>
        <w:gridCol w:w="852"/>
      </w:tblGrid>
      <w:tr w:rsidR="00BD7B71" w:rsidTr="00AF159C">
        <w:trPr>
          <w:trHeight w:hRule="exact" w:val="480"/>
        </w:trPr>
        <w:tc>
          <w:tcPr>
            <w:tcW w:w="439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2B79EA">
            <w:pPr>
              <w:pStyle w:val="TableParagraph"/>
              <w:pageBreakBefore/>
              <w:spacing w:before="115"/>
              <w:ind w:left="101"/>
              <w:rPr>
                <w:rFonts w:ascii="Arial" w:eastAsia="Arial" w:hAnsi="Arial" w:cs="Arial"/>
                <w:sz w:val="20"/>
                <w:szCs w:val="20"/>
              </w:rPr>
            </w:pPr>
            <w:r w:rsidRPr="00ED1F31">
              <w:rPr>
                <w:rFonts w:ascii="Arial" w:hAnsi="Arial"/>
                <w:b/>
                <w:sz w:val="20"/>
              </w:rPr>
              <w:t>Infrastructure characteristics</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tc>
        <w:tc>
          <w:tcPr>
            <w:tcW w:w="852" w:type="dxa"/>
            <w:tcBorders>
              <w:top w:val="single" w:sz="4" w:space="0" w:color="000000"/>
              <w:left w:val="single" w:sz="4" w:space="0" w:color="000000"/>
              <w:bottom w:val="single" w:sz="4" w:space="0" w:color="000000"/>
              <w:right w:val="single" w:sz="4" w:space="0" w:color="000000"/>
            </w:tcBorders>
            <w:shd w:val="clear" w:color="auto" w:fill="DEDEDE"/>
            <w:vAlign w:val="center"/>
          </w:tcPr>
          <w:p w:rsidR="00A113DC" w:rsidRPr="00ED1F31" w:rsidRDefault="00F46E39" w:rsidP="00C84485">
            <w:pPr>
              <w:pStyle w:val="TableParagraph"/>
              <w:spacing w:before="131"/>
              <w:ind w:left="2" w:right="0"/>
              <w:jc w:val="center"/>
              <w:rPr>
                <w:rFonts w:ascii="Arial" w:eastAsia="Arial" w:hAnsi="Arial" w:cs="Arial"/>
                <w:sz w:val="18"/>
                <w:szCs w:val="18"/>
              </w:rPr>
            </w:pPr>
            <w:r w:rsidRPr="00ED1F31">
              <w:rPr>
                <w:rFonts w:ascii="Arial"/>
                <w:sz w:val="18"/>
              </w:rPr>
              <w:t>2016</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84485">
            <w:pPr>
              <w:pStyle w:val="TableParagraph"/>
              <w:spacing w:before="131"/>
              <w:ind w:left="4" w:right="0"/>
              <w:jc w:val="center"/>
              <w:rPr>
                <w:rFonts w:ascii="Arial" w:eastAsia="Arial" w:hAnsi="Arial" w:cs="Arial"/>
                <w:sz w:val="18"/>
                <w:szCs w:val="18"/>
              </w:rPr>
            </w:pPr>
            <w:r w:rsidRPr="00ED1F31">
              <w:rPr>
                <w:rFonts w:ascii="Arial"/>
                <w:sz w:val="18"/>
              </w:rPr>
              <w:t>2015</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84485">
            <w:pPr>
              <w:pStyle w:val="TableParagraph"/>
              <w:spacing w:before="131"/>
              <w:ind w:left="2" w:right="0"/>
              <w:jc w:val="center"/>
              <w:rPr>
                <w:rFonts w:ascii="Arial" w:eastAsia="Arial" w:hAnsi="Arial" w:cs="Arial"/>
                <w:sz w:val="18"/>
                <w:szCs w:val="18"/>
              </w:rPr>
            </w:pPr>
            <w:r w:rsidRPr="00ED1F31">
              <w:rPr>
                <w:rFonts w:ascii="Arial"/>
                <w:sz w:val="18"/>
              </w:rPr>
              <w:t>2009</w:t>
            </w:r>
          </w:p>
        </w:tc>
      </w:tr>
      <w:tr w:rsidR="00BD7B71" w:rsidTr="00AF159C">
        <w:trPr>
          <w:trHeight w:hRule="exact" w:val="689"/>
        </w:trPr>
        <w:tc>
          <w:tcPr>
            <w:tcW w:w="439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103" w:right="106"/>
              <w:rPr>
                <w:rFonts w:eastAsia="Calibri" w:cs="Calibri"/>
                <w:sz w:val="18"/>
                <w:szCs w:val="18"/>
              </w:rPr>
            </w:pPr>
            <w:r w:rsidRPr="00ED1F31">
              <w:rPr>
                <w:sz w:val="18"/>
              </w:rPr>
              <w:t>Km of lines equipped with the MEMOR II+ automatic train protection system</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2"/>
              <w:jc w:val="center"/>
              <w:rPr>
                <w:rFonts w:eastAsia="Calibri" w:cs="Calibri"/>
                <w:sz w:val="18"/>
                <w:szCs w:val="18"/>
              </w:rPr>
            </w:pPr>
            <w:r w:rsidRPr="00ED1F31">
              <w:rPr>
                <w:sz w:val="18"/>
              </w:rPr>
              <w:t>percentage</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100%</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100%</w:t>
            </w:r>
          </w:p>
        </w:tc>
      </w:tr>
      <w:tr w:rsidR="00BD7B71" w:rsidTr="00AF159C">
        <w:trPr>
          <w:trHeight w:hRule="exact" w:val="799"/>
        </w:trPr>
        <w:tc>
          <w:tcPr>
            <w:tcW w:w="439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103" w:right="106"/>
              <w:rPr>
                <w:rFonts w:eastAsia="Calibri" w:cs="Calibri"/>
                <w:sz w:val="18"/>
                <w:szCs w:val="18"/>
              </w:rPr>
            </w:pPr>
            <w:r w:rsidRPr="00ED1F31">
              <w:rPr>
                <w:sz w:val="18"/>
              </w:rPr>
              <w:t>Main fixed signals and advanced fixed signals fitted with MEMOR II+</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2"/>
              <w:jc w:val="center"/>
              <w:rPr>
                <w:rFonts w:eastAsia="Calibri" w:cs="Calibri"/>
                <w:sz w:val="18"/>
                <w:szCs w:val="18"/>
              </w:rPr>
            </w:pPr>
            <w:r w:rsidRPr="00ED1F31">
              <w:rPr>
                <w:sz w:val="18"/>
              </w:rPr>
              <w:t>percentage</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98.7%**</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100%</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100%</w:t>
            </w:r>
          </w:p>
        </w:tc>
      </w:tr>
      <w:tr w:rsidR="00BD7B71" w:rsidTr="00AF159C">
        <w:trPr>
          <w:trHeight w:hRule="exact" w:val="713"/>
        </w:trPr>
        <w:tc>
          <w:tcPr>
            <w:tcW w:w="439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103" w:right="106"/>
              <w:rPr>
                <w:rFonts w:eastAsia="Calibri" w:cs="Calibri"/>
                <w:sz w:val="18"/>
                <w:szCs w:val="18"/>
              </w:rPr>
            </w:pPr>
            <w:r w:rsidRPr="00ED1F31">
              <w:rPr>
                <w:sz w:val="18"/>
              </w:rPr>
              <w:t>Km of lines fitted with ETCS level 1</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2"/>
              <w:jc w:val="center"/>
              <w:rPr>
                <w:rFonts w:eastAsia="Calibri" w:cs="Calibri"/>
                <w:sz w:val="18"/>
                <w:szCs w:val="18"/>
              </w:rPr>
            </w:pPr>
            <w:r w:rsidRPr="00ED1F31">
              <w:rPr>
                <w:sz w:val="18"/>
              </w:rPr>
              <w:t>percentage</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100%</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59%</w:t>
            </w:r>
          </w:p>
        </w:tc>
      </w:tr>
      <w:tr w:rsidR="00BD7B71" w:rsidTr="00AF159C">
        <w:trPr>
          <w:trHeight w:hRule="exact" w:val="708"/>
        </w:trPr>
        <w:tc>
          <w:tcPr>
            <w:tcW w:w="439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103" w:right="106"/>
              <w:rPr>
                <w:rFonts w:eastAsia="Calibri" w:cs="Calibri"/>
                <w:sz w:val="18"/>
                <w:szCs w:val="18"/>
              </w:rPr>
            </w:pPr>
            <w:r w:rsidRPr="00ED1F31">
              <w:rPr>
                <w:sz w:val="18"/>
              </w:rPr>
              <w:t>Main fixed signals and advanced fixed signals fitted with ETCS level</w:t>
            </w:r>
            <w:r w:rsidRPr="00ED1F31">
              <w:rPr>
                <w:sz w:val="18"/>
              </w:rPr>
              <w:t xml:space="preserve"> 1</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2"/>
              <w:jc w:val="center"/>
              <w:rPr>
                <w:rFonts w:eastAsia="Calibri" w:cs="Calibri"/>
                <w:sz w:val="18"/>
                <w:szCs w:val="18"/>
              </w:rPr>
            </w:pPr>
            <w:r w:rsidRPr="00ED1F31">
              <w:rPr>
                <w:sz w:val="18"/>
              </w:rPr>
              <w:t>percentage</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98.7%**</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99.6%*</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48%</w:t>
            </w:r>
          </w:p>
        </w:tc>
      </w:tr>
      <w:tr w:rsidR="00BD7B71" w:rsidTr="00AF159C">
        <w:trPr>
          <w:trHeight w:hRule="exact" w:val="470"/>
        </w:trPr>
        <w:tc>
          <w:tcPr>
            <w:tcW w:w="4392" w:type="dxa"/>
            <w:vMerge w:val="restart"/>
            <w:tcBorders>
              <w:top w:val="single" w:sz="4" w:space="0" w:color="000000"/>
              <w:left w:val="single" w:sz="4" w:space="0" w:color="000000"/>
              <w:right w:val="single" w:sz="4" w:space="0" w:color="000000"/>
            </w:tcBorders>
            <w:vAlign w:val="center"/>
          </w:tcPr>
          <w:p w:rsidR="00A113DC" w:rsidRPr="00ED1F31" w:rsidRDefault="00F46E39" w:rsidP="00AF159C">
            <w:pPr>
              <w:pStyle w:val="TableParagraph"/>
              <w:ind w:left="103" w:right="106"/>
              <w:rPr>
                <w:rFonts w:eastAsia="Calibri" w:cs="Calibri"/>
                <w:sz w:val="18"/>
                <w:szCs w:val="18"/>
              </w:rPr>
            </w:pPr>
            <w:r w:rsidRPr="00ED1F31">
              <w:rPr>
                <w:sz w:val="18"/>
              </w:rPr>
              <w:t>Actively protected level crossings</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1"/>
              <w:jc w:val="center"/>
              <w:rPr>
                <w:rFonts w:eastAsia="Calibri" w:cs="Calibri"/>
                <w:sz w:val="18"/>
                <w:szCs w:val="18"/>
              </w:rPr>
            </w:pPr>
            <w:r w:rsidRPr="00ED1F31">
              <w:rPr>
                <w:sz w:val="18"/>
              </w:rPr>
              <w:t>number</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99</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107</w:t>
            </w:r>
          </w:p>
        </w:tc>
      </w:tr>
      <w:tr w:rsidR="00BD7B71" w:rsidTr="00AF159C">
        <w:trPr>
          <w:trHeight w:hRule="exact" w:val="470"/>
        </w:trPr>
        <w:tc>
          <w:tcPr>
            <w:tcW w:w="4392" w:type="dxa"/>
            <w:vMerge/>
            <w:tcBorders>
              <w:left w:val="single" w:sz="4" w:space="0" w:color="000000"/>
              <w:bottom w:val="single" w:sz="4" w:space="0" w:color="000000"/>
              <w:right w:val="single" w:sz="4" w:space="0" w:color="000000"/>
            </w:tcBorders>
            <w:vAlign w:val="center"/>
          </w:tcPr>
          <w:p w:rsidR="00A113DC" w:rsidRPr="00ED1F31" w:rsidRDefault="00A113DC" w:rsidP="00AF159C">
            <w:pPr>
              <w:ind w:right="106"/>
            </w:pP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1"/>
              <w:jc w:val="center"/>
              <w:rPr>
                <w:rFonts w:eastAsia="Calibri" w:cs="Calibri"/>
                <w:sz w:val="18"/>
                <w:szCs w:val="18"/>
              </w:rPr>
            </w:pPr>
            <w:r w:rsidRPr="00ED1F31">
              <w:rPr>
                <w:sz w:val="18"/>
              </w:rPr>
              <w:t>Number/track-km</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0.16</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0.16</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0.17</w:t>
            </w:r>
          </w:p>
        </w:tc>
      </w:tr>
      <w:tr w:rsidR="00BD7B71" w:rsidTr="00AF159C">
        <w:trPr>
          <w:trHeight w:hRule="exact" w:val="470"/>
        </w:trPr>
        <w:tc>
          <w:tcPr>
            <w:tcW w:w="4392" w:type="dxa"/>
            <w:vMerge w:val="restart"/>
            <w:tcBorders>
              <w:top w:val="single" w:sz="4" w:space="0" w:color="000000"/>
              <w:left w:val="single" w:sz="4" w:space="0" w:color="000000"/>
              <w:right w:val="single" w:sz="4" w:space="0" w:color="000000"/>
            </w:tcBorders>
            <w:vAlign w:val="center"/>
          </w:tcPr>
          <w:p w:rsidR="00A113DC" w:rsidRPr="00ED1F31" w:rsidRDefault="00F46E39" w:rsidP="00AF159C">
            <w:pPr>
              <w:pStyle w:val="TableParagraph"/>
              <w:ind w:left="103" w:right="106"/>
              <w:rPr>
                <w:rFonts w:eastAsia="Calibri" w:cs="Calibri"/>
                <w:sz w:val="18"/>
                <w:szCs w:val="18"/>
              </w:rPr>
            </w:pPr>
            <w:r w:rsidRPr="00ED1F31">
              <w:rPr>
                <w:sz w:val="18"/>
              </w:rPr>
              <w:t>Passively protected level crossings</w:t>
            </w:r>
          </w:p>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1"/>
              <w:jc w:val="center"/>
              <w:rPr>
                <w:rFonts w:eastAsia="Calibri" w:cs="Calibri"/>
                <w:sz w:val="18"/>
                <w:szCs w:val="18"/>
              </w:rPr>
            </w:pPr>
            <w:r w:rsidRPr="00ED1F31">
              <w:rPr>
                <w:sz w:val="18"/>
              </w:rPr>
              <w:t>number</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24</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25</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35</w:t>
            </w:r>
          </w:p>
        </w:tc>
      </w:tr>
      <w:tr w:rsidR="00BD7B71" w:rsidTr="00AF159C">
        <w:trPr>
          <w:trHeight w:hRule="exact" w:val="468"/>
        </w:trPr>
        <w:tc>
          <w:tcPr>
            <w:tcW w:w="4392" w:type="dxa"/>
            <w:vMerge/>
            <w:tcBorders>
              <w:left w:val="single" w:sz="4" w:space="0" w:color="000000"/>
              <w:bottom w:val="single" w:sz="4" w:space="0" w:color="000000"/>
              <w:right w:val="single" w:sz="4" w:space="0" w:color="000000"/>
            </w:tcBorders>
            <w:vAlign w:val="center"/>
          </w:tcPr>
          <w:p w:rsidR="00A113DC" w:rsidRPr="00ED1F31" w:rsidRDefault="00A113DC"/>
        </w:tc>
        <w:tc>
          <w:tcPr>
            <w:tcW w:w="18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1"/>
              <w:jc w:val="center"/>
              <w:rPr>
                <w:rFonts w:eastAsia="Calibri" w:cs="Calibri"/>
                <w:sz w:val="18"/>
                <w:szCs w:val="18"/>
              </w:rPr>
            </w:pPr>
            <w:r w:rsidRPr="00ED1F31">
              <w:rPr>
                <w:sz w:val="18"/>
              </w:rPr>
              <w:t>Number/track-km</w:t>
            </w:r>
          </w:p>
        </w:tc>
        <w:tc>
          <w:tcPr>
            <w:tcW w:w="85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0.04</w:t>
            </w:r>
          </w:p>
        </w:tc>
        <w:tc>
          <w:tcPr>
            <w:tcW w:w="8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20" w:right="0"/>
              <w:jc w:val="center"/>
              <w:rPr>
                <w:rFonts w:eastAsia="Calibri" w:cs="Calibri"/>
                <w:sz w:val="18"/>
                <w:szCs w:val="18"/>
              </w:rPr>
            </w:pPr>
            <w:r w:rsidRPr="00ED1F31">
              <w:rPr>
                <w:sz w:val="18"/>
              </w:rPr>
              <w:t>0.04</w:t>
            </w:r>
          </w:p>
        </w:tc>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F159C">
            <w:pPr>
              <w:pStyle w:val="TableParagraph"/>
              <w:ind w:left="0" w:right="0"/>
              <w:jc w:val="center"/>
              <w:rPr>
                <w:rFonts w:eastAsia="Calibri" w:cs="Calibri"/>
                <w:sz w:val="18"/>
                <w:szCs w:val="18"/>
              </w:rPr>
            </w:pPr>
            <w:r w:rsidRPr="00ED1F31">
              <w:rPr>
                <w:sz w:val="18"/>
              </w:rPr>
              <w:t>0.06</w:t>
            </w:r>
          </w:p>
        </w:tc>
      </w:tr>
    </w:tbl>
    <w:p w:rsidR="00A113DC" w:rsidRPr="00ED1F31" w:rsidRDefault="00A113DC">
      <w:pPr>
        <w:spacing w:before="2"/>
        <w:rPr>
          <w:rFonts w:eastAsia="Calibri" w:cs="Calibri"/>
          <w:sz w:val="13"/>
          <w:szCs w:val="13"/>
        </w:rPr>
      </w:pPr>
    </w:p>
    <w:p w:rsidR="00A113DC" w:rsidRPr="00ED1F31" w:rsidRDefault="00F46E39" w:rsidP="00405AA9">
      <w:pPr>
        <w:pStyle w:val="Quote"/>
        <w:ind w:firstLine="85"/>
      </w:pPr>
      <w:r w:rsidRPr="00ED1F31">
        <w:t>* The signals on the Tétange – Langegrund</w:t>
      </w:r>
      <w:r w:rsidRPr="00ED1F31">
        <w:t xml:space="preserve"> line leading to a particular branch are still to be fitted.</w:t>
      </w:r>
    </w:p>
    <w:p w:rsidR="00A113DC" w:rsidRPr="00ED1F31" w:rsidRDefault="00F46E39" w:rsidP="00460B7F">
      <w:pPr>
        <w:pStyle w:val="Quote"/>
      </w:pPr>
      <w:r w:rsidRPr="00ED1F31">
        <w:t>** The main fixed signals (SFP) at the new intermodal terminals are not equipped with either ETCS or MEMOR II+. In view of their location, the main fixed signals (SFP) will be replaced by fixed b</w:t>
      </w:r>
      <w:r w:rsidRPr="00ED1F31">
        <w:t>arred track signals (SFvb) which, depending on the principles applied by the IM, do not require a train protection system.</w:t>
      </w:r>
    </w:p>
    <w:p w:rsidR="00A113DC" w:rsidRPr="00ED1F31" w:rsidRDefault="00F46E39" w:rsidP="00460B7F">
      <w:pPr>
        <w:pStyle w:val="Quote"/>
      </w:pPr>
      <w:r w:rsidRPr="00ED1F31">
        <w:t>In principle, only barred track signals for flank protection towards line tracks and signals installed on station tracks for receptio</w:t>
      </w:r>
      <w:r w:rsidRPr="00ED1F31">
        <w:t>n on occupied tracks are equipped with ETCS. The majority of fixed barred track signals installed at marshalling yards, sidings, junctions, etc. thus do not have ETCS or MEMOR II+ installed on the ground.</w:t>
      </w:r>
    </w:p>
    <w:p w:rsidR="00A113DC" w:rsidRPr="00ED1F31" w:rsidRDefault="00F46E39" w:rsidP="00460B7F">
      <w:pPr>
        <w:pStyle w:val="Quote"/>
        <w:rPr>
          <w:rFonts w:eastAsia="Calibri" w:cs="Calibri"/>
          <w:szCs w:val="18"/>
        </w:rPr>
      </w:pPr>
      <w:r w:rsidRPr="00ED1F31">
        <w:t xml:space="preserve">However, it should be noted that, for barred track </w:t>
      </w:r>
      <w:r w:rsidRPr="00ED1F31">
        <w:t>signals without ETCS/MEMOR II+, the train travelling speed is very low compared to the maximum permissible speeds on the main line, so the risk of a serious accident/incident is greatly reduced.</w:t>
      </w:r>
    </w:p>
    <w:p w:rsidR="00A113DC" w:rsidRPr="00ED1F31" w:rsidRDefault="00F46E39" w:rsidP="005729A3">
      <w:pPr>
        <w:pStyle w:val="Heading2"/>
        <w:pageBreakBefore/>
        <w:numPr>
          <w:ilvl w:val="1"/>
          <w:numId w:val="16"/>
        </w:numPr>
        <w:spacing w:before="0"/>
        <w:ind w:left="533" w:hanging="442"/>
      </w:pPr>
      <w:bookmarkStart w:id="40" w:name="C.2___Résultats_des_recommandations_en_m"/>
      <w:bookmarkStart w:id="41" w:name="_bookmark10"/>
      <w:bookmarkStart w:id="42" w:name="_Toc500406940"/>
      <w:bookmarkStart w:id="43" w:name="_Toc505328193"/>
      <w:bookmarkEnd w:id="40"/>
      <w:bookmarkEnd w:id="41"/>
      <w:r w:rsidRPr="00ED1F31">
        <w:t>Results of safety recommendations</w:t>
      </w:r>
      <w:bookmarkEnd w:id="42"/>
      <w:bookmarkEnd w:id="43"/>
    </w:p>
    <w:p w:rsidR="00A113DC" w:rsidRPr="00ED1F31" w:rsidRDefault="00F46E39" w:rsidP="00460B7F">
      <w:pPr>
        <w:pStyle w:val="BodyText"/>
        <w:rPr>
          <w:b/>
          <w:u w:val="single"/>
        </w:rPr>
      </w:pPr>
      <w:r w:rsidRPr="00ED1F31">
        <w:rPr>
          <w:b/>
          <w:u w:val="single"/>
        </w:rPr>
        <w:t xml:space="preserve">Zoufftgen rail accident in </w:t>
      </w:r>
      <w:r w:rsidRPr="00ED1F31">
        <w:rPr>
          <w:b/>
          <w:u w:val="single"/>
        </w:rPr>
        <w:t>2006</w:t>
      </w:r>
    </w:p>
    <w:p w:rsidR="00A113DC" w:rsidRPr="00ED1F31" w:rsidRDefault="00F46E39" w:rsidP="00460B7F">
      <w:pPr>
        <w:pStyle w:val="BodyText"/>
      </w:pPr>
      <w:r w:rsidRPr="00ED1F31">
        <w:t>The Technical Investigation Administration was created by the Law of 30 April 2008. Together with the Land Transport Accidents Technical Investigations Bureau (BEA-TT France), it published its very first safety recommendations in 2009 as part of the t</w:t>
      </w:r>
      <w:r w:rsidRPr="00ED1F31">
        <w:t>echnical report on the railway accident in Zoufftgen in 2006, which resulted in the death of six people.</w:t>
      </w:r>
    </w:p>
    <w:p w:rsidR="00A113DC" w:rsidRPr="00ED1F31" w:rsidRDefault="00F46E39" w:rsidP="00460B7F">
      <w:pPr>
        <w:pStyle w:val="BodyText"/>
      </w:pPr>
      <w:r w:rsidRPr="00ED1F31">
        <w:t>As a result of that accident, 21 recommendations were made, of which:</w:t>
      </w:r>
    </w:p>
    <w:p w:rsidR="00A113DC" w:rsidRPr="00ED1F31" w:rsidRDefault="00F46E39" w:rsidP="00976521">
      <w:pPr>
        <w:pStyle w:val="ListParagraph"/>
        <w:numPr>
          <w:ilvl w:val="2"/>
          <w:numId w:val="28"/>
        </w:numPr>
      </w:pPr>
      <w:r w:rsidRPr="00ED1F31">
        <w:t>14 have been implemented;</w:t>
      </w:r>
    </w:p>
    <w:p w:rsidR="00A113DC" w:rsidRPr="00ED1F31" w:rsidRDefault="00F46E39" w:rsidP="00976521">
      <w:pPr>
        <w:pStyle w:val="ListParagraph"/>
        <w:numPr>
          <w:ilvl w:val="2"/>
          <w:numId w:val="28"/>
        </w:numPr>
      </w:pPr>
      <w:r w:rsidRPr="00ED1F31">
        <w:t>one is still being studied (recommendation R8);</w:t>
      </w:r>
    </w:p>
    <w:p w:rsidR="00A113DC" w:rsidRPr="00ED1F31" w:rsidRDefault="00F46E39" w:rsidP="00976521">
      <w:pPr>
        <w:pStyle w:val="ListParagraph"/>
        <w:numPr>
          <w:ilvl w:val="2"/>
          <w:numId w:val="28"/>
        </w:numPr>
      </w:pPr>
      <w:r w:rsidRPr="00ED1F31">
        <w:t xml:space="preserve">five </w:t>
      </w:r>
      <w:r w:rsidRPr="00ED1F31">
        <w:t>were rejected;</w:t>
      </w:r>
    </w:p>
    <w:p w:rsidR="00A113DC" w:rsidRPr="00ED1F31" w:rsidRDefault="00F46E39" w:rsidP="00976521">
      <w:pPr>
        <w:pStyle w:val="ListParagraph"/>
        <w:numPr>
          <w:ilvl w:val="2"/>
          <w:numId w:val="28"/>
        </w:numPr>
        <w:rPr>
          <w:rFonts w:eastAsia="Calibri" w:cs="Calibri"/>
          <w:szCs w:val="24"/>
        </w:rPr>
      </w:pPr>
      <w:r w:rsidRPr="00ED1F31">
        <w:t>one does not concern Luxembourg railway operators.</w:t>
      </w:r>
    </w:p>
    <w:p w:rsidR="00A113DC" w:rsidRPr="00ED1F31" w:rsidRDefault="00F46E39" w:rsidP="004701B0">
      <w:pPr>
        <w:pStyle w:val="BodyText"/>
      </w:pPr>
      <w:r w:rsidRPr="00ED1F31">
        <w:t>All of these recommendations were included in the report for 2009.</w:t>
      </w:r>
    </w:p>
    <w:p w:rsidR="00A113DC" w:rsidRPr="00ED1F31" w:rsidRDefault="00F46E39" w:rsidP="004701B0">
      <w:pPr>
        <w:pStyle w:val="BodyText"/>
      </w:pPr>
      <w:r w:rsidRPr="00ED1F31">
        <w:t>The IM sent us the following information on the implementation of recommendation R8:</w:t>
      </w:r>
    </w:p>
    <w:p w:rsidR="00A113DC" w:rsidRPr="00ED1F31" w:rsidRDefault="00F46E39" w:rsidP="004701B0">
      <w:pPr>
        <w:pStyle w:val="BodyText"/>
      </w:pPr>
      <w:r w:rsidRPr="00ED1F31">
        <w:t>Recommendation R8 (CFL, SNCF, RFF): ex</w:t>
      </w:r>
      <w:r w:rsidRPr="00ED1F31">
        <w:t>amine the feasibility of extending the SNCF Automatic Train Describer System [Système d’Annonce Automatique des Trains (SAAT)] to Bettembourg, displaying the first train described on the Optical Control Panel [Tableau de Contrôle Optique].</w:t>
      </w:r>
    </w:p>
    <w:p w:rsidR="00A113DC" w:rsidRPr="00ED1F31" w:rsidRDefault="00F46E39" w:rsidP="004701B0">
      <w:pPr>
        <w:pStyle w:val="BodyText"/>
      </w:pPr>
      <w:r w:rsidRPr="00ED1F31">
        <w:t xml:space="preserve">Automatic train </w:t>
      </w:r>
      <w:r w:rsidRPr="00ED1F31">
        <w:t>describer systems such as CFL’s ZNL 800 or SNCF’s SAAT are simply operating aids and never play a role in rail traffic safety. They can therefore contribute only indirectly to improving safety.</w:t>
      </w:r>
    </w:p>
    <w:p w:rsidR="00A113DC" w:rsidRPr="00ED1F31" w:rsidRDefault="00F46E39" w:rsidP="004701B0">
      <w:pPr>
        <w:pStyle w:val="BodyText"/>
      </w:pPr>
      <w:r w:rsidRPr="00ED1F31">
        <w:t>The CFL and the SNCF have decided to develop an interconnectio</w:t>
      </w:r>
      <w:r w:rsidRPr="00ED1F31">
        <w:t>n interface between the ZNL 800 and SAAT systems. This interface is currently being tested between Longwy (SNCF) and Rodange (CFL).</w:t>
      </w:r>
    </w:p>
    <w:p w:rsidR="00A113DC" w:rsidRPr="00ED1F31" w:rsidRDefault="00F46E39" w:rsidP="004701B0">
      <w:pPr>
        <w:pStyle w:val="BodyText"/>
      </w:pPr>
      <w:r w:rsidRPr="00ED1F31">
        <w:t>The entry into service of the interconnection installation for the CFL ZNL 800 and SNCF SAAT systems between Bettembourg and</w:t>
      </w:r>
      <w:r w:rsidRPr="00ED1F31">
        <w:t xml:space="preserve"> Thionville is suspended for the moment. For the SAAT installation to be commissioned, the new ZX 2000 installation at Bettembourg station must be operational. It was installed in December 2015. The studies for the creation of the interconnection between t</w:t>
      </w:r>
      <w:r w:rsidRPr="00ED1F31">
        <w:t>he ZN 2000 and SNCF SAAT systems could start in the second quarter of 2017, if the necessary resources are available.</w:t>
      </w:r>
    </w:p>
    <w:p w:rsidR="00A113DC" w:rsidRPr="00ED1F31" w:rsidRDefault="00F46E39" w:rsidP="00460B7F">
      <w:pPr>
        <w:pStyle w:val="BodyText"/>
        <w:pageBreakBefore/>
        <w:rPr>
          <w:b/>
        </w:rPr>
      </w:pPr>
      <w:r w:rsidRPr="00ED1F31">
        <w:rPr>
          <w:b/>
        </w:rPr>
        <w:t>Occupational accident in Differdange in 2009</w:t>
      </w:r>
    </w:p>
    <w:p w:rsidR="00A113DC" w:rsidRPr="00ED1F31" w:rsidRDefault="00F46E39" w:rsidP="00460B7F">
      <w:pPr>
        <w:pStyle w:val="BodyText"/>
      </w:pPr>
      <w:r w:rsidRPr="00ED1F31">
        <w:t xml:space="preserve">In 2012, the AET made three recommendations in its final report on the occupational accident </w:t>
      </w:r>
      <w:r w:rsidRPr="00ED1F31">
        <w:t>on 3 February 2009 on the former industrial network, which is now part of the National Railway Network. Only one is still pending (extracts from AET technical report):</w:t>
      </w:r>
    </w:p>
    <w:p w:rsidR="00A113DC" w:rsidRPr="00ED1F31" w:rsidRDefault="00F46E39" w:rsidP="00460B7F">
      <w:pPr>
        <w:pStyle w:val="BodyText"/>
      </w:pPr>
      <w:r w:rsidRPr="00ED1F31">
        <w:t>R3: ensure that if the remote control box is tilted steeply, the interval before activat</w:t>
      </w:r>
      <w:r w:rsidRPr="00ED1F31">
        <w:t>ion of rapid braking must be set so that emergency braking is applied as quickly as possible after the box is tilted.</w:t>
      </w:r>
    </w:p>
    <w:p w:rsidR="00A113DC" w:rsidRPr="00ED1F31" w:rsidRDefault="00F46E39" w:rsidP="00460B7F">
      <w:pPr>
        <w:pStyle w:val="BodyText"/>
      </w:pPr>
      <w:r w:rsidRPr="00ED1F31">
        <w:t>Only one RU on the national rail network uses remote control. On the type of remote control used in this accident, the delay before activa</w:t>
      </w:r>
      <w:r w:rsidRPr="00ED1F31">
        <w:t>tion of the emergency braking can be set at between three and five seconds (values given by the manufacturer and not modifiable by the user). This prevents the braking being triggered when the shunting driver has to bend down to enter or leave the Berne re</w:t>
      </w:r>
      <w:r w:rsidRPr="00ED1F31">
        <w:t>ctangle between two vehicles. The RU in question decided to set the delay to four seconds, which:</w:t>
      </w:r>
    </w:p>
    <w:p w:rsidR="00A113DC" w:rsidRPr="00ED1F31" w:rsidRDefault="00F46E39" w:rsidP="00976521">
      <w:pPr>
        <w:pStyle w:val="ListParagraph"/>
        <w:numPr>
          <w:ilvl w:val="2"/>
          <w:numId w:val="29"/>
        </w:numPr>
      </w:pPr>
      <w:r w:rsidRPr="00ED1F31">
        <w:t>firstly ensures that emergency braking is initiated within a safe period of time; and</w:t>
      </w:r>
    </w:p>
    <w:p w:rsidR="00A113DC" w:rsidRPr="00ED1F31" w:rsidRDefault="00F46E39" w:rsidP="00976521">
      <w:pPr>
        <w:pStyle w:val="ListParagraph"/>
        <w:numPr>
          <w:ilvl w:val="2"/>
          <w:numId w:val="29"/>
        </w:numPr>
      </w:pPr>
      <w:r w:rsidRPr="00ED1F31">
        <w:t>secondly avoids emergency braking being initiated inappropriately becaus</w:t>
      </w:r>
      <w:r w:rsidRPr="00ED1F31">
        <w:t>e the time period is too short for coupling operations, as that would expose the staff to other safety hazards.</w:t>
      </w:r>
    </w:p>
    <w:p w:rsidR="00A113DC" w:rsidRPr="00ED1F31" w:rsidRDefault="00F46E39" w:rsidP="00460B7F">
      <w:pPr>
        <w:pStyle w:val="BodyText"/>
      </w:pPr>
      <w:r w:rsidRPr="00ED1F31">
        <w:t>Concerning the other types of remote controls used on the national railway network, the RU in question has just informed us that harmonisation t</w:t>
      </w:r>
      <w:r w:rsidRPr="00ED1F31">
        <w:t xml:space="preserve">o four seconds has proved difficult as most of the equipment is leased. So a limit of no more than five seconds has been chosen. In view of the arguments presented by the RU, the ACF concludes that, from the point of view of recommendations, this accident </w:t>
      </w:r>
      <w:r w:rsidRPr="00ED1F31">
        <w:t>can be considered closed.</w:t>
      </w:r>
    </w:p>
    <w:p w:rsidR="00A113DC" w:rsidRPr="00ED1F31" w:rsidRDefault="00A113DC">
      <w:pPr>
        <w:spacing w:line="276" w:lineRule="auto"/>
        <w:jc w:val="both"/>
        <w:sectPr w:rsidR="00A113DC" w:rsidRPr="00ED1F31" w:rsidSect="00205240">
          <w:pgSz w:w="11910" w:h="16840"/>
          <w:pgMar w:top="1397" w:right="1325" w:bottom="734" w:left="1339" w:header="0" w:footer="546" w:gutter="0"/>
          <w:cols w:space="720"/>
        </w:sectPr>
      </w:pPr>
    </w:p>
    <w:p w:rsidR="00A113DC" w:rsidRPr="00ED1F31" w:rsidRDefault="00F46E39" w:rsidP="005729A3">
      <w:pPr>
        <w:pStyle w:val="Heading2"/>
        <w:numPr>
          <w:ilvl w:val="1"/>
          <w:numId w:val="16"/>
        </w:numPr>
        <w:spacing w:before="0"/>
      </w:pPr>
      <w:bookmarkStart w:id="44" w:name="C.3___Mesures_mises_en_œuvre_sans_relati"/>
      <w:bookmarkStart w:id="45" w:name="_bookmark11"/>
      <w:bookmarkStart w:id="46" w:name="_Toc500406941"/>
      <w:bookmarkStart w:id="47" w:name="_Toc505328194"/>
      <w:bookmarkEnd w:id="44"/>
      <w:bookmarkEnd w:id="45"/>
      <w:r w:rsidRPr="00ED1F31">
        <w:t>Implemented measures unrelated to the safety recommendations</w:t>
      </w:r>
      <w:bookmarkEnd w:id="46"/>
      <w:bookmarkEnd w:id="47"/>
    </w:p>
    <w:p w:rsidR="00A113DC" w:rsidRPr="00ED1F31" w:rsidRDefault="00F46E39" w:rsidP="00460B7F">
      <w:pPr>
        <w:ind w:left="98"/>
        <w:rPr>
          <w:rFonts w:ascii="Arial" w:hAnsi="Arial" w:cs="Arial"/>
          <w:b/>
          <w:sz w:val="22"/>
        </w:rPr>
      </w:pPr>
      <w:r w:rsidRPr="00ED1F31">
        <w:rPr>
          <w:rFonts w:ascii="Arial" w:hAnsi="Arial"/>
          <w:b/>
          <w:sz w:val="22"/>
        </w:rPr>
        <w:t>Safety measures taken following accidents/precursors to accidents</w:t>
      </w:r>
    </w:p>
    <w:p w:rsidR="00A113DC" w:rsidRPr="00ED1F31" w:rsidRDefault="00A113DC">
      <w:pPr>
        <w:spacing w:before="2"/>
        <w:rPr>
          <w:rFonts w:ascii="Arial" w:eastAsia="Arial" w:hAnsi="Arial" w:cs="Arial"/>
          <w:b/>
          <w:bCs/>
          <w:sz w:val="21"/>
          <w:szCs w:val="21"/>
        </w:rPr>
      </w:pPr>
    </w:p>
    <w:tbl>
      <w:tblPr>
        <w:tblW w:w="0" w:type="auto"/>
        <w:tblInd w:w="115" w:type="dxa"/>
        <w:tblLayout w:type="fixed"/>
        <w:tblCellMar>
          <w:left w:w="0" w:type="dxa"/>
          <w:right w:w="0" w:type="dxa"/>
        </w:tblCellMar>
        <w:tblLook w:val="01E0" w:firstRow="1" w:lastRow="1" w:firstColumn="1" w:lastColumn="1" w:noHBand="0" w:noVBand="0"/>
      </w:tblPr>
      <w:tblGrid>
        <w:gridCol w:w="852"/>
        <w:gridCol w:w="1558"/>
        <w:gridCol w:w="2834"/>
        <w:gridCol w:w="4680"/>
      </w:tblGrid>
      <w:tr w:rsidR="00BD7B71" w:rsidTr="00405AA9">
        <w:trPr>
          <w:trHeight w:hRule="exact" w:val="802"/>
        </w:trPr>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283" w:right="1279" w:firstLine="31"/>
              <w:rPr>
                <w:rFonts w:ascii="Arial" w:eastAsia="Arial" w:hAnsi="Arial" w:cs="Arial"/>
                <w:sz w:val="23"/>
                <w:szCs w:val="23"/>
              </w:rPr>
            </w:pPr>
            <w:r w:rsidRPr="00ED1F31">
              <w:rPr>
                <w:rFonts w:ascii="Arial" w:hAnsi="Arial"/>
                <w:b/>
                <w:sz w:val="23"/>
                <w:szCs w:val="23"/>
              </w:rPr>
              <w:t>Accidents/precursors prompting measures to be taken</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791"/>
              <w:rPr>
                <w:rFonts w:ascii="Arial" w:eastAsia="Arial" w:hAnsi="Arial" w:cs="Arial"/>
                <w:sz w:val="23"/>
                <w:szCs w:val="23"/>
              </w:rPr>
            </w:pPr>
            <w:r w:rsidRPr="00ED1F31">
              <w:rPr>
                <w:rFonts w:ascii="Arial" w:hAnsi="Arial"/>
                <w:b/>
                <w:sz w:val="23"/>
                <w:szCs w:val="23"/>
              </w:rPr>
              <w:t>Safety measures taken</w:t>
            </w:r>
          </w:p>
        </w:tc>
      </w:tr>
      <w:tr w:rsidR="00BD7B71" w:rsidTr="00E13DD9">
        <w:trPr>
          <w:trHeight w:hRule="exact" w:val="731"/>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B3974">
            <w:pPr>
              <w:pStyle w:val="TableParagraph"/>
              <w:spacing w:before="65"/>
              <w:ind w:left="0" w:right="0"/>
              <w:jc w:val="center"/>
              <w:rPr>
                <w:rFonts w:ascii="Arial" w:eastAsia="Arial" w:hAnsi="Arial" w:cs="Arial"/>
                <w:sz w:val="23"/>
                <w:szCs w:val="23"/>
              </w:rPr>
            </w:pPr>
            <w:r w:rsidRPr="00ED1F31">
              <w:rPr>
                <w:rFonts w:ascii="Arial" w:hAnsi="Arial"/>
                <w:b/>
                <w:sz w:val="23"/>
                <w:szCs w:val="23"/>
              </w:rPr>
              <w:t>Date</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spacing w:before="65"/>
              <w:ind w:left="2"/>
              <w:jc w:val="center"/>
              <w:rPr>
                <w:rFonts w:ascii="Arial" w:eastAsia="Arial" w:hAnsi="Arial" w:cs="Arial"/>
                <w:sz w:val="23"/>
                <w:szCs w:val="23"/>
              </w:rPr>
            </w:pPr>
            <w:r w:rsidRPr="00ED1F31">
              <w:rPr>
                <w:rFonts w:ascii="Arial" w:hAnsi="Arial"/>
                <w:b/>
                <w:sz w:val="23"/>
                <w:szCs w:val="23"/>
              </w:rPr>
              <w:t>Place</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spacing w:before="125"/>
              <w:ind w:left="316"/>
              <w:rPr>
                <w:rFonts w:ascii="Arial" w:eastAsia="Arial" w:hAnsi="Arial" w:cs="Arial"/>
                <w:sz w:val="23"/>
                <w:szCs w:val="23"/>
              </w:rPr>
            </w:pPr>
            <w:r w:rsidRPr="00ED1F31">
              <w:rPr>
                <w:rFonts w:ascii="Arial" w:hAnsi="Arial"/>
                <w:b/>
                <w:color w:val="E36C0A"/>
                <w:sz w:val="23"/>
                <w:szCs w:val="23"/>
              </w:rPr>
              <w:t>Miscellaneous events</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pPr>
              <w:rPr>
                <w:rFonts w:ascii="Arial" w:hAnsi="Arial" w:cs="Arial"/>
                <w:sz w:val="23"/>
                <w:szCs w:val="23"/>
              </w:rPr>
            </w:pPr>
          </w:p>
        </w:tc>
      </w:tr>
      <w:tr w:rsidR="00BD7B71" w:rsidTr="00405AA9">
        <w:trPr>
          <w:trHeight w:hRule="exact" w:val="938"/>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0" w:right="0"/>
              <w:jc w:val="center"/>
              <w:rPr>
                <w:rFonts w:ascii="Arial" w:eastAsia="Arial" w:hAnsi="Arial" w:cs="Arial"/>
                <w:sz w:val="20"/>
                <w:szCs w:val="20"/>
              </w:rPr>
            </w:pPr>
            <w:r w:rsidRPr="00ED1F31">
              <w:rPr>
                <w:rFonts w:ascii="Arial" w:hAnsi="Arial"/>
                <w:sz w:val="20"/>
              </w:rPr>
              <w:t>10/01</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ight="297"/>
              <w:rPr>
                <w:rFonts w:ascii="Arial" w:eastAsia="Arial" w:hAnsi="Arial" w:cs="Arial"/>
                <w:sz w:val="20"/>
                <w:szCs w:val="20"/>
              </w:rPr>
            </w:pPr>
            <w:r w:rsidRPr="00ED1F31">
              <w:rPr>
                <w:rFonts w:ascii="Arial" w:hAnsi="Arial"/>
                <w:sz w:val="20"/>
              </w:rPr>
              <w:t>Bettembourg station</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ight="395"/>
              <w:rPr>
                <w:rFonts w:ascii="Arial" w:eastAsia="Arial" w:hAnsi="Arial" w:cs="Arial"/>
                <w:sz w:val="20"/>
                <w:szCs w:val="20"/>
              </w:rPr>
            </w:pPr>
            <w:r w:rsidRPr="00ED1F31">
              <w:rPr>
                <w:rFonts w:ascii="Arial" w:hAnsi="Arial"/>
                <w:sz w:val="20"/>
              </w:rPr>
              <w:t>Train path endangered by a secondary vehicle (SV)</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numPr>
                <w:ilvl w:val="0"/>
                <w:numId w:val="12"/>
              </w:numPr>
              <w:tabs>
                <w:tab w:val="left" w:pos="279"/>
              </w:tabs>
              <w:spacing w:before="117" w:line="239" w:lineRule="exact"/>
              <w:ind w:right="43"/>
              <w:rPr>
                <w:rFonts w:ascii="Arial" w:eastAsia="Arial" w:hAnsi="Arial" w:cs="Arial"/>
                <w:sz w:val="20"/>
                <w:szCs w:val="20"/>
              </w:rPr>
            </w:pPr>
            <w:r w:rsidRPr="00ED1F31">
              <w:rPr>
                <w:rFonts w:ascii="Arial" w:hAnsi="Arial"/>
                <w:sz w:val="20"/>
              </w:rPr>
              <w:t>Detailed investigation by IM</w:t>
            </w:r>
          </w:p>
          <w:p w:rsidR="00A113DC" w:rsidRPr="00ED1F31" w:rsidRDefault="00F46E39" w:rsidP="00405AA9">
            <w:pPr>
              <w:pStyle w:val="TableParagraph"/>
              <w:numPr>
                <w:ilvl w:val="0"/>
                <w:numId w:val="12"/>
              </w:numPr>
              <w:tabs>
                <w:tab w:val="left" w:pos="279"/>
              </w:tabs>
              <w:spacing w:before="2" w:line="228" w:lineRule="exact"/>
              <w:ind w:right="43"/>
              <w:rPr>
                <w:rFonts w:ascii="Arial" w:eastAsia="Arial" w:hAnsi="Arial" w:cs="Arial"/>
                <w:sz w:val="20"/>
                <w:szCs w:val="20"/>
              </w:rPr>
            </w:pPr>
            <w:r w:rsidRPr="00ED1F31">
              <w:rPr>
                <w:rFonts w:ascii="Arial" w:hAnsi="Arial"/>
                <w:sz w:val="20"/>
              </w:rPr>
              <w:t>New, more explicit regulations on measures to be taken in the case of a SV</w:t>
            </w:r>
          </w:p>
        </w:tc>
      </w:tr>
      <w:tr w:rsidR="00BD7B71" w:rsidTr="00405AA9">
        <w:trPr>
          <w:trHeight w:hRule="exact" w:val="826"/>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0" w:right="0"/>
              <w:jc w:val="center"/>
              <w:rPr>
                <w:rFonts w:ascii="Arial" w:eastAsia="Arial" w:hAnsi="Arial" w:cs="Arial"/>
                <w:sz w:val="20"/>
                <w:szCs w:val="20"/>
              </w:rPr>
            </w:pPr>
            <w:r w:rsidRPr="00ED1F31">
              <w:rPr>
                <w:rFonts w:ascii="Arial" w:hAnsi="Arial"/>
                <w:sz w:val="20"/>
              </w:rPr>
              <w:t>17/02</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ight="331"/>
              <w:rPr>
                <w:rFonts w:ascii="Arial" w:eastAsia="Arial" w:hAnsi="Arial" w:cs="Arial"/>
                <w:sz w:val="20"/>
                <w:szCs w:val="20"/>
              </w:rPr>
            </w:pPr>
            <w:r w:rsidRPr="00ED1F31">
              <w:rPr>
                <w:rFonts w:ascii="Arial" w:hAnsi="Arial"/>
                <w:sz w:val="20"/>
              </w:rPr>
              <w:t>Luxembourg station</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spacing w:before="120"/>
              <w:ind w:left="103" w:right="352"/>
              <w:rPr>
                <w:rFonts w:ascii="Arial" w:eastAsia="Arial" w:hAnsi="Arial" w:cs="Arial"/>
                <w:sz w:val="20"/>
                <w:szCs w:val="20"/>
              </w:rPr>
            </w:pPr>
            <w:r w:rsidRPr="00ED1F31">
              <w:rPr>
                <w:rFonts w:ascii="Arial" w:hAnsi="Arial"/>
                <w:sz w:val="20"/>
              </w:rPr>
              <w:t>SFHM* passed by an SV</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numPr>
                <w:ilvl w:val="0"/>
                <w:numId w:val="11"/>
              </w:numPr>
              <w:tabs>
                <w:tab w:val="left" w:pos="279"/>
              </w:tabs>
              <w:spacing w:before="62" w:line="239" w:lineRule="exact"/>
              <w:ind w:right="43" w:hanging="175"/>
              <w:rPr>
                <w:rFonts w:ascii="Arial" w:eastAsia="Arial" w:hAnsi="Arial" w:cs="Arial"/>
                <w:sz w:val="20"/>
                <w:szCs w:val="20"/>
              </w:rPr>
            </w:pPr>
            <w:r w:rsidRPr="00ED1F31">
              <w:rPr>
                <w:rFonts w:ascii="Arial" w:hAnsi="Arial"/>
                <w:sz w:val="20"/>
              </w:rPr>
              <w:t>Detailed investigation by IM</w:t>
            </w:r>
          </w:p>
          <w:p w:rsidR="00A113DC" w:rsidRPr="00ED1F31" w:rsidRDefault="00F46E39" w:rsidP="00405AA9">
            <w:pPr>
              <w:pStyle w:val="TableParagraph"/>
              <w:numPr>
                <w:ilvl w:val="0"/>
                <w:numId w:val="11"/>
              </w:numPr>
              <w:tabs>
                <w:tab w:val="left" w:pos="279"/>
              </w:tabs>
              <w:spacing w:before="2" w:line="228" w:lineRule="exact"/>
              <w:ind w:right="43" w:hanging="175"/>
              <w:rPr>
                <w:rFonts w:ascii="Arial" w:eastAsia="Arial" w:hAnsi="Arial" w:cs="Arial"/>
                <w:sz w:val="20"/>
                <w:szCs w:val="20"/>
              </w:rPr>
            </w:pPr>
            <w:r w:rsidRPr="00ED1F31">
              <w:rPr>
                <w:rFonts w:ascii="Arial" w:hAnsi="Arial"/>
                <w:sz w:val="20"/>
              </w:rPr>
              <w:t>New, more explicit regulations on measures to be taken in the case of a SV</w:t>
            </w:r>
          </w:p>
        </w:tc>
      </w:tr>
      <w:tr w:rsidR="00BD7B71" w:rsidTr="00405AA9">
        <w:trPr>
          <w:trHeight w:hRule="exact" w:val="71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0" w:right="0"/>
              <w:jc w:val="center"/>
              <w:rPr>
                <w:rFonts w:ascii="Arial" w:eastAsia="Arial" w:hAnsi="Arial" w:cs="Arial"/>
                <w:sz w:val="20"/>
                <w:szCs w:val="20"/>
              </w:rPr>
            </w:pPr>
            <w:r w:rsidRPr="00ED1F31">
              <w:rPr>
                <w:rFonts w:ascii="Arial" w:hAnsi="Arial"/>
                <w:sz w:val="20"/>
              </w:rPr>
              <w:t>07/04</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ight="331"/>
              <w:rPr>
                <w:rFonts w:ascii="Arial" w:eastAsia="Arial" w:hAnsi="Arial" w:cs="Arial"/>
                <w:sz w:val="20"/>
                <w:szCs w:val="20"/>
              </w:rPr>
            </w:pPr>
            <w:r w:rsidRPr="00ED1F31">
              <w:rPr>
                <w:rFonts w:ascii="Arial" w:hAnsi="Arial"/>
                <w:sz w:val="20"/>
              </w:rPr>
              <w:t>Luxembourg station</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ight="240"/>
              <w:rPr>
                <w:rFonts w:ascii="Arial" w:eastAsia="Arial" w:hAnsi="Arial" w:cs="Arial"/>
                <w:sz w:val="20"/>
                <w:szCs w:val="20"/>
              </w:rPr>
            </w:pPr>
            <w:r w:rsidRPr="00ED1F31">
              <w:rPr>
                <w:rFonts w:ascii="Arial" w:hAnsi="Arial"/>
                <w:sz w:val="20"/>
              </w:rPr>
              <w:t>Train diverted to line 7 (instead of line 6)</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numPr>
                <w:ilvl w:val="0"/>
                <w:numId w:val="15"/>
              </w:numPr>
              <w:spacing w:before="127" w:line="228" w:lineRule="exact"/>
              <w:ind w:left="272" w:right="43" w:hanging="171"/>
              <w:rPr>
                <w:rFonts w:ascii="Arial" w:eastAsia="Arial" w:hAnsi="Arial" w:cs="Arial"/>
                <w:sz w:val="20"/>
                <w:szCs w:val="20"/>
              </w:rPr>
            </w:pPr>
            <w:r w:rsidRPr="00ED1F31">
              <w:rPr>
                <w:rFonts w:ascii="Arial" w:hAnsi="Arial"/>
                <w:sz w:val="20"/>
              </w:rPr>
              <w:t>Return of train and new departure towards line 6</w:t>
            </w:r>
          </w:p>
        </w:tc>
      </w:tr>
      <w:tr w:rsidR="00BD7B71" w:rsidTr="00405AA9">
        <w:trPr>
          <w:trHeight w:hRule="exact" w:val="1757"/>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0" w:right="0"/>
              <w:jc w:val="center"/>
              <w:rPr>
                <w:rFonts w:ascii="Arial" w:eastAsia="Arial" w:hAnsi="Arial" w:cs="Arial"/>
                <w:sz w:val="20"/>
                <w:szCs w:val="20"/>
              </w:rPr>
            </w:pPr>
            <w:r w:rsidRPr="00ED1F31">
              <w:rPr>
                <w:rFonts w:ascii="Arial" w:hAnsi="Arial"/>
                <w:sz w:val="20"/>
              </w:rPr>
              <w:t>04/05</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Pr>
                <w:rFonts w:ascii="Arial" w:eastAsia="Arial" w:hAnsi="Arial" w:cs="Arial"/>
                <w:sz w:val="20"/>
                <w:szCs w:val="20"/>
              </w:rPr>
            </w:pPr>
            <w:r w:rsidRPr="00ED1F31">
              <w:rPr>
                <w:rFonts w:ascii="Arial" w:hAnsi="Arial"/>
                <w:sz w:val="20"/>
              </w:rPr>
              <w:t>Manternach</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ight="420"/>
              <w:rPr>
                <w:rFonts w:ascii="Arial" w:eastAsia="Arial" w:hAnsi="Arial" w:cs="Arial"/>
                <w:sz w:val="20"/>
                <w:szCs w:val="20"/>
              </w:rPr>
            </w:pPr>
            <w:r w:rsidRPr="00ED1F31">
              <w:rPr>
                <w:rFonts w:ascii="Arial" w:hAnsi="Arial"/>
                <w:sz w:val="20"/>
              </w:rPr>
              <w:t xml:space="preserve">Collision </w:t>
            </w:r>
            <w:r w:rsidRPr="00ED1F31">
              <w:rPr>
                <w:rFonts w:ascii="Arial" w:hAnsi="Arial"/>
                <w:sz w:val="20"/>
              </w:rPr>
              <w:t>with a vehicle on a level crossing</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numPr>
                <w:ilvl w:val="0"/>
                <w:numId w:val="10"/>
              </w:numPr>
              <w:tabs>
                <w:tab w:val="left" w:pos="279"/>
              </w:tabs>
              <w:spacing w:before="59" w:line="239" w:lineRule="exact"/>
              <w:ind w:right="43" w:hanging="174"/>
              <w:rPr>
                <w:rFonts w:ascii="Arial" w:eastAsia="Arial" w:hAnsi="Arial" w:cs="Arial"/>
                <w:sz w:val="20"/>
                <w:szCs w:val="20"/>
              </w:rPr>
            </w:pPr>
            <w:r w:rsidRPr="00ED1F31">
              <w:rPr>
                <w:rFonts w:ascii="Arial" w:hAnsi="Arial"/>
                <w:sz w:val="20"/>
              </w:rPr>
              <w:t>Tracks barred</w:t>
            </w:r>
          </w:p>
          <w:p w:rsidR="00A113DC" w:rsidRPr="00ED1F31" w:rsidRDefault="00F46E39" w:rsidP="00405AA9">
            <w:pPr>
              <w:pStyle w:val="TableParagraph"/>
              <w:numPr>
                <w:ilvl w:val="0"/>
                <w:numId w:val="10"/>
              </w:numPr>
              <w:tabs>
                <w:tab w:val="left" w:pos="279"/>
              </w:tabs>
              <w:spacing w:line="233" w:lineRule="exact"/>
              <w:ind w:left="278" w:right="43"/>
              <w:rPr>
                <w:rFonts w:ascii="Arial" w:eastAsia="Arial" w:hAnsi="Arial" w:cs="Arial"/>
                <w:sz w:val="20"/>
                <w:szCs w:val="20"/>
              </w:rPr>
            </w:pPr>
            <w:r w:rsidRPr="00ED1F31">
              <w:rPr>
                <w:rFonts w:ascii="Arial" w:hAnsi="Arial"/>
                <w:sz w:val="20"/>
              </w:rPr>
              <w:t>Emergency shutdown of catenary power</w:t>
            </w:r>
          </w:p>
          <w:p w:rsidR="00A113DC" w:rsidRPr="00ED1F31" w:rsidRDefault="00F46E39" w:rsidP="00405AA9">
            <w:pPr>
              <w:pStyle w:val="TableParagraph"/>
              <w:numPr>
                <w:ilvl w:val="0"/>
                <w:numId w:val="10"/>
              </w:numPr>
              <w:tabs>
                <w:tab w:val="left" w:pos="279"/>
              </w:tabs>
              <w:spacing w:line="233" w:lineRule="exact"/>
              <w:ind w:left="278" w:right="43"/>
              <w:rPr>
                <w:rFonts w:ascii="Arial" w:eastAsia="Arial" w:hAnsi="Arial" w:cs="Arial"/>
                <w:sz w:val="20"/>
                <w:szCs w:val="20"/>
              </w:rPr>
            </w:pPr>
            <w:r w:rsidRPr="00ED1F31">
              <w:rPr>
                <w:rFonts w:ascii="Arial" w:hAnsi="Arial"/>
                <w:sz w:val="20"/>
              </w:rPr>
              <w:t>Clearance of tracks</w:t>
            </w:r>
          </w:p>
          <w:p w:rsidR="00A113DC" w:rsidRPr="00ED1F31" w:rsidRDefault="00F46E39" w:rsidP="00405AA9">
            <w:pPr>
              <w:pStyle w:val="TableParagraph"/>
              <w:numPr>
                <w:ilvl w:val="0"/>
                <w:numId w:val="10"/>
              </w:numPr>
              <w:tabs>
                <w:tab w:val="left" w:pos="278"/>
              </w:tabs>
              <w:spacing w:line="233" w:lineRule="exact"/>
              <w:ind w:right="43" w:hanging="175"/>
              <w:rPr>
                <w:rFonts w:ascii="Arial" w:eastAsia="Arial" w:hAnsi="Arial" w:cs="Arial"/>
                <w:sz w:val="20"/>
                <w:szCs w:val="20"/>
              </w:rPr>
            </w:pPr>
            <w:r w:rsidRPr="00ED1F31">
              <w:rPr>
                <w:rFonts w:ascii="Arial" w:hAnsi="Arial"/>
                <w:sz w:val="20"/>
              </w:rPr>
              <w:t>Repair of infrastructure</w:t>
            </w:r>
          </w:p>
          <w:p w:rsidR="00A113DC" w:rsidRPr="00ED1F31" w:rsidRDefault="00F46E39" w:rsidP="00405AA9">
            <w:pPr>
              <w:pStyle w:val="TableParagraph"/>
              <w:numPr>
                <w:ilvl w:val="0"/>
                <w:numId w:val="10"/>
              </w:numPr>
              <w:tabs>
                <w:tab w:val="left" w:pos="278"/>
              </w:tabs>
              <w:spacing w:line="233" w:lineRule="exact"/>
              <w:ind w:right="43" w:hanging="175"/>
              <w:rPr>
                <w:rFonts w:ascii="Arial" w:eastAsia="Arial" w:hAnsi="Arial" w:cs="Arial"/>
                <w:sz w:val="20"/>
                <w:szCs w:val="20"/>
              </w:rPr>
            </w:pPr>
            <w:r w:rsidRPr="00ED1F31">
              <w:rPr>
                <w:rFonts w:ascii="Arial" w:hAnsi="Arial"/>
                <w:sz w:val="20"/>
              </w:rPr>
              <w:t>Removal of drivers from duty.</w:t>
            </w:r>
          </w:p>
          <w:p w:rsidR="00A113DC" w:rsidRPr="00ED1F31" w:rsidRDefault="00F46E39" w:rsidP="00405AA9">
            <w:pPr>
              <w:pStyle w:val="TableParagraph"/>
              <w:numPr>
                <w:ilvl w:val="0"/>
                <w:numId w:val="10"/>
              </w:numPr>
              <w:tabs>
                <w:tab w:val="left" w:pos="278"/>
              </w:tabs>
              <w:spacing w:before="2" w:line="228" w:lineRule="exact"/>
              <w:ind w:right="43" w:hanging="175"/>
              <w:rPr>
                <w:rFonts w:ascii="Arial" w:eastAsia="Arial" w:hAnsi="Arial" w:cs="Arial"/>
                <w:sz w:val="20"/>
                <w:szCs w:val="20"/>
              </w:rPr>
            </w:pPr>
            <w:r w:rsidRPr="00ED1F31">
              <w:rPr>
                <w:rFonts w:ascii="Arial" w:hAnsi="Arial"/>
                <w:sz w:val="20"/>
              </w:rPr>
              <w:t>Accompaniment of drivers on their first service by a coach</w:t>
            </w:r>
          </w:p>
        </w:tc>
      </w:tr>
      <w:tr w:rsidR="00BD7B71" w:rsidTr="00405AA9">
        <w:trPr>
          <w:trHeight w:hRule="exact" w:val="222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0" w:right="0"/>
              <w:jc w:val="center"/>
              <w:rPr>
                <w:rFonts w:ascii="Arial" w:eastAsia="Arial" w:hAnsi="Arial" w:cs="Arial"/>
                <w:sz w:val="20"/>
                <w:szCs w:val="20"/>
              </w:rPr>
            </w:pPr>
            <w:r w:rsidRPr="00ED1F31">
              <w:rPr>
                <w:rFonts w:ascii="Arial" w:hAnsi="Arial"/>
                <w:sz w:val="20"/>
              </w:rPr>
              <w:t>30/06</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2" w:right="210"/>
              <w:rPr>
                <w:rFonts w:ascii="Arial" w:eastAsia="Arial" w:hAnsi="Arial" w:cs="Arial"/>
                <w:sz w:val="20"/>
                <w:szCs w:val="20"/>
              </w:rPr>
            </w:pPr>
            <w:r w:rsidRPr="00ED1F31">
              <w:rPr>
                <w:rFonts w:ascii="Arial" w:hAnsi="Arial"/>
                <w:sz w:val="20"/>
              </w:rPr>
              <w:t>Luxembourg – Troisvierges</w:t>
            </w:r>
            <w:r w:rsidRPr="00ED1F31">
              <w:rPr>
                <w:rFonts w:ascii="Arial" w:hAnsi="Arial"/>
                <w:sz w:val="20"/>
              </w:rPr>
              <w:t xml:space="preserve"> line</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2" w:right="152"/>
              <w:rPr>
                <w:rFonts w:ascii="Arial" w:eastAsia="Arial" w:hAnsi="Arial" w:cs="Arial"/>
                <w:sz w:val="20"/>
                <w:szCs w:val="20"/>
              </w:rPr>
            </w:pPr>
            <w:r w:rsidRPr="00ED1F31">
              <w:rPr>
                <w:rFonts w:ascii="Arial" w:hAnsi="Arial"/>
                <w:sz w:val="20"/>
              </w:rPr>
              <w:t>Slippage of a catenary post at kilometre post 37.300</w:t>
            </w:r>
          </w:p>
          <w:p w:rsidR="00A113DC" w:rsidRPr="00ED1F31" w:rsidRDefault="00F46E39">
            <w:pPr>
              <w:pStyle w:val="TableParagraph"/>
              <w:spacing w:before="120"/>
              <w:ind w:left="102" w:right="510"/>
              <w:rPr>
                <w:rFonts w:ascii="Arial" w:eastAsia="Arial" w:hAnsi="Arial" w:cs="Arial"/>
                <w:sz w:val="20"/>
                <w:szCs w:val="20"/>
              </w:rPr>
            </w:pPr>
            <w:r w:rsidRPr="00ED1F31">
              <w:rPr>
                <w:rFonts w:ascii="Arial" w:hAnsi="Arial"/>
                <w:sz w:val="20"/>
              </w:rPr>
              <w:t>3609 passenger train in distress due to power supply fault</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numPr>
                <w:ilvl w:val="0"/>
                <w:numId w:val="9"/>
              </w:numPr>
              <w:tabs>
                <w:tab w:val="left" w:pos="279"/>
              </w:tabs>
              <w:spacing w:before="59" w:line="239" w:lineRule="exact"/>
              <w:ind w:right="43"/>
              <w:rPr>
                <w:rFonts w:ascii="Arial" w:eastAsia="Arial" w:hAnsi="Arial" w:cs="Arial"/>
                <w:sz w:val="20"/>
                <w:szCs w:val="20"/>
              </w:rPr>
            </w:pPr>
            <w:r w:rsidRPr="00ED1F31">
              <w:rPr>
                <w:rFonts w:ascii="Arial" w:hAnsi="Arial"/>
                <w:sz w:val="20"/>
              </w:rPr>
              <w:t>Track barred</w:t>
            </w:r>
          </w:p>
          <w:p w:rsidR="00A113DC" w:rsidRPr="00ED1F31" w:rsidRDefault="00F46E39" w:rsidP="00405AA9">
            <w:pPr>
              <w:pStyle w:val="TableParagraph"/>
              <w:numPr>
                <w:ilvl w:val="0"/>
                <w:numId w:val="9"/>
              </w:numPr>
              <w:tabs>
                <w:tab w:val="left" w:pos="279"/>
              </w:tabs>
              <w:spacing w:line="233" w:lineRule="exact"/>
              <w:ind w:right="43"/>
              <w:rPr>
                <w:rFonts w:ascii="Arial" w:eastAsia="Arial" w:hAnsi="Arial" w:cs="Arial"/>
                <w:sz w:val="20"/>
                <w:szCs w:val="20"/>
              </w:rPr>
            </w:pPr>
            <w:r w:rsidRPr="00ED1F31">
              <w:rPr>
                <w:rFonts w:ascii="Arial" w:hAnsi="Arial"/>
                <w:sz w:val="20"/>
              </w:rPr>
              <w:t>Catenary installation power shut down</w:t>
            </w:r>
          </w:p>
          <w:p w:rsidR="00A113DC" w:rsidRPr="00ED1F31" w:rsidRDefault="00F46E39" w:rsidP="00405AA9">
            <w:pPr>
              <w:pStyle w:val="TableParagraph"/>
              <w:numPr>
                <w:ilvl w:val="0"/>
                <w:numId w:val="9"/>
              </w:numPr>
              <w:tabs>
                <w:tab w:val="left" w:pos="279"/>
              </w:tabs>
              <w:spacing w:before="2" w:line="228" w:lineRule="exact"/>
              <w:ind w:right="43"/>
              <w:rPr>
                <w:rFonts w:ascii="Arial" w:eastAsia="Arial" w:hAnsi="Arial" w:cs="Arial"/>
                <w:sz w:val="20"/>
                <w:szCs w:val="20"/>
              </w:rPr>
            </w:pPr>
            <w:r w:rsidRPr="00ED1F31">
              <w:rPr>
                <w:rFonts w:ascii="Arial" w:hAnsi="Arial"/>
                <w:sz w:val="20"/>
              </w:rPr>
              <w:t>Passengers transferred to another train</w:t>
            </w:r>
          </w:p>
          <w:p w:rsidR="00A113DC" w:rsidRPr="00ED1F31" w:rsidRDefault="00F46E39" w:rsidP="00405AA9">
            <w:pPr>
              <w:pStyle w:val="TableParagraph"/>
              <w:numPr>
                <w:ilvl w:val="0"/>
                <w:numId w:val="9"/>
              </w:numPr>
              <w:tabs>
                <w:tab w:val="left" w:pos="279"/>
              </w:tabs>
              <w:spacing w:line="238" w:lineRule="exact"/>
              <w:ind w:right="43"/>
              <w:rPr>
                <w:rFonts w:ascii="Arial" w:eastAsia="Arial" w:hAnsi="Arial" w:cs="Arial"/>
                <w:sz w:val="20"/>
                <w:szCs w:val="20"/>
              </w:rPr>
            </w:pPr>
            <w:r w:rsidRPr="00ED1F31">
              <w:rPr>
                <w:rFonts w:ascii="Arial" w:hAnsi="Arial"/>
                <w:sz w:val="20"/>
              </w:rPr>
              <w:t>Removal of catenary installations</w:t>
            </w:r>
          </w:p>
          <w:p w:rsidR="00A113DC" w:rsidRPr="00ED1F31" w:rsidRDefault="00F46E39" w:rsidP="00405AA9">
            <w:pPr>
              <w:pStyle w:val="TableParagraph"/>
              <w:numPr>
                <w:ilvl w:val="0"/>
                <w:numId w:val="9"/>
              </w:numPr>
              <w:tabs>
                <w:tab w:val="left" w:pos="278"/>
              </w:tabs>
              <w:spacing w:before="2" w:line="228" w:lineRule="exact"/>
              <w:ind w:left="277" w:right="43" w:hanging="175"/>
              <w:rPr>
                <w:rFonts w:ascii="Arial" w:eastAsia="Arial" w:hAnsi="Arial" w:cs="Arial"/>
                <w:sz w:val="20"/>
                <w:szCs w:val="20"/>
              </w:rPr>
            </w:pPr>
            <w:r w:rsidRPr="00ED1F31">
              <w:rPr>
                <w:rFonts w:ascii="Arial" w:hAnsi="Arial"/>
                <w:sz w:val="20"/>
              </w:rPr>
              <w:t xml:space="preserve">Installation </w:t>
            </w:r>
            <w:r w:rsidRPr="00ED1F31">
              <w:rPr>
                <w:rFonts w:ascii="Arial" w:hAnsi="Arial"/>
                <w:sz w:val="20"/>
              </w:rPr>
              <w:t>of a new block and a new catenary post</w:t>
            </w:r>
          </w:p>
          <w:p w:rsidR="00A113DC" w:rsidRPr="00ED1F31" w:rsidRDefault="00F46E39" w:rsidP="00405AA9">
            <w:pPr>
              <w:pStyle w:val="TableParagraph"/>
              <w:numPr>
                <w:ilvl w:val="0"/>
                <w:numId w:val="9"/>
              </w:numPr>
              <w:tabs>
                <w:tab w:val="left" w:pos="278"/>
              </w:tabs>
              <w:spacing w:line="238" w:lineRule="exact"/>
              <w:ind w:left="277" w:right="43" w:hanging="175"/>
              <w:rPr>
                <w:rFonts w:ascii="Arial" w:eastAsia="Arial" w:hAnsi="Arial" w:cs="Arial"/>
                <w:sz w:val="20"/>
                <w:szCs w:val="20"/>
              </w:rPr>
            </w:pPr>
            <w:r w:rsidRPr="00ED1F31">
              <w:rPr>
                <w:rFonts w:ascii="Arial" w:hAnsi="Arial"/>
                <w:sz w:val="20"/>
              </w:rPr>
              <w:t>Restoration of catenary installations</w:t>
            </w:r>
          </w:p>
          <w:p w:rsidR="00A113DC" w:rsidRPr="00ED1F31" w:rsidRDefault="00F46E39" w:rsidP="00405AA9">
            <w:pPr>
              <w:pStyle w:val="TableParagraph"/>
              <w:numPr>
                <w:ilvl w:val="0"/>
                <w:numId w:val="9"/>
              </w:numPr>
              <w:tabs>
                <w:tab w:val="left" w:pos="278"/>
              </w:tabs>
              <w:spacing w:line="239" w:lineRule="exact"/>
              <w:ind w:left="277" w:right="43" w:hanging="175"/>
              <w:rPr>
                <w:rFonts w:ascii="Arial" w:eastAsia="Arial" w:hAnsi="Arial" w:cs="Arial"/>
                <w:sz w:val="20"/>
                <w:szCs w:val="20"/>
              </w:rPr>
            </w:pPr>
            <w:r w:rsidRPr="00ED1F31">
              <w:rPr>
                <w:rFonts w:ascii="Arial" w:hAnsi="Arial"/>
                <w:sz w:val="20"/>
              </w:rPr>
              <w:t>Resumption of railway traffic.</w:t>
            </w:r>
          </w:p>
        </w:tc>
      </w:tr>
      <w:tr w:rsidR="00BD7B71" w:rsidTr="00405AA9">
        <w:trPr>
          <w:trHeight w:hRule="exact" w:val="1058"/>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0" w:right="0"/>
              <w:jc w:val="center"/>
              <w:rPr>
                <w:rFonts w:ascii="Arial" w:eastAsia="Arial" w:hAnsi="Arial" w:cs="Arial"/>
                <w:sz w:val="20"/>
                <w:szCs w:val="20"/>
              </w:rPr>
            </w:pPr>
            <w:r w:rsidRPr="00ED1F31">
              <w:rPr>
                <w:rFonts w:ascii="Arial" w:hAnsi="Arial"/>
                <w:sz w:val="20"/>
              </w:rPr>
              <w:t>20/07</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ind w:left="103" w:right="297"/>
              <w:rPr>
                <w:rFonts w:ascii="Arial" w:eastAsia="Arial" w:hAnsi="Arial" w:cs="Arial"/>
                <w:sz w:val="20"/>
                <w:szCs w:val="20"/>
              </w:rPr>
            </w:pPr>
            <w:r w:rsidRPr="00ED1F31">
              <w:rPr>
                <w:rFonts w:ascii="Arial" w:hAnsi="Arial"/>
                <w:sz w:val="20"/>
              </w:rPr>
              <w:t>Bettembourg station</w:t>
            </w:r>
          </w:p>
        </w:tc>
        <w:tc>
          <w:tcPr>
            <w:tcW w:w="283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3C3335">
            <w:pPr>
              <w:pStyle w:val="TableParagraph"/>
              <w:ind w:left="103" w:right="395"/>
              <w:rPr>
                <w:rFonts w:ascii="Arial" w:eastAsia="Arial" w:hAnsi="Arial" w:cs="Arial"/>
                <w:sz w:val="20"/>
                <w:szCs w:val="20"/>
              </w:rPr>
            </w:pPr>
            <w:r w:rsidRPr="00ED1F31">
              <w:rPr>
                <w:rFonts w:ascii="Arial" w:hAnsi="Arial"/>
                <w:sz w:val="20"/>
              </w:rPr>
              <w:t>Track deformation due to heat and route defect</w:t>
            </w:r>
          </w:p>
        </w:tc>
        <w:tc>
          <w:tcPr>
            <w:tcW w:w="46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405AA9">
            <w:pPr>
              <w:pStyle w:val="TableParagraph"/>
              <w:numPr>
                <w:ilvl w:val="0"/>
                <w:numId w:val="8"/>
              </w:numPr>
              <w:tabs>
                <w:tab w:val="left" w:pos="279"/>
              </w:tabs>
              <w:spacing w:before="59" w:line="239" w:lineRule="exact"/>
              <w:ind w:right="43" w:hanging="175"/>
              <w:rPr>
                <w:rFonts w:ascii="Arial" w:eastAsia="Arial" w:hAnsi="Arial" w:cs="Arial"/>
                <w:sz w:val="20"/>
                <w:szCs w:val="20"/>
              </w:rPr>
            </w:pPr>
            <w:r w:rsidRPr="00ED1F31">
              <w:rPr>
                <w:rFonts w:ascii="Arial" w:hAnsi="Arial"/>
                <w:sz w:val="20"/>
              </w:rPr>
              <w:t>Track barred until makeshift repair completed</w:t>
            </w:r>
          </w:p>
          <w:p w:rsidR="00A113DC" w:rsidRPr="00ED1F31" w:rsidRDefault="00F46E39" w:rsidP="00405AA9">
            <w:pPr>
              <w:pStyle w:val="TableParagraph"/>
              <w:numPr>
                <w:ilvl w:val="0"/>
                <w:numId w:val="8"/>
              </w:numPr>
              <w:tabs>
                <w:tab w:val="left" w:pos="279"/>
              </w:tabs>
              <w:spacing w:before="2" w:line="228" w:lineRule="exact"/>
              <w:ind w:right="43" w:hanging="175"/>
              <w:rPr>
                <w:rFonts w:ascii="Arial" w:eastAsia="Arial" w:hAnsi="Arial" w:cs="Arial"/>
                <w:sz w:val="20"/>
                <w:szCs w:val="20"/>
              </w:rPr>
            </w:pPr>
            <w:r w:rsidRPr="00ED1F31">
              <w:rPr>
                <w:rFonts w:ascii="Arial" w:hAnsi="Arial"/>
                <w:sz w:val="20"/>
              </w:rPr>
              <w:t xml:space="preserve">Replacement of rails and </w:t>
            </w:r>
            <w:r w:rsidRPr="00ED1F31">
              <w:rPr>
                <w:rFonts w:ascii="Arial" w:hAnsi="Arial"/>
                <w:sz w:val="20"/>
              </w:rPr>
              <w:t>track straightening</w:t>
            </w:r>
          </w:p>
          <w:p w:rsidR="00A113DC" w:rsidRPr="00ED1F31" w:rsidRDefault="00F46E39" w:rsidP="00405AA9">
            <w:pPr>
              <w:pStyle w:val="TableParagraph"/>
              <w:numPr>
                <w:ilvl w:val="0"/>
                <w:numId w:val="8"/>
              </w:numPr>
              <w:tabs>
                <w:tab w:val="left" w:pos="279"/>
              </w:tabs>
              <w:spacing w:line="243" w:lineRule="exact"/>
              <w:ind w:right="43"/>
              <w:rPr>
                <w:rFonts w:ascii="Arial" w:eastAsia="Arial" w:hAnsi="Arial" w:cs="Arial"/>
                <w:sz w:val="20"/>
                <w:szCs w:val="20"/>
              </w:rPr>
            </w:pPr>
            <w:r w:rsidRPr="00ED1F31">
              <w:rPr>
                <w:rFonts w:ascii="Arial" w:hAnsi="Arial"/>
                <w:sz w:val="20"/>
              </w:rPr>
              <w:t>Unbarring of rails</w:t>
            </w:r>
          </w:p>
        </w:tc>
      </w:tr>
    </w:tbl>
    <w:p w:rsidR="00A113DC" w:rsidRPr="00ED1F31" w:rsidRDefault="00F46E39" w:rsidP="00460B7F">
      <w:pPr>
        <w:pStyle w:val="Quote"/>
        <w:ind w:left="142"/>
        <w:rPr>
          <w:rFonts w:eastAsia="Calibri" w:cs="Calibri"/>
          <w:szCs w:val="16"/>
        </w:rPr>
      </w:pPr>
      <w:r w:rsidRPr="00ED1F31">
        <w:t>* Fixed Halt for Shunting Signals</w:t>
      </w:r>
    </w:p>
    <w:tbl>
      <w:tblPr>
        <w:tblW w:w="10066" w:type="dxa"/>
        <w:tblInd w:w="115" w:type="dxa"/>
        <w:tblLayout w:type="fixed"/>
        <w:tblCellMar>
          <w:left w:w="0" w:type="dxa"/>
          <w:right w:w="0" w:type="dxa"/>
        </w:tblCellMar>
        <w:tblLook w:val="01E0" w:firstRow="1" w:lastRow="1" w:firstColumn="1" w:lastColumn="1" w:noHBand="0" w:noVBand="0"/>
      </w:tblPr>
      <w:tblGrid>
        <w:gridCol w:w="852"/>
        <w:gridCol w:w="1558"/>
        <w:gridCol w:w="3120"/>
        <w:gridCol w:w="4536"/>
      </w:tblGrid>
      <w:tr w:rsidR="00BD7B71" w:rsidTr="00C111EF">
        <w:trPr>
          <w:trHeight w:hRule="exact" w:val="802"/>
        </w:trPr>
        <w:tc>
          <w:tcPr>
            <w:tcW w:w="5530" w:type="dxa"/>
            <w:gridSpan w:val="3"/>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pageBreakBefore/>
              <w:ind w:left="1426" w:right="1426" w:firstLine="29"/>
              <w:rPr>
                <w:rFonts w:ascii="Arial" w:eastAsia="Arial" w:hAnsi="Arial" w:cs="Arial"/>
                <w:sz w:val="23"/>
                <w:szCs w:val="23"/>
              </w:rPr>
            </w:pPr>
            <w:r w:rsidRPr="00ED1F31">
              <w:rPr>
                <w:rFonts w:ascii="Arial" w:hAnsi="Arial"/>
                <w:b/>
                <w:sz w:val="23"/>
                <w:szCs w:val="23"/>
              </w:rPr>
              <w:t>Accidents/precursors prompting measures to be taken</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ind w:right="719"/>
              <w:jc w:val="right"/>
              <w:rPr>
                <w:rFonts w:ascii="Arial" w:eastAsia="Arial" w:hAnsi="Arial" w:cs="Arial"/>
                <w:sz w:val="23"/>
                <w:szCs w:val="23"/>
              </w:rPr>
            </w:pPr>
            <w:r w:rsidRPr="00ED1F31">
              <w:rPr>
                <w:rFonts w:ascii="Arial" w:hAnsi="Arial"/>
                <w:b/>
                <w:sz w:val="23"/>
                <w:szCs w:val="23"/>
              </w:rPr>
              <w:t>Safety measures taken</w:t>
            </w:r>
          </w:p>
        </w:tc>
      </w:tr>
      <w:tr w:rsidR="00BD7B71" w:rsidTr="00C111EF">
        <w:trPr>
          <w:trHeight w:hRule="exact" w:val="526"/>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25FA3">
            <w:pPr>
              <w:pStyle w:val="TableParagraph"/>
              <w:spacing w:before="115"/>
              <w:ind w:left="0" w:right="0"/>
              <w:jc w:val="center"/>
              <w:rPr>
                <w:rFonts w:ascii="Arial" w:eastAsia="Arial" w:hAnsi="Arial" w:cs="Arial"/>
                <w:sz w:val="23"/>
                <w:szCs w:val="23"/>
              </w:rPr>
            </w:pPr>
            <w:r w:rsidRPr="00ED1F31">
              <w:rPr>
                <w:rFonts w:ascii="Arial" w:hAnsi="Arial"/>
                <w:b/>
                <w:sz w:val="23"/>
                <w:szCs w:val="23"/>
              </w:rPr>
              <w:t>Date</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spacing w:before="115"/>
              <w:ind w:left="2"/>
              <w:jc w:val="center"/>
              <w:rPr>
                <w:rFonts w:ascii="Arial" w:eastAsia="Arial" w:hAnsi="Arial" w:cs="Arial"/>
                <w:sz w:val="23"/>
                <w:szCs w:val="23"/>
              </w:rPr>
            </w:pPr>
            <w:r w:rsidRPr="00ED1F31">
              <w:rPr>
                <w:rFonts w:ascii="Arial" w:hAnsi="Arial"/>
                <w:b/>
                <w:sz w:val="23"/>
                <w:szCs w:val="23"/>
              </w:rPr>
              <w:t>Place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spacing w:before="115"/>
              <w:ind w:left="460"/>
              <w:rPr>
                <w:rFonts w:ascii="Arial" w:eastAsia="Arial" w:hAnsi="Arial" w:cs="Arial"/>
                <w:sz w:val="23"/>
                <w:szCs w:val="23"/>
              </w:rPr>
            </w:pPr>
            <w:r w:rsidRPr="00ED1F31">
              <w:rPr>
                <w:rFonts w:ascii="Arial" w:hAnsi="Arial"/>
                <w:b/>
                <w:color w:val="E36C0A"/>
                <w:sz w:val="23"/>
                <w:szCs w:val="23"/>
              </w:rPr>
              <w:t>Miscellaneous events</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pPr>
              <w:rPr>
                <w:rFonts w:ascii="Arial" w:hAnsi="Arial" w:cs="Arial"/>
                <w:sz w:val="23"/>
                <w:szCs w:val="23"/>
              </w:rPr>
            </w:pPr>
          </w:p>
        </w:tc>
      </w:tr>
      <w:tr w:rsidR="00BD7B71" w:rsidTr="00C111EF">
        <w:trPr>
          <w:trHeight w:hRule="exact" w:val="163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ind w:left="0" w:right="0"/>
              <w:jc w:val="center"/>
              <w:rPr>
                <w:rFonts w:ascii="Arial" w:eastAsia="Calibri" w:hAnsi="Arial" w:cs="Arial"/>
                <w:sz w:val="20"/>
                <w:szCs w:val="20"/>
              </w:rPr>
            </w:pPr>
            <w:r w:rsidRPr="00ED1F31">
              <w:rPr>
                <w:rFonts w:ascii="Arial" w:hAnsi="Arial"/>
                <w:sz w:val="20"/>
              </w:rPr>
              <w:t>01/08</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ind w:left="206"/>
              <w:rPr>
                <w:rFonts w:ascii="Arial" w:eastAsia="Calibri" w:hAnsi="Arial" w:cs="Arial"/>
                <w:sz w:val="20"/>
                <w:szCs w:val="20"/>
              </w:rPr>
            </w:pPr>
            <w:r w:rsidRPr="00ED1F31">
              <w:rPr>
                <w:rFonts w:ascii="Arial" w:hAnsi="Arial"/>
                <w:sz w:val="20"/>
              </w:rPr>
              <w:t>Mertert Port</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ind w:left="103" w:right="104"/>
              <w:rPr>
                <w:rFonts w:ascii="Arial" w:eastAsia="Arial" w:hAnsi="Arial" w:cs="Arial"/>
                <w:sz w:val="20"/>
                <w:szCs w:val="20"/>
              </w:rPr>
            </w:pPr>
            <w:r w:rsidRPr="00ED1F31">
              <w:rPr>
                <w:rFonts w:ascii="Arial" w:hAnsi="Arial"/>
                <w:sz w:val="20"/>
              </w:rPr>
              <w:t xml:space="preserve">Train started to move without authorisation from the </w:t>
            </w:r>
            <w:r w:rsidRPr="00ED1F31">
              <w:rPr>
                <w:rFonts w:ascii="Arial" w:hAnsi="Arial"/>
                <w:sz w:val="20"/>
              </w:rPr>
              <w:t>traffic manager, train derailment at the first points, operated when the IM mapped the track</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numPr>
                <w:ilvl w:val="0"/>
                <w:numId w:val="7"/>
              </w:numPr>
              <w:tabs>
                <w:tab w:val="left" w:pos="279"/>
              </w:tabs>
              <w:spacing w:line="239" w:lineRule="exact"/>
              <w:ind w:hanging="175"/>
              <w:rPr>
                <w:rFonts w:ascii="Arial" w:eastAsia="Arial" w:hAnsi="Arial" w:cs="Arial"/>
                <w:sz w:val="20"/>
                <w:szCs w:val="20"/>
              </w:rPr>
            </w:pPr>
            <w:r w:rsidRPr="00ED1F31">
              <w:rPr>
                <w:rFonts w:ascii="Arial" w:hAnsi="Arial"/>
                <w:sz w:val="20"/>
              </w:rPr>
              <w:t>Precautionary suspension of driver</w:t>
            </w:r>
          </w:p>
          <w:p w:rsidR="00A113DC" w:rsidRPr="00ED1F31" w:rsidRDefault="00F46E39" w:rsidP="00C111EF">
            <w:pPr>
              <w:pStyle w:val="TableParagraph"/>
              <w:numPr>
                <w:ilvl w:val="0"/>
                <w:numId w:val="7"/>
              </w:numPr>
              <w:tabs>
                <w:tab w:val="left" w:pos="279"/>
              </w:tabs>
              <w:spacing w:line="233" w:lineRule="exact"/>
              <w:ind w:hanging="175"/>
              <w:rPr>
                <w:rFonts w:ascii="Arial" w:eastAsia="Arial" w:hAnsi="Arial" w:cs="Arial"/>
                <w:sz w:val="20"/>
                <w:szCs w:val="20"/>
              </w:rPr>
            </w:pPr>
            <w:r w:rsidRPr="00ED1F31">
              <w:rPr>
                <w:rFonts w:ascii="Arial" w:hAnsi="Arial"/>
                <w:sz w:val="20"/>
              </w:rPr>
              <w:t>Analysis of recordings</w:t>
            </w:r>
          </w:p>
          <w:p w:rsidR="00A113DC" w:rsidRPr="00ED1F31" w:rsidRDefault="00F46E39" w:rsidP="00C111EF">
            <w:pPr>
              <w:pStyle w:val="TableParagraph"/>
              <w:numPr>
                <w:ilvl w:val="0"/>
                <w:numId w:val="7"/>
              </w:numPr>
              <w:tabs>
                <w:tab w:val="left" w:pos="279"/>
              </w:tabs>
              <w:spacing w:line="228" w:lineRule="exact"/>
              <w:ind w:right="1092" w:hanging="175"/>
              <w:rPr>
                <w:rFonts w:ascii="Arial" w:eastAsia="Arial" w:hAnsi="Arial" w:cs="Arial"/>
                <w:sz w:val="20"/>
                <w:szCs w:val="20"/>
              </w:rPr>
            </w:pPr>
            <w:r w:rsidRPr="00ED1F31">
              <w:rPr>
                <w:rFonts w:ascii="Arial" w:hAnsi="Arial"/>
                <w:sz w:val="20"/>
              </w:rPr>
              <w:t>Refresher training on communication procedures</w:t>
            </w:r>
          </w:p>
        </w:tc>
      </w:tr>
      <w:tr w:rsidR="00BD7B71" w:rsidTr="00C111EF">
        <w:trPr>
          <w:trHeight w:hRule="exact" w:val="175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25FA3">
            <w:pPr>
              <w:pStyle w:val="TableParagraph"/>
              <w:ind w:left="0" w:right="0"/>
              <w:jc w:val="center"/>
              <w:rPr>
                <w:rFonts w:ascii="Arial" w:eastAsia="Calibri" w:hAnsi="Arial" w:cs="Arial"/>
                <w:sz w:val="20"/>
                <w:szCs w:val="20"/>
              </w:rPr>
            </w:pPr>
            <w:r w:rsidRPr="00ED1F31">
              <w:rPr>
                <w:rFonts w:ascii="Arial" w:hAnsi="Arial"/>
                <w:sz w:val="20"/>
              </w:rPr>
              <w:t>27/08</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ascii="Arial" w:eastAsia="Calibri" w:hAnsi="Arial" w:cs="Arial"/>
                <w:sz w:val="20"/>
                <w:szCs w:val="20"/>
              </w:rPr>
            </w:pPr>
            <w:r w:rsidRPr="00ED1F31">
              <w:rPr>
                <w:rFonts w:ascii="Arial" w:hAnsi="Arial"/>
                <w:sz w:val="20"/>
              </w:rPr>
              <w:t>Schifflange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spacing w:before="117"/>
              <w:ind w:left="103" w:right="228"/>
              <w:rPr>
                <w:rFonts w:ascii="Arial" w:eastAsia="Arial" w:hAnsi="Arial" w:cs="Arial"/>
                <w:sz w:val="20"/>
                <w:szCs w:val="20"/>
              </w:rPr>
            </w:pPr>
            <w:r w:rsidRPr="00ED1F31">
              <w:rPr>
                <w:rFonts w:ascii="Arial" w:hAnsi="Arial"/>
                <w:sz w:val="20"/>
              </w:rPr>
              <w:t xml:space="preserve">Near miss with a motor vehicle stopped </w:t>
            </w:r>
            <w:r w:rsidRPr="00ED1F31">
              <w:rPr>
                <w:rFonts w:ascii="Arial" w:hAnsi="Arial"/>
                <w:sz w:val="20"/>
              </w:rPr>
              <w:t>on a level crossing</w:t>
            </w:r>
          </w:p>
          <w:p w:rsidR="00A113DC" w:rsidRPr="00ED1F31" w:rsidRDefault="00F46E39" w:rsidP="00A230AE">
            <w:pPr>
              <w:pStyle w:val="TableParagraph"/>
              <w:spacing w:before="120"/>
              <w:ind w:left="103" w:right="146"/>
              <w:rPr>
                <w:rFonts w:ascii="Arial" w:eastAsia="Arial" w:hAnsi="Arial" w:cs="Arial"/>
                <w:sz w:val="20"/>
                <w:szCs w:val="20"/>
              </w:rPr>
            </w:pPr>
            <w:r w:rsidRPr="00ED1F31">
              <w:rPr>
                <w:rFonts w:ascii="Arial" w:hAnsi="Arial"/>
                <w:sz w:val="20"/>
              </w:rPr>
              <w:t>Emergency braking by driver and train stopped 60 metres before vehicle</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25FA3">
            <w:pPr>
              <w:pStyle w:val="TableParagraph"/>
              <w:numPr>
                <w:ilvl w:val="0"/>
                <w:numId w:val="39"/>
              </w:numPr>
              <w:tabs>
                <w:tab w:val="left" w:pos="270"/>
              </w:tabs>
              <w:ind w:left="314" w:right="735" w:hanging="201"/>
              <w:jc w:val="right"/>
              <w:rPr>
                <w:rFonts w:ascii="Arial" w:eastAsia="Arial" w:hAnsi="Arial" w:cs="Arial"/>
                <w:sz w:val="20"/>
                <w:szCs w:val="20"/>
              </w:rPr>
            </w:pPr>
            <w:r w:rsidRPr="00ED1F31">
              <w:rPr>
                <w:rFonts w:ascii="Arial" w:hAnsi="Arial"/>
                <w:sz w:val="20"/>
              </w:rPr>
              <w:t>Psychological treatment for driver</w:t>
            </w:r>
          </w:p>
        </w:tc>
      </w:tr>
      <w:tr w:rsidR="00BD7B71" w:rsidTr="00C111EF">
        <w:trPr>
          <w:trHeight w:hRule="exact" w:val="1524"/>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25FA3">
            <w:pPr>
              <w:pStyle w:val="TableParagraph"/>
              <w:ind w:left="0" w:right="0"/>
              <w:jc w:val="center"/>
              <w:rPr>
                <w:rFonts w:ascii="Arial" w:eastAsia="Arial" w:hAnsi="Arial" w:cs="Arial"/>
                <w:sz w:val="20"/>
                <w:szCs w:val="20"/>
              </w:rPr>
            </w:pPr>
            <w:r w:rsidRPr="00ED1F31">
              <w:rPr>
                <w:rFonts w:ascii="Arial" w:hAnsi="Arial"/>
                <w:sz w:val="20"/>
              </w:rPr>
              <w:t>26/10</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Pr>
                <w:rFonts w:ascii="Arial" w:eastAsia="Arial" w:hAnsi="Arial" w:cs="Arial"/>
                <w:sz w:val="20"/>
                <w:szCs w:val="20"/>
              </w:rPr>
            </w:pPr>
            <w:r w:rsidRPr="00ED1F31">
              <w:rPr>
                <w:rFonts w:ascii="Arial" w:hAnsi="Arial"/>
                <w:sz w:val="20"/>
              </w:rPr>
              <w:t>Berchem –</w:t>
            </w:r>
          </w:p>
          <w:p w:rsidR="00A113DC" w:rsidRPr="00ED1F31" w:rsidRDefault="00F46E39">
            <w:pPr>
              <w:pStyle w:val="TableParagraph"/>
              <w:spacing w:before="120"/>
              <w:ind w:left="103" w:right="475"/>
              <w:rPr>
                <w:rFonts w:ascii="Arial" w:eastAsia="Arial" w:hAnsi="Arial" w:cs="Arial"/>
                <w:sz w:val="20"/>
                <w:szCs w:val="20"/>
              </w:rPr>
            </w:pPr>
            <w:r w:rsidRPr="00ED1F31">
              <w:rPr>
                <w:rFonts w:ascii="Arial" w:hAnsi="Arial"/>
                <w:sz w:val="20"/>
              </w:rPr>
              <w:t>Oetrange line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ight="327"/>
              <w:rPr>
                <w:rFonts w:ascii="Arial" w:eastAsia="Arial" w:hAnsi="Arial" w:cs="Arial"/>
                <w:sz w:val="20"/>
                <w:szCs w:val="20"/>
              </w:rPr>
            </w:pPr>
            <w:r w:rsidRPr="00ED1F31">
              <w:rPr>
                <w:rFonts w:ascii="Arial" w:hAnsi="Arial"/>
                <w:sz w:val="20"/>
              </w:rPr>
              <w:t>SV (rail-road vehicle) breaks down and blocks line</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numPr>
                <w:ilvl w:val="0"/>
                <w:numId w:val="6"/>
              </w:numPr>
              <w:tabs>
                <w:tab w:val="left" w:pos="279"/>
              </w:tabs>
              <w:spacing w:line="239" w:lineRule="exact"/>
              <w:ind w:hanging="175"/>
              <w:rPr>
                <w:rFonts w:ascii="Arial" w:eastAsia="Arial" w:hAnsi="Arial" w:cs="Arial"/>
                <w:sz w:val="20"/>
                <w:szCs w:val="20"/>
              </w:rPr>
            </w:pPr>
            <w:r w:rsidRPr="00ED1F31">
              <w:rPr>
                <w:rFonts w:ascii="Arial" w:hAnsi="Arial"/>
                <w:sz w:val="20"/>
              </w:rPr>
              <w:t>Line barred</w:t>
            </w:r>
          </w:p>
          <w:p w:rsidR="00A113DC" w:rsidRPr="00ED1F31" w:rsidRDefault="00F46E39" w:rsidP="00976521">
            <w:pPr>
              <w:pStyle w:val="TableParagraph"/>
              <w:numPr>
                <w:ilvl w:val="0"/>
                <w:numId w:val="6"/>
              </w:numPr>
              <w:tabs>
                <w:tab w:val="left" w:pos="279"/>
              </w:tabs>
              <w:spacing w:line="233" w:lineRule="exact"/>
              <w:ind w:hanging="175"/>
              <w:rPr>
                <w:rFonts w:ascii="Arial" w:eastAsia="Arial" w:hAnsi="Arial" w:cs="Arial"/>
                <w:sz w:val="20"/>
                <w:szCs w:val="20"/>
              </w:rPr>
            </w:pPr>
            <w:r w:rsidRPr="00ED1F31">
              <w:rPr>
                <w:rFonts w:ascii="Arial" w:hAnsi="Arial"/>
                <w:sz w:val="20"/>
              </w:rPr>
              <w:t>Repair of vehicle on-site failed</w:t>
            </w:r>
          </w:p>
          <w:p w:rsidR="00A113DC" w:rsidRPr="00ED1F31" w:rsidRDefault="00F46E39" w:rsidP="00976521">
            <w:pPr>
              <w:pStyle w:val="TableParagraph"/>
              <w:numPr>
                <w:ilvl w:val="0"/>
                <w:numId w:val="6"/>
              </w:numPr>
              <w:tabs>
                <w:tab w:val="left" w:pos="279"/>
              </w:tabs>
              <w:spacing w:before="2" w:line="228" w:lineRule="exact"/>
              <w:ind w:right="492" w:hanging="175"/>
              <w:rPr>
                <w:rFonts w:ascii="Arial" w:eastAsia="Arial" w:hAnsi="Arial" w:cs="Arial"/>
                <w:sz w:val="20"/>
                <w:szCs w:val="20"/>
              </w:rPr>
            </w:pPr>
            <w:r w:rsidRPr="00ED1F31">
              <w:rPr>
                <w:rFonts w:ascii="Arial" w:hAnsi="Arial"/>
                <w:sz w:val="20"/>
              </w:rPr>
              <w:t xml:space="preserve">SV </w:t>
            </w:r>
            <w:r w:rsidRPr="00ED1F31">
              <w:rPr>
                <w:rFonts w:ascii="Arial" w:hAnsi="Arial"/>
                <w:sz w:val="20"/>
              </w:rPr>
              <w:t>towed by traction unit to a passing place</w:t>
            </w:r>
          </w:p>
          <w:p w:rsidR="00A113DC" w:rsidRPr="00ED1F31" w:rsidRDefault="00F46E39" w:rsidP="00976521">
            <w:pPr>
              <w:pStyle w:val="TableParagraph"/>
              <w:numPr>
                <w:ilvl w:val="0"/>
                <w:numId w:val="6"/>
              </w:numPr>
              <w:tabs>
                <w:tab w:val="left" w:pos="279"/>
              </w:tabs>
              <w:spacing w:line="238" w:lineRule="exact"/>
              <w:rPr>
                <w:rFonts w:ascii="Arial" w:eastAsia="Arial" w:hAnsi="Arial" w:cs="Arial"/>
                <w:sz w:val="20"/>
                <w:szCs w:val="20"/>
              </w:rPr>
            </w:pPr>
            <w:r w:rsidRPr="00ED1F31">
              <w:rPr>
                <w:rFonts w:ascii="Arial" w:hAnsi="Arial"/>
                <w:sz w:val="20"/>
              </w:rPr>
              <w:t>Resumption of rail traffic</w:t>
            </w:r>
          </w:p>
          <w:p w:rsidR="00A113DC" w:rsidRPr="00ED1F31" w:rsidRDefault="00F46E39" w:rsidP="00976521">
            <w:pPr>
              <w:pStyle w:val="TableParagraph"/>
              <w:numPr>
                <w:ilvl w:val="0"/>
                <w:numId w:val="6"/>
              </w:numPr>
              <w:tabs>
                <w:tab w:val="left" w:pos="278"/>
              </w:tabs>
              <w:spacing w:line="239" w:lineRule="exact"/>
              <w:ind w:left="277" w:hanging="175"/>
              <w:rPr>
                <w:rFonts w:ascii="Arial" w:eastAsia="Arial" w:hAnsi="Arial" w:cs="Arial"/>
                <w:sz w:val="20"/>
                <w:szCs w:val="20"/>
              </w:rPr>
            </w:pPr>
            <w:r w:rsidRPr="00ED1F31">
              <w:rPr>
                <w:rFonts w:ascii="Arial" w:hAnsi="Arial"/>
                <w:sz w:val="20"/>
              </w:rPr>
              <w:t>Removal of vehicle by crane</w:t>
            </w:r>
          </w:p>
        </w:tc>
      </w:tr>
      <w:tr w:rsidR="00BD7B71" w:rsidTr="00C111EF">
        <w:trPr>
          <w:trHeight w:hRule="exact" w:val="1056"/>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25FA3">
            <w:pPr>
              <w:pStyle w:val="TableParagraph"/>
              <w:ind w:left="0" w:right="0"/>
              <w:jc w:val="center"/>
              <w:rPr>
                <w:rFonts w:ascii="Arial" w:eastAsia="Arial" w:hAnsi="Arial" w:cs="Arial"/>
                <w:sz w:val="20"/>
                <w:szCs w:val="20"/>
              </w:rPr>
            </w:pPr>
            <w:r w:rsidRPr="00ED1F31">
              <w:rPr>
                <w:rFonts w:ascii="Arial" w:hAnsi="Arial"/>
                <w:sz w:val="20"/>
              </w:rPr>
              <w:t>16/12</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A230AE">
            <w:pPr>
              <w:pStyle w:val="TableParagraph"/>
              <w:ind w:left="103" w:right="448"/>
              <w:rPr>
                <w:rFonts w:ascii="Arial" w:eastAsia="Arial" w:hAnsi="Arial" w:cs="Arial"/>
                <w:sz w:val="20"/>
                <w:szCs w:val="20"/>
              </w:rPr>
            </w:pPr>
            <w:r w:rsidRPr="00ED1F31">
              <w:rPr>
                <w:rFonts w:ascii="Arial" w:hAnsi="Arial"/>
                <w:sz w:val="20"/>
              </w:rPr>
              <w:t>Pétange station</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ight="514"/>
              <w:rPr>
                <w:rFonts w:ascii="Arial" w:eastAsia="Arial" w:hAnsi="Arial" w:cs="Arial"/>
                <w:sz w:val="20"/>
                <w:szCs w:val="20"/>
              </w:rPr>
            </w:pPr>
            <w:r w:rsidRPr="00ED1F31">
              <w:rPr>
                <w:rFonts w:ascii="Arial" w:hAnsi="Arial"/>
                <w:sz w:val="20"/>
              </w:rPr>
              <w:t>Weld break in track crossing</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111EF">
            <w:pPr>
              <w:pStyle w:val="TableParagraph"/>
              <w:numPr>
                <w:ilvl w:val="0"/>
                <w:numId w:val="5"/>
              </w:numPr>
              <w:tabs>
                <w:tab w:val="left" w:pos="279"/>
              </w:tabs>
              <w:spacing w:line="228" w:lineRule="exact"/>
              <w:ind w:right="778" w:hanging="175"/>
              <w:rPr>
                <w:rFonts w:ascii="Arial" w:eastAsia="Arial" w:hAnsi="Arial" w:cs="Arial"/>
                <w:sz w:val="20"/>
                <w:szCs w:val="20"/>
              </w:rPr>
            </w:pPr>
            <w:r w:rsidRPr="00ED1F31">
              <w:rPr>
                <w:rFonts w:ascii="Arial" w:hAnsi="Arial"/>
                <w:sz w:val="20"/>
              </w:rPr>
              <w:t>Track crossing barred until semi-permanent repair by fish-plating</w:t>
            </w:r>
          </w:p>
          <w:p w:rsidR="00A113DC" w:rsidRPr="00ED1F31" w:rsidRDefault="00F46E39" w:rsidP="00976521">
            <w:pPr>
              <w:pStyle w:val="TableParagraph"/>
              <w:numPr>
                <w:ilvl w:val="0"/>
                <w:numId w:val="5"/>
              </w:numPr>
              <w:tabs>
                <w:tab w:val="left" w:pos="279"/>
              </w:tabs>
              <w:spacing w:before="7" w:line="228" w:lineRule="exact"/>
              <w:ind w:right="434" w:hanging="175"/>
              <w:rPr>
                <w:rFonts w:ascii="Arial" w:eastAsia="Arial" w:hAnsi="Arial" w:cs="Arial"/>
                <w:sz w:val="20"/>
                <w:szCs w:val="20"/>
              </w:rPr>
            </w:pPr>
            <w:r w:rsidRPr="00ED1F31">
              <w:rPr>
                <w:rFonts w:ascii="Arial" w:hAnsi="Arial"/>
                <w:sz w:val="20"/>
              </w:rPr>
              <w:t>Replacement of centre of crossing and creation of aluminothermic welding</w:t>
            </w:r>
          </w:p>
        </w:tc>
      </w:tr>
    </w:tbl>
    <w:p w:rsidR="00A113DC" w:rsidRPr="00ED1F31" w:rsidRDefault="00A113DC">
      <w:pPr>
        <w:rPr>
          <w:rFonts w:eastAsia="Calibri" w:cs="Calibri"/>
          <w:sz w:val="20"/>
          <w:szCs w:val="20"/>
        </w:rPr>
      </w:pPr>
    </w:p>
    <w:p w:rsidR="002B79EA" w:rsidRPr="00ED1F31" w:rsidRDefault="002B79EA">
      <w:pPr>
        <w:rPr>
          <w:rFonts w:eastAsia="Calibri" w:cs="Calibri"/>
          <w:sz w:val="20"/>
          <w:szCs w:val="20"/>
        </w:rPr>
      </w:pPr>
    </w:p>
    <w:p w:rsidR="002B79EA" w:rsidRPr="00ED1F31" w:rsidRDefault="002B79EA">
      <w:pPr>
        <w:rPr>
          <w:rFonts w:eastAsia="Calibri" w:cs="Calibri"/>
          <w:sz w:val="20"/>
          <w:szCs w:val="20"/>
        </w:rPr>
      </w:pPr>
    </w:p>
    <w:p w:rsidR="002B79EA" w:rsidRPr="00ED1F31" w:rsidRDefault="002B79EA">
      <w:pPr>
        <w:rPr>
          <w:rFonts w:eastAsia="Calibri" w:cs="Calibri"/>
          <w:sz w:val="20"/>
          <w:szCs w:val="20"/>
        </w:rPr>
      </w:pPr>
    </w:p>
    <w:tbl>
      <w:tblPr>
        <w:tblW w:w="10066" w:type="dxa"/>
        <w:tblInd w:w="115" w:type="dxa"/>
        <w:tblLayout w:type="fixed"/>
        <w:tblCellMar>
          <w:left w:w="0" w:type="dxa"/>
          <w:right w:w="0" w:type="dxa"/>
        </w:tblCellMar>
        <w:tblLook w:val="01E0" w:firstRow="1" w:lastRow="1" w:firstColumn="1" w:lastColumn="1" w:noHBand="0" w:noVBand="0"/>
      </w:tblPr>
      <w:tblGrid>
        <w:gridCol w:w="852"/>
        <w:gridCol w:w="1558"/>
        <w:gridCol w:w="3120"/>
        <w:gridCol w:w="4536"/>
      </w:tblGrid>
      <w:tr w:rsidR="00BD7B71" w:rsidTr="00563654">
        <w:trPr>
          <w:trHeight w:hRule="exact" w:val="802"/>
        </w:trPr>
        <w:tc>
          <w:tcPr>
            <w:tcW w:w="5530" w:type="dxa"/>
            <w:gridSpan w:val="3"/>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425" w:right="1423" w:firstLine="33"/>
              <w:rPr>
                <w:rFonts w:ascii="Arial" w:eastAsia="Arial" w:hAnsi="Arial" w:cs="Arial"/>
                <w:sz w:val="23"/>
                <w:szCs w:val="23"/>
              </w:rPr>
            </w:pPr>
            <w:r w:rsidRPr="00ED1F31">
              <w:rPr>
                <w:rFonts w:ascii="Arial" w:hAnsi="Arial"/>
                <w:b/>
                <w:sz w:val="23"/>
                <w:szCs w:val="23"/>
              </w:rPr>
              <w:t>Accidents/precursors prompting measures to be taken</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722"/>
              <w:rPr>
                <w:rFonts w:ascii="Arial" w:eastAsia="Arial" w:hAnsi="Arial" w:cs="Arial"/>
                <w:sz w:val="23"/>
                <w:szCs w:val="23"/>
              </w:rPr>
            </w:pPr>
            <w:r w:rsidRPr="00ED1F31">
              <w:rPr>
                <w:rFonts w:ascii="Arial" w:hAnsi="Arial"/>
                <w:b/>
                <w:sz w:val="23"/>
                <w:szCs w:val="23"/>
              </w:rPr>
              <w:t>Safety measures taken</w:t>
            </w:r>
          </w:p>
        </w:tc>
      </w:tr>
      <w:tr w:rsidR="00BD7B71" w:rsidTr="00563654">
        <w:trPr>
          <w:trHeight w:hRule="exact" w:val="804"/>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C25FA3">
            <w:pPr>
              <w:pStyle w:val="TableParagraph"/>
              <w:ind w:left="0" w:right="0"/>
              <w:jc w:val="center"/>
              <w:rPr>
                <w:rFonts w:ascii="Arial" w:eastAsia="Arial" w:hAnsi="Arial" w:cs="Arial"/>
                <w:sz w:val="23"/>
                <w:szCs w:val="23"/>
              </w:rPr>
            </w:pPr>
            <w:r w:rsidRPr="00ED1F31">
              <w:rPr>
                <w:rFonts w:ascii="Arial" w:hAnsi="Arial"/>
                <w:b/>
                <w:sz w:val="23"/>
                <w:szCs w:val="23"/>
              </w:rPr>
              <w:t>Date</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2"/>
              <w:jc w:val="center"/>
              <w:rPr>
                <w:rFonts w:ascii="Arial" w:eastAsia="Arial" w:hAnsi="Arial" w:cs="Arial"/>
                <w:sz w:val="23"/>
                <w:szCs w:val="23"/>
              </w:rPr>
            </w:pPr>
            <w:r w:rsidRPr="00ED1F31">
              <w:rPr>
                <w:rFonts w:ascii="Arial" w:hAnsi="Arial"/>
                <w:b/>
                <w:sz w:val="23"/>
                <w:szCs w:val="23"/>
              </w:rPr>
              <w:t>Place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340" w:right="167" w:hanging="176"/>
              <w:rPr>
                <w:rFonts w:ascii="Arial" w:eastAsia="Arial" w:hAnsi="Arial" w:cs="Arial"/>
                <w:sz w:val="23"/>
                <w:szCs w:val="23"/>
              </w:rPr>
            </w:pPr>
            <w:r w:rsidRPr="00ED1F31">
              <w:rPr>
                <w:rFonts w:ascii="Arial" w:hAnsi="Arial"/>
                <w:b/>
                <w:color w:val="E36C0A"/>
                <w:sz w:val="23"/>
                <w:szCs w:val="23"/>
              </w:rPr>
              <w:t>Suicide and attempted suicide accidents</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pPr>
              <w:rPr>
                <w:rFonts w:ascii="Arial" w:hAnsi="Arial" w:cs="Arial"/>
                <w:sz w:val="23"/>
                <w:szCs w:val="23"/>
              </w:rPr>
            </w:pPr>
          </w:p>
        </w:tc>
      </w:tr>
      <w:tr w:rsidR="00BD7B71" w:rsidTr="00563654">
        <w:trPr>
          <w:trHeight w:hRule="exact" w:val="48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0" w:right="0"/>
              <w:jc w:val="center"/>
              <w:rPr>
                <w:rFonts w:ascii="Arial" w:eastAsia="Arial" w:hAnsi="Arial" w:cs="Arial"/>
                <w:sz w:val="20"/>
                <w:szCs w:val="20"/>
              </w:rPr>
            </w:pPr>
            <w:r w:rsidRPr="00ED1F31">
              <w:rPr>
                <w:rFonts w:ascii="Arial" w:hAnsi="Arial"/>
                <w:sz w:val="20"/>
              </w:rPr>
              <w:t>11/07</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03"/>
              <w:rPr>
                <w:rFonts w:ascii="Arial" w:eastAsia="Arial" w:hAnsi="Arial" w:cs="Arial"/>
                <w:sz w:val="20"/>
                <w:szCs w:val="20"/>
              </w:rPr>
            </w:pPr>
            <w:r w:rsidRPr="00ED1F31">
              <w:rPr>
                <w:rFonts w:ascii="Arial" w:hAnsi="Arial"/>
                <w:sz w:val="20"/>
              </w:rPr>
              <w:t>Berchem</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03"/>
              <w:rPr>
                <w:rFonts w:ascii="Arial" w:eastAsia="Arial" w:hAnsi="Arial" w:cs="Arial"/>
                <w:sz w:val="20"/>
                <w:szCs w:val="20"/>
              </w:rPr>
            </w:pPr>
            <w:r w:rsidRPr="00ED1F31">
              <w:rPr>
                <w:rFonts w:ascii="Arial" w:hAnsi="Arial"/>
                <w:sz w:val="20"/>
              </w:rPr>
              <w:t>Suicide</w:t>
            </w:r>
          </w:p>
        </w:tc>
        <w:tc>
          <w:tcPr>
            <w:tcW w:w="4536" w:type="dxa"/>
            <w:vMerge w:val="restart"/>
            <w:tcBorders>
              <w:top w:val="single" w:sz="4" w:space="0" w:color="000000"/>
              <w:left w:val="single" w:sz="4" w:space="0" w:color="000000"/>
              <w:right w:val="single" w:sz="4" w:space="0" w:color="000000"/>
            </w:tcBorders>
            <w:vAlign w:val="center"/>
          </w:tcPr>
          <w:p w:rsidR="00A113DC" w:rsidRPr="00ED1F31" w:rsidRDefault="00F46E39" w:rsidP="00563654">
            <w:pPr>
              <w:pStyle w:val="TableParagraph"/>
              <w:numPr>
                <w:ilvl w:val="0"/>
                <w:numId w:val="4"/>
              </w:numPr>
              <w:tabs>
                <w:tab w:val="left" w:pos="562"/>
              </w:tabs>
              <w:ind w:right="694" w:hanging="283"/>
              <w:rPr>
                <w:rFonts w:ascii="Arial" w:eastAsia="Arial" w:hAnsi="Arial" w:cs="Arial"/>
                <w:sz w:val="20"/>
                <w:szCs w:val="20"/>
              </w:rPr>
            </w:pPr>
            <w:r w:rsidRPr="00ED1F31">
              <w:rPr>
                <w:rFonts w:ascii="Arial" w:hAnsi="Arial"/>
                <w:sz w:val="20"/>
              </w:rPr>
              <w:t xml:space="preserve">The drivers underwent a </w:t>
            </w:r>
            <w:r w:rsidRPr="00ED1F31">
              <w:rPr>
                <w:rFonts w:ascii="Arial" w:hAnsi="Arial"/>
                <w:sz w:val="20"/>
              </w:rPr>
              <w:t>medical examination</w:t>
            </w:r>
          </w:p>
          <w:p w:rsidR="00A113DC" w:rsidRPr="00ED1F31" w:rsidRDefault="00F46E39" w:rsidP="00976521">
            <w:pPr>
              <w:pStyle w:val="TableParagraph"/>
              <w:numPr>
                <w:ilvl w:val="0"/>
                <w:numId w:val="4"/>
              </w:numPr>
              <w:tabs>
                <w:tab w:val="left" w:pos="562"/>
              </w:tabs>
              <w:spacing w:before="58"/>
              <w:ind w:right="89" w:hanging="283"/>
              <w:rPr>
                <w:rFonts w:ascii="Arial" w:eastAsia="Arial" w:hAnsi="Arial" w:cs="Arial"/>
                <w:sz w:val="20"/>
                <w:szCs w:val="20"/>
              </w:rPr>
            </w:pPr>
            <w:r w:rsidRPr="00ED1F31">
              <w:rPr>
                <w:rFonts w:ascii="Arial" w:hAnsi="Arial"/>
                <w:sz w:val="20"/>
              </w:rPr>
              <w:t>On resumption of duty, the driver was accompanied on the first service by the CEM coach</w:t>
            </w:r>
          </w:p>
        </w:tc>
      </w:tr>
      <w:tr w:rsidR="00BD7B71" w:rsidTr="00563654">
        <w:trPr>
          <w:trHeight w:hRule="exact" w:val="48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0" w:right="0"/>
              <w:jc w:val="center"/>
              <w:rPr>
                <w:rFonts w:ascii="Arial" w:eastAsia="Arial" w:hAnsi="Arial" w:cs="Arial"/>
                <w:sz w:val="20"/>
                <w:szCs w:val="20"/>
              </w:rPr>
            </w:pPr>
            <w:r w:rsidRPr="00ED1F31">
              <w:rPr>
                <w:rFonts w:ascii="Arial" w:hAnsi="Arial"/>
                <w:sz w:val="20"/>
              </w:rPr>
              <w:t>07/08</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03"/>
              <w:rPr>
                <w:rFonts w:ascii="Arial" w:eastAsia="Arial" w:hAnsi="Arial" w:cs="Arial"/>
                <w:sz w:val="20"/>
                <w:szCs w:val="20"/>
              </w:rPr>
            </w:pPr>
            <w:r w:rsidRPr="00ED1F31">
              <w:rPr>
                <w:rFonts w:ascii="Arial" w:hAnsi="Arial"/>
                <w:sz w:val="20"/>
              </w:rPr>
              <w:t>Lintgen</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03"/>
              <w:rPr>
                <w:rFonts w:ascii="Arial" w:eastAsia="Arial" w:hAnsi="Arial" w:cs="Arial"/>
                <w:sz w:val="20"/>
                <w:szCs w:val="20"/>
              </w:rPr>
            </w:pPr>
            <w:r w:rsidRPr="00ED1F31">
              <w:rPr>
                <w:rFonts w:ascii="Arial" w:hAnsi="Arial"/>
                <w:sz w:val="20"/>
              </w:rPr>
              <w:t>Suicide</w:t>
            </w:r>
          </w:p>
        </w:tc>
        <w:tc>
          <w:tcPr>
            <w:tcW w:w="4536" w:type="dxa"/>
            <w:vMerge/>
            <w:tcBorders>
              <w:left w:val="single" w:sz="4" w:space="0" w:color="000000"/>
              <w:right w:val="single" w:sz="4" w:space="0" w:color="000000"/>
            </w:tcBorders>
            <w:vAlign w:val="center"/>
          </w:tcPr>
          <w:p w:rsidR="00A113DC" w:rsidRPr="00ED1F31" w:rsidRDefault="00A113DC"/>
        </w:tc>
      </w:tr>
      <w:tr w:rsidR="00BD7B71" w:rsidTr="00563654">
        <w:trPr>
          <w:trHeight w:hRule="exact" w:val="36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spacing w:line="227" w:lineRule="exact"/>
              <w:ind w:left="0" w:right="0"/>
              <w:jc w:val="center"/>
              <w:rPr>
                <w:rFonts w:ascii="Arial" w:eastAsia="Arial" w:hAnsi="Arial" w:cs="Arial"/>
                <w:sz w:val="20"/>
                <w:szCs w:val="20"/>
              </w:rPr>
            </w:pPr>
            <w:r w:rsidRPr="00ED1F31">
              <w:rPr>
                <w:rFonts w:ascii="Arial" w:hAnsi="Arial"/>
                <w:sz w:val="20"/>
              </w:rPr>
              <w:t>08/09</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spacing w:line="227" w:lineRule="exact"/>
              <w:ind w:left="103"/>
              <w:rPr>
                <w:rFonts w:ascii="Arial" w:eastAsia="Arial" w:hAnsi="Arial" w:cs="Arial"/>
                <w:sz w:val="20"/>
                <w:szCs w:val="20"/>
              </w:rPr>
            </w:pPr>
            <w:r w:rsidRPr="00ED1F31">
              <w:rPr>
                <w:rFonts w:ascii="Arial" w:hAnsi="Arial"/>
                <w:sz w:val="20"/>
              </w:rPr>
              <w:t>Bascharage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spacing w:line="227" w:lineRule="exact"/>
              <w:ind w:left="103"/>
              <w:rPr>
                <w:rFonts w:ascii="Arial" w:eastAsia="Arial" w:hAnsi="Arial" w:cs="Arial"/>
                <w:sz w:val="20"/>
                <w:szCs w:val="20"/>
              </w:rPr>
            </w:pPr>
            <w:r w:rsidRPr="00ED1F31">
              <w:rPr>
                <w:rFonts w:ascii="Arial" w:hAnsi="Arial"/>
                <w:sz w:val="20"/>
              </w:rPr>
              <w:t>Suicide</w:t>
            </w:r>
          </w:p>
        </w:tc>
        <w:tc>
          <w:tcPr>
            <w:tcW w:w="4536" w:type="dxa"/>
            <w:vMerge/>
            <w:tcBorders>
              <w:left w:val="single" w:sz="4" w:space="0" w:color="000000"/>
              <w:right w:val="single" w:sz="4" w:space="0" w:color="000000"/>
            </w:tcBorders>
            <w:vAlign w:val="center"/>
          </w:tcPr>
          <w:p w:rsidR="00A113DC" w:rsidRPr="00ED1F31" w:rsidRDefault="00A113DC"/>
        </w:tc>
      </w:tr>
      <w:tr w:rsidR="00BD7B71" w:rsidTr="00563654">
        <w:trPr>
          <w:trHeight w:hRule="exact" w:val="36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spacing w:line="227" w:lineRule="exact"/>
              <w:ind w:left="0" w:right="0"/>
              <w:jc w:val="center"/>
              <w:rPr>
                <w:rFonts w:ascii="Arial" w:eastAsia="Arial" w:hAnsi="Arial" w:cs="Arial"/>
                <w:sz w:val="20"/>
                <w:szCs w:val="20"/>
              </w:rPr>
            </w:pPr>
            <w:r w:rsidRPr="00ED1F31">
              <w:rPr>
                <w:rFonts w:ascii="Arial" w:hAnsi="Arial"/>
                <w:sz w:val="20"/>
              </w:rPr>
              <w:t>22/09</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spacing w:line="227" w:lineRule="exact"/>
              <w:ind w:left="103"/>
              <w:rPr>
                <w:rFonts w:ascii="Arial" w:eastAsia="Arial" w:hAnsi="Arial" w:cs="Arial"/>
                <w:sz w:val="20"/>
                <w:szCs w:val="20"/>
              </w:rPr>
            </w:pPr>
            <w:r w:rsidRPr="00ED1F31">
              <w:rPr>
                <w:rFonts w:ascii="Arial" w:hAnsi="Arial"/>
                <w:sz w:val="20"/>
              </w:rPr>
              <w:t>Luxembourg</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spacing w:line="227" w:lineRule="exact"/>
              <w:ind w:left="103"/>
              <w:rPr>
                <w:rFonts w:ascii="Arial" w:eastAsia="Arial" w:hAnsi="Arial" w:cs="Arial"/>
                <w:sz w:val="20"/>
                <w:szCs w:val="20"/>
              </w:rPr>
            </w:pPr>
            <w:r w:rsidRPr="00ED1F31">
              <w:rPr>
                <w:rFonts w:ascii="Arial" w:hAnsi="Arial"/>
                <w:sz w:val="20"/>
              </w:rPr>
              <w:t>Suicide attempts</w:t>
            </w:r>
          </w:p>
        </w:tc>
        <w:tc>
          <w:tcPr>
            <w:tcW w:w="4536" w:type="dxa"/>
            <w:vMerge/>
            <w:tcBorders>
              <w:left w:val="single" w:sz="4" w:space="0" w:color="000000"/>
              <w:right w:val="single" w:sz="4" w:space="0" w:color="000000"/>
            </w:tcBorders>
            <w:vAlign w:val="center"/>
          </w:tcPr>
          <w:p w:rsidR="00A113DC" w:rsidRPr="00ED1F31" w:rsidRDefault="00A113DC"/>
        </w:tc>
      </w:tr>
      <w:tr w:rsidR="00BD7B71" w:rsidTr="00563654">
        <w:trPr>
          <w:trHeight w:hRule="exact" w:val="588"/>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0" w:right="0"/>
              <w:jc w:val="center"/>
              <w:rPr>
                <w:rFonts w:ascii="Arial" w:eastAsia="Arial" w:hAnsi="Arial" w:cs="Arial"/>
                <w:sz w:val="20"/>
                <w:szCs w:val="20"/>
              </w:rPr>
            </w:pPr>
            <w:r w:rsidRPr="00ED1F31">
              <w:rPr>
                <w:rFonts w:ascii="Arial" w:hAnsi="Arial"/>
                <w:sz w:val="20"/>
              </w:rPr>
              <w:t>06/10</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03" w:right="268"/>
              <w:rPr>
                <w:rFonts w:ascii="Arial" w:eastAsia="Arial" w:hAnsi="Arial" w:cs="Arial"/>
                <w:sz w:val="20"/>
                <w:szCs w:val="20"/>
              </w:rPr>
            </w:pPr>
            <w:r w:rsidRPr="00ED1F31">
              <w:rPr>
                <w:rFonts w:ascii="Arial" w:hAnsi="Arial"/>
                <w:sz w:val="20"/>
              </w:rPr>
              <w:t>Diekirch – Ettelbrück</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563654">
            <w:pPr>
              <w:pStyle w:val="TableParagraph"/>
              <w:ind w:left="103" w:right="0"/>
              <w:rPr>
                <w:rFonts w:ascii="Arial" w:eastAsia="Arial" w:hAnsi="Arial" w:cs="Arial"/>
                <w:sz w:val="20"/>
                <w:szCs w:val="20"/>
              </w:rPr>
            </w:pPr>
            <w:r w:rsidRPr="00ED1F31">
              <w:rPr>
                <w:rFonts w:ascii="Arial" w:hAnsi="Arial"/>
                <w:sz w:val="20"/>
              </w:rPr>
              <w:t xml:space="preserve">Accident involving person on </w:t>
            </w:r>
            <w:r w:rsidRPr="00ED1F31">
              <w:rPr>
                <w:rFonts w:ascii="Arial" w:hAnsi="Arial"/>
                <w:sz w:val="20"/>
              </w:rPr>
              <w:t>level crossing</w:t>
            </w:r>
          </w:p>
        </w:tc>
        <w:tc>
          <w:tcPr>
            <w:tcW w:w="4536" w:type="dxa"/>
            <w:vMerge/>
            <w:tcBorders>
              <w:left w:val="single" w:sz="4" w:space="0" w:color="000000"/>
              <w:bottom w:val="single" w:sz="4" w:space="0" w:color="000000"/>
              <w:right w:val="single" w:sz="4" w:space="0" w:color="000000"/>
            </w:tcBorders>
            <w:vAlign w:val="center"/>
          </w:tcPr>
          <w:p w:rsidR="00A113DC" w:rsidRPr="00ED1F31" w:rsidRDefault="00A113DC"/>
        </w:tc>
      </w:tr>
    </w:tbl>
    <w:p w:rsidR="00A113DC" w:rsidRPr="00ED1F31" w:rsidRDefault="00A113DC">
      <w:pPr>
        <w:sectPr w:rsidR="00A113DC" w:rsidRPr="00ED1F31" w:rsidSect="00205240">
          <w:pgSz w:w="11910" w:h="16840"/>
          <w:pgMar w:top="1397" w:right="1325" w:bottom="734" w:left="1339" w:header="0" w:footer="50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52"/>
        <w:gridCol w:w="1558"/>
        <w:gridCol w:w="3120"/>
        <w:gridCol w:w="4536"/>
      </w:tblGrid>
      <w:tr w:rsidR="00BD7B71" w:rsidTr="00F57230">
        <w:trPr>
          <w:trHeight w:hRule="exact" w:val="972"/>
        </w:trPr>
        <w:tc>
          <w:tcPr>
            <w:tcW w:w="5530" w:type="dxa"/>
            <w:gridSpan w:val="3"/>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425" w:right="1423" w:firstLine="33"/>
              <w:rPr>
                <w:rFonts w:ascii="Arial" w:eastAsia="Arial" w:hAnsi="Arial" w:cs="Arial"/>
                <w:sz w:val="23"/>
                <w:szCs w:val="23"/>
              </w:rPr>
            </w:pPr>
            <w:r w:rsidRPr="00ED1F31">
              <w:rPr>
                <w:rFonts w:ascii="Arial" w:hAnsi="Arial"/>
                <w:b/>
                <w:sz w:val="23"/>
                <w:szCs w:val="23"/>
              </w:rPr>
              <w:t>Accidents/precursors prompting measures to be taken</w:t>
            </w:r>
          </w:p>
        </w:tc>
        <w:tc>
          <w:tcPr>
            <w:tcW w:w="453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722"/>
              <w:rPr>
                <w:rFonts w:ascii="Arial" w:eastAsia="Arial" w:hAnsi="Arial" w:cs="Arial"/>
                <w:sz w:val="23"/>
                <w:szCs w:val="23"/>
              </w:rPr>
            </w:pPr>
            <w:r w:rsidRPr="00ED1F31">
              <w:rPr>
                <w:rFonts w:ascii="Arial" w:hAnsi="Arial"/>
                <w:b/>
                <w:sz w:val="23"/>
                <w:szCs w:val="23"/>
              </w:rPr>
              <w:t>Safety measures taken</w:t>
            </w:r>
          </w:p>
        </w:tc>
      </w:tr>
      <w:tr w:rsidR="00BD7B71" w:rsidTr="00F57230">
        <w:trPr>
          <w:trHeight w:hRule="exact" w:val="972"/>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3"/>
                <w:szCs w:val="23"/>
              </w:rPr>
            </w:pPr>
            <w:r w:rsidRPr="00ED1F31">
              <w:rPr>
                <w:rFonts w:ascii="Arial" w:hAnsi="Arial"/>
                <w:b/>
                <w:sz w:val="23"/>
                <w:szCs w:val="23"/>
              </w:rPr>
              <w:t>Date</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2"/>
              <w:jc w:val="center"/>
              <w:rPr>
                <w:rFonts w:ascii="Arial" w:eastAsia="Arial" w:hAnsi="Arial" w:cs="Arial"/>
                <w:sz w:val="23"/>
                <w:szCs w:val="23"/>
              </w:rPr>
            </w:pPr>
            <w:r w:rsidRPr="00ED1F31">
              <w:rPr>
                <w:rFonts w:ascii="Arial" w:hAnsi="Arial"/>
                <w:b/>
                <w:sz w:val="23"/>
                <w:szCs w:val="23"/>
              </w:rPr>
              <w:t>Place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508" w:right="106" w:hanging="401"/>
              <w:rPr>
                <w:rFonts w:ascii="Arial" w:eastAsia="Arial" w:hAnsi="Arial" w:cs="Arial"/>
                <w:sz w:val="23"/>
                <w:szCs w:val="23"/>
              </w:rPr>
            </w:pPr>
            <w:r w:rsidRPr="00ED1F31">
              <w:rPr>
                <w:rFonts w:ascii="Arial" w:hAnsi="Arial"/>
                <w:b/>
                <w:color w:val="E36C0A"/>
                <w:sz w:val="23"/>
                <w:szCs w:val="23"/>
              </w:rPr>
              <w:t>Signal passed at danger</w:t>
            </w:r>
          </w:p>
        </w:tc>
        <w:tc>
          <w:tcPr>
            <w:tcW w:w="4536" w:type="dxa"/>
            <w:vMerge w:val="restart"/>
            <w:tcBorders>
              <w:top w:val="single" w:sz="4" w:space="0" w:color="000000"/>
              <w:left w:val="single" w:sz="4" w:space="0" w:color="000000"/>
              <w:right w:val="single" w:sz="4" w:space="0" w:color="000000"/>
            </w:tcBorders>
            <w:vAlign w:val="center"/>
          </w:tcPr>
          <w:p w:rsidR="00A113DC" w:rsidRPr="00ED1F31" w:rsidRDefault="00F46E39">
            <w:pPr>
              <w:pStyle w:val="TableParagraph"/>
              <w:ind w:left="103"/>
              <w:rPr>
                <w:rFonts w:ascii="Arial" w:eastAsia="Calibri" w:hAnsi="Arial" w:cs="Arial"/>
                <w:sz w:val="20"/>
                <w:szCs w:val="20"/>
              </w:rPr>
            </w:pPr>
            <w:r w:rsidRPr="00ED1F31">
              <w:rPr>
                <w:rFonts w:ascii="Arial" w:hAnsi="Arial"/>
                <w:sz w:val="20"/>
              </w:rPr>
              <w:t>The following measures were taken immediately:</w:t>
            </w:r>
          </w:p>
          <w:p w:rsidR="00A113DC" w:rsidRPr="00ED1F31" w:rsidRDefault="00A113DC">
            <w:pPr>
              <w:pStyle w:val="TableParagraph"/>
              <w:rPr>
                <w:rFonts w:ascii="Arial" w:eastAsia="Calibri" w:hAnsi="Arial" w:cs="Arial"/>
                <w:sz w:val="17"/>
                <w:szCs w:val="17"/>
              </w:rPr>
            </w:pPr>
          </w:p>
          <w:p w:rsidR="00A113DC" w:rsidRPr="00ED1F31" w:rsidRDefault="00F46E39" w:rsidP="00976521">
            <w:pPr>
              <w:pStyle w:val="TableParagraph"/>
              <w:numPr>
                <w:ilvl w:val="0"/>
                <w:numId w:val="3"/>
              </w:numPr>
              <w:tabs>
                <w:tab w:val="left" w:pos="557"/>
              </w:tabs>
              <w:spacing w:line="228" w:lineRule="exact"/>
              <w:ind w:right="223" w:hanging="357"/>
              <w:rPr>
                <w:rFonts w:ascii="Arial" w:eastAsia="Arial" w:hAnsi="Arial" w:cs="Arial"/>
                <w:sz w:val="20"/>
                <w:szCs w:val="20"/>
              </w:rPr>
            </w:pPr>
            <w:r w:rsidRPr="00ED1F31">
              <w:rPr>
                <w:rFonts w:ascii="Arial" w:hAnsi="Arial"/>
                <w:sz w:val="20"/>
              </w:rPr>
              <w:t>The drivers (CEM) were relieved of their duties.</w:t>
            </w:r>
          </w:p>
          <w:p w:rsidR="00A113DC" w:rsidRPr="00ED1F31" w:rsidRDefault="00F46E39" w:rsidP="00976521">
            <w:pPr>
              <w:pStyle w:val="TableParagraph"/>
              <w:numPr>
                <w:ilvl w:val="0"/>
                <w:numId w:val="3"/>
              </w:numPr>
              <w:tabs>
                <w:tab w:val="left" w:pos="557"/>
              </w:tabs>
              <w:spacing w:line="235" w:lineRule="auto"/>
              <w:ind w:right="656" w:hanging="357"/>
              <w:rPr>
                <w:rFonts w:ascii="Arial" w:eastAsia="Arial" w:hAnsi="Arial" w:cs="Arial"/>
                <w:sz w:val="20"/>
                <w:szCs w:val="20"/>
              </w:rPr>
            </w:pPr>
            <w:r w:rsidRPr="00ED1F31">
              <w:rPr>
                <w:rFonts w:ascii="Arial" w:hAnsi="Arial"/>
                <w:sz w:val="20"/>
              </w:rPr>
              <w:t>The drivers</w:t>
            </w:r>
            <w:r w:rsidRPr="00ED1F31">
              <w:rPr>
                <w:rFonts w:ascii="Arial" w:hAnsi="Arial"/>
                <w:sz w:val="20"/>
              </w:rPr>
              <w:t xml:space="preserve"> underwent a medical examination or a psychological examination. The results of both examinations were positive.</w:t>
            </w:r>
          </w:p>
          <w:p w:rsidR="00A113DC" w:rsidRPr="00ED1F31" w:rsidRDefault="00F46E39" w:rsidP="00976521">
            <w:pPr>
              <w:pStyle w:val="TableParagraph"/>
              <w:numPr>
                <w:ilvl w:val="0"/>
                <w:numId w:val="3"/>
              </w:numPr>
              <w:tabs>
                <w:tab w:val="left" w:pos="557"/>
              </w:tabs>
              <w:spacing w:before="9" w:line="232" w:lineRule="auto"/>
              <w:ind w:right="89" w:hanging="357"/>
              <w:rPr>
                <w:rFonts w:ascii="Arial" w:eastAsia="Arial" w:hAnsi="Arial" w:cs="Arial"/>
                <w:sz w:val="20"/>
                <w:szCs w:val="20"/>
              </w:rPr>
            </w:pPr>
            <w:r w:rsidRPr="00ED1F31">
              <w:rPr>
                <w:rFonts w:ascii="Arial" w:hAnsi="Arial"/>
                <w:sz w:val="20"/>
              </w:rPr>
              <w:t>The drivers underwent an examination on a driving simulator by a CEM coach</w:t>
            </w:r>
          </w:p>
          <w:p w:rsidR="00A113DC" w:rsidRPr="00ED1F31" w:rsidRDefault="00F46E39" w:rsidP="00976521">
            <w:pPr>
              <w:pStyle w:val="TableParagraph"/>
              <w:numPr>
                <w:ilvl w:val="0"/>
                <w:numId w:val="3"/>
              </w:numPr>
              <w:tabs>
                <w:tab w:val="left" w:pos="557"/>
              </w:tabs>
              <w:spacing w:before="7" w:line="232" w:lineRule="auto"/>
              <w:ind w:right="89" w:hanging="357"/>
              <w:rPr>
                <w:rFonts w:ascii="Arial" w:eastAsia="Arial" w:hAnsi="Arial" w:cs="Arial"/>
                <w:sz w:val="20"/>
                <w:szCs w:val="20"/>
              </w:rPr>
            </w:pPr>
            <w:r w:rsidRPr="00ED1F31">
              <w:rPr>
                <w:rFonts w:ascii="Arial" w:hAnsi="Arial"/>
                <w:sz w:val="20"/>
              </w:rPr>
              <w:t>On resumption of duty, the driver was accompanied on the first servi</w:t>
            </w:r>
            <w:r w:rsidRPr="00ED1F31">
              <w:rPr>
                <w:rFonts w:ascii="Arial" w:hAnsi="Arial"/>
                <w:sz w:val="20"/>
              </w:rPr>
              <w:t>ce by the CEM coach.</w:t>
            </w:r>
          </w:p>
          <w:p w:rsidR="00A113DC" w:rsidRPr="00ED1F31" w:rsidRDefault="00F46E39" w:rsidP="00976521">
            <w:pPr>
              <w:pStyle w:val="TableParagraph"/>
              <w:numPr>
                <w:ilvl w:val="0"/>
                <w:numId w:val="3"/>
              </w:numPr>
              <w:tabs>
                <w:tab w:val="left" w:pos="557"/>
              </w:tabs>
              <w:spacing w:before="3" w:line="239" w:lineRule="exact"/>
              <w:ind w:hanging="357"/>
              <w:rPr>
                <w:rFonts w:ascii="Arial" w:eastAsia="Arial" w:hAnsi="Arial" w:cs="Arial"/>
                <w:sz w:val="20"/>
                <w:szCs w:val="20"/>
              </w:rPr>
            </w:pPr>
            <w:r w:rsidRPr="00ED1F31">
              <w:rPr>
                <w:rFonts w:ascii="Arial" w:hAnsi="Arial"/>
                <w:sz w:val="20"/>
              </w:rPr>
              <w:t>The accompaniment was successful.</w:t>
            </w:r>
          </w:p>
          <w:p w:rsidR="00A113DC" w:rsidRPr="00ED1F31" w:rsidRDefault="00F46E39" w:rsidP="00976521">
            <w:pPr>
              <w:pStyle w:val="TableParagraph"/>
              <w:numPr>
                <w:ilvl w:val="0"/>
                <w:numId w:val="3"/>
              </w:numPr>
              <w:tabs>
                <w:tab w:val="left" w:pos="557"/>
              </w:tabs>
              <w:spacing w:before="2" w:line="228" w:lineRule="exact"/>
              <w:ind w:right="179" w:hanging="357"/>
              <w:rPr>
                <w:rFonts w:ascii="Arial" w:eastAsia="Arial" w:hAnsi="Arial" w:cs="Arial"/>
                <w:sz w:val="20"/>
                <w:szCs w:val="20"/>
              </w:rPr>
            </w:pPr>
            <w:r w:rsidRPr="00ED1F31">
              <w:rPr>
                <w:rFonts w:ascii="Arial" w:hAnsi="Arial"/>
                <w:sz w:val="20"/>
              </w:rPr>
              <w:t>Signals passed at danger are mentioned in ongoing training courses</w:t>
            </w:r>
          </w:p>
        </w:tc>
      </w:tr>
      <w:tr w:rsidR="00BD7B71" w:rsidTr="00F57230">
        <w:trPr>
          <w:trHeight w:hRule="exact" w:val="638"/>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17/02</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331"/>
              <w:rPr>
                <w:rFonts w:ascii="Arial" w:eastAsia="Arial" w:hAnsi="Arial" w:cs="Arial"/>
                <w:sz w:val="20"/>
                <w:szCs w:val="20"/>
              </w:rPr>
            </w:pPr>
            <w:r w:rsidRPr="00ED1F31">
              <w:rPr>
                <w:rFonts w:ascii="Arial" w:hAnsi="Arial"/>
                <w:sz w:val="20"/>
              </w:rPr>
              <w:t>Luxembourg Hollerich</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41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26/02</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Luxembourg</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641"/>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26/03</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268"/>
              <w:rPr>
                <w:rFonts w:ascii="Arial" w:eastAsia="Arial" w:hAnsi="Arial" w:cs="Arial"/>
                <w:sz w:val="20"/>
                <w:szCs w:val="20"/>
              </w:rPr>
            </w:pPr>
            <w:r w:rsidRPr="00ED1F31">
              <w:rPr>
                <w:rFonts w:ascii="Arial" w:hAnsi="Arial"/>
                <w:sz w:val="20"/>
              </w:rPr>
              <w:t>Volmerange-les-Mines *</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Train</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638"/>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14/04</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221"/>
              <w:rPr>
                <w:rFonts w:ascii="Arial" w:eastAsia="Arial" w:hAnsi="Arial" w:cs="Arial"/>
                <w:sz w:val="20"/>
                <w:szCs w:val="20"/>
              </w:rPr>
            </w:pPr>
            <w:r w:rsidRPr="00ED1F31">
              <w:rPr>
                <w:rFonts w:ascii="Arial" w:hAnsi="Arial"/>
                <w:sz w:val="20"/>
              </w:rPr>
              <w:t>Pétange sect. Rodange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Train</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41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11/07</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Berchem</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41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11/08</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Bascharage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641"/>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20/09</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297"/>
              <w:rPr>
                <w:rFonts w:ascii="Arial" w:eastAsia="Arial" w:hAnsi="Arial" w:cs="Arial"/>
                <w:sz w:val="20"/>
                <w:szCs w:val="20"/>
              </w:rPr>
            </w:pPr>
            <w:r w:rsidRPr="00ED1F31">
              <w:rPr>
                <w:rFonts w:ascii="Arial" w:hAnsi="Arial"/>
                <w:sz w:val="20"/>
              </w:rPr>
              <w:t>Bettembourg station</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410"/>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25/10</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Bettembourg</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638"/>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17/11</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176"/>
              <w:rPr>
                <w:rFonts w:ascii="Arial" w:eastAsia="Arial" w:hAnsi="Arial" w:cs="Arial"/>
                <w:sz w:val="20"/>
                <w:szCs w:val="20"/>
              </w:rPr>
            </w:pPr>
            <w:r w:rsidRPr="00ED1F31">
              <w:rPr>
                <w:rFonts w:ascii="Arial" w:hAnsi="Arial"/>
                <w:sz w:val="20"/>
              </w:rPr>
              <w:t>Bettembourg – marshalling yard</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641"/>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23/11</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297"/>
              <w:rPr>
                <w:rFonts w:ascii="Arial" w:eastAsia="Arial" w:hAnsi="Arial" w:cs="Arial"/>
                <w:sz w:val="20"/>
                <w:szCs w:val="20"/>
              </w:rPr>
            </w:pPr>
            <w:r w:rsidRPr="00ED1F31">
              <w:rPr>
                <w:rFonts w:ascii="Arial" w:hAnsi="Arial"/>
                <w:sz w:val="20"/>
              </w:rPr>
              <w:t>Zoufftgen – Bettembourg</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Shunting</w:t>
            </w:r>
          </w:p>
        </w:tc>
        <w:tc>
          <w:tcPr>
            <w:tcW w:w="4536" w:type="dxa"/>
            <w:vMerge/>
            <w:tcBorders>
              <w:left w:val="single" w:sz="4" w:space="0" w:color="000000"/>
              <w:right w:val="single" w:sz="4" w:space="0" w:color="000000"/>
            </w:tcBorders>
            <w:vAlign w:val="center"/>
          </w:tcPr>
          <w:p w:rsidR="00A113DC" w:rsidRPr="00ED1F31" w:rsidRDefault="00A113DC">
            <w:pPr>
              <w:rPr>
                <w:rFonts w:ascii="Arial" w:hAnsi="Arial" w:cs="Arial"/>
              </w:rPr>
            </w:pPr>
          </w:p>
        </w:tc>
      </w:tr>
      <w:tr w:rsidR="00BD7B71" w:rsidTr="00F57230">
        <w:trPr>
          <w:trHeight w:hRule="exact" w:val="641"/>
        </w:trPr>
        <w:tc>
          <w:tcPr>
            <w:tcW w:w="85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0" w:right="0"/>
              <w:jc w:val="center"/>
              <w:rPr>
                <w:rFonts w:ascii="Arial" w:eastAsia="Arial" w:hAnsi="Arial" w:cs="Arial"/>
                <w:sz w:val="20"/>
                <w:szCs w:val="20"/>
              </w:rPr>
            </w:pPr>
            <w:r w:rsidRPr="00ED1F31">
              <w:rPr>
                <w:rFonts w:ascii="Arial" w:hAnsi="Arial"/>
                <w:sz w:val="20"/>
              </w:rPr>
              <w:t>21/12</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ight="221"/>
              <w:rPr>
                <w:rFonts w:ascii="Arial" w:eastAsia="Arial" w:hAnsi="Arial" w:cs="Arial"/>
                <w:sz w:val="20"/>
                <w:szCs w:val="20"/>
              </w:rPr>
            </w:pPr>
            <w:r w:rsidRPr="00ED1F31">
              <w:rPr>
                <w:rFonts w:ascii="Arial" w:hAnsi="Arial"/>
                <w:sz w:val="20"/>
              </w:rPr>
              <w:t>Pétange sect. Rodange</w:t>
            </w:r>
          </w:p>
        </w:tc>
        <w:tc>
          <w:tcPr>
            <w:tcW w:w="31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ind w:left="103"/>
              <w:rPr>
                <w:rFonts w:ascii="Arial" w:eastAsia="Arial" w:hAnsi="Arial" w:cs="Arial"/>
                <w:sz w:val="20"/>
                <w:szCs w:val="20"/>
              </w:rPr>
            </w:pPr>
            <w:r w:rsidRPr="00ED1F31">
              <w:rPr>
                <w:rFonts w:ascii="Arial" w:hAnsi="Arial"/>
                <w:sz w:val="20"/>
              </w:rPr>
              <w:t>Train</w:t>
            </w:r>
          </w:p>
        </w:tc>
        <w:tc>
          <w:tcPr>
            <w:tcW w:w="4536" w:type="dxa"/>
            <w:vMerge/>
            <w:tcBorders>
              <w:left w:val="single" w:sz="4" w:space="0" w:color="000000"/>
              <w:bottom w:val="single" w:sz="4" w:space="0" w:color="000000"/>
              <w:right w:val="single" w:sz="4" w:space="0" w:color="000000"/>
            </w:tcBorders>
            <w:vAlign w:val="center"/>
          </w:tcPr>
          <w:p w:rsidR="00A113DC" w:rsidRPr="00ED1F31" w:rsidRDefault="00A113DC">
            <w:pPr>
              <w:rPr>
                <w:rFonts w:ascii="Arial" w:hAnsi="Arial" w:cs="Arial"/>
              </w:rPr>
            </w:pPr>
          </w:p>
        </w:tc>
      </w:tr>
    </w:tbl>
    <w:p w:rsidR="00A113DC" w:rsidRPr="00ED1F31" w:rsidRDefault="00F46E39" w:rsidP="00460B7F">
      <w:pPr>
        <w:pStyle w:val="Quote"/>
        <w:ind w:left="142"/>
      </w:pPr>
      <w:r w:rsidRPr="00ED1F31">
        <w:t>*Incident on French territory, not counted in national statistics</w:t>
      </w:r>
    </w:p>
    <w:p w:rsidR="00A113DC" w:rsidRPr="00ED1F31" w:rsidRDefault="00F46E39" w:rsidP="00460B7F">
      <w:pPr>
        <w:pageBreakBefore/>
        <w:rPr>
          <w:rFonts w:ascii="Arial" w:hAnsi="Arial" w:cs="Arial"/>
          <w:b/>
          <w:sz w:val="22"/>
        </w:rPr>
      </w:pPr>
      <w:r w:rsidRPr="00ED1F31">
        <w:rPr>
          <w:rFonts w:ascii="Arial" w:hAnsi="Arial"/>
          <w:b/>
          <w:sz w:val="22"/>
        </w:rPr>
        <w:t>Safety measures taken for other reasons</w:t>
      </w:r>
    </w:p>
    <w:p w:rsidR="00A113DC" w:rsidRPr="00ED1F31" w:rsidRDefault="00A113DC">
      <w:pPr>
        <w:rPr>
          <w:rFonts w:ascii="Arial" w:eastAsia="Arial" w:hAnsi="Arial" w:cs="Arial"/>
          <w:b/>
          <w:bCs/>
          <w:sz w:val="20"/>
          <w:szCs w:val="20"/>
        </w:rPr>
      </w:pPr>
    </w:p>
    <w:p w:rsidR="00A113DC" w:rsidRPr="00ED1F31" w:rsidRDefault="00A113DC">
      <w:pPr>
        <w:rPr>
          <w:rFonts w:ascii="Arial" w:eastAsia="Arial" w:hAnsi="Arial" w:cs="Arial"/>
          <w:b/>
          <w:bCs/>
          <w:sz w:val="20"/>
          <w:szCs w:val="20"/>
        </w:rPr>
      </w:pPr>
    </w:p>
    <w:p w:rsidR="00AD038F" w:rsidRPr="00ED1F31" w:rsidRDefault="00AD038F">
      <w:pPr>
        <w:rPr>
          <w:rFonts w:ascii="Arial" w:eastAsia="Arial" w:hAnsi="Arial" w:cs="Arial"/>
          <w:b/>
          <w:bCs/>
          <w:sz w:val="20"/>
          <w:szCs w:val="20"/>
        </w:rPr>
      </w:pPr>
    </w:p>
    <w:tbl>
      <w:tblPr>
        <w:tblW w:w="10208" w:type="dxa"/>
        <w:tblInd w:w="111" w:type="dxa"/>
        <w:tblLayout w:type="fixed"/>
        <w:tblCellMar>
          <w:left w:w="0" w:type="dxa"/>
          <w:right w:w="0" w:type="dxa"/>
        </w:tblCellMar>
        <w:tblLook w:val="01E0" w:firstRow="1" w:lastRow="1" w:firstColumn="1" w:lastColumn="1" w:noHBand="0" w:noVBand="0"/>
      </w:tblPr>
      <w:tblGrid>
        <w:gridCol w:w="2410"/>
        <w:gridCol w:w="2976"/>
        <w:gridCol w:w="4822"/>
      </w:tblGrid>
      <w:tr w:rsidR="00BD7B71" w:rsidTr="00AD038F">
        <w:trPr>
          <w:trHeight w:hRule="exact" w:val="1078"/>
        </w:trPr>
        <w:tc>
          <w:tcPr>
            <w:tcW w:w="241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5"/>
              <w:ind w:left="136" w:right="593"/>
              <w:rPr>
                <w:rFonts w:ascii="Arial" w:eastAsia="Arial" w:hAnsi="Arial" w:cs="Arial"/>
                <w:sz w:val="23"/>
                <w:szCs w:val="23"/>
              </w:rPr>
            </w:pPr>
            <w:r w:rsidRPr="00ED1F31">
              <w:rPr>
                <w:rFonts w:ascii="Arial" w:hAnsi="Arial"/>
                <w:b/>
                <w:sz w:val="23"/>
                <w:szCs w:val="23"/>
              </w:rPr>
              <w:t>Description of the cause</w:t>
            </w:r>
          </w:p>
        </w:tc>
        <w:tc>
          <w:tcPr>
            <w:tcW w:w="2976"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5"/>
              <w:ind w:left="136" w:right="704"/>
              <w:rPr>
                <w:rFonts w:ascii="Arial" w:eastAsia="Arial" w:hAnsi="Arial" w:cs="Arial"/>
                <w:sz w:val="23"/>
                <w:szCs w:val="23"/>
              </w:rPr>
            </w:pPr>
            <w:r w:rsidRPr="00ED1F31">
              <w:rPr>
                <w:rFonts w:ascii="Arial" w:hAnsi="Arial"/>
                <w:b/>
                <w:sz w:val="23"/>
                <w:szCs w:val="23"/>
              </w:rPr>
              <w:t>Description of the area concerned</w:t>
            </w:r>
          </w:p>
        </w:tc>
        <w:tc>
          <w:tcPr>
            <w:tcW w:w="48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5"/>
              <w:ind w:left="136"/>
              <w:rPr>
                <w:rFonts w:ascii="Arial" w:eastAsia="Arial" w:hAnsi="Arial" w:cs="Arial"/>
                <w:sz w:val="23"/>
                <w:szCs w:val="23"/>
              </w:rPr>
            </w:pPr>
            <w:r w:rsidRPr="00ED1F31">
              <w:rPr>
                <w:rFonts w:ascii="Arial" w:hAnsi="Arial"/>
                <w:b/>
                <w:sz w:val="23"/>
                <w:szCs w:val="23"/>
              </w:rPr>
              <w:t>Safety measures taken</w:t>
            </w:r>
          </w:p>
        </w:tc>
      </w:tr>
      <w:tr w:rsidR="00BD7B71" w:rsidTr="00AD038F">
        <w:trPr>
          <w:trHeight w:hRule="exact" w:val="1860"/>
        </w:trPr>
        <w:tc>
          <w:tcPr>
            <w:tcW w:w="241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9"/>
              <w:ind w:left="103"/>
              <w:rPr>
                <w:rFonts w:ascii="Arial" w:eastAsia="Arial" w:hAnsi="Arial" w:cs="Arial"/>
                <w:sz w:val="20"/>
                <w:szCs w:val="20"/>
              </w:rPr>
            </w:pPr>
            <w:r w:rsidRPr="00ED1F31">
              <w:rPr>
                <w:rFonts w:ascii="Arial" w:hAnsi="Arial"/>
                <w:sz w:val="20"/>
              </w:rPr>
              <w:t>Feedback from IM 1/2016</w:t>
            </w:r>
          </w:p>
          <w:p w:rsidR="00A113DC" w:rsidRPr="00ED1F31" w:rsidRDefault="00F46E39">
            <w:pPr>
              <w:pStyle w:val="TableParagraph"/>
              <w:spacing w:before="118"/>
              <w:ind w:left="103" w:right="763"/>
              <w:rPr>
                <w:rFonts w:ascii="Arial" w:eastAsia="Arial" w:hAnsi="Arial" w:cs="Arial"/>
                <w:sz w:val="20"/>
                <w:szCs w:val="20"/>
              </w:rPr>
            </w:pPr>
            <w:r w:rsidRPr="00ED1F31">
              <w:rPr>
                <w:rFonts w:ascii="Arial" w:hAnsi="Arial"/>
                <w:sz w:val="20"/>
              </w:rPr>
              <w:t>Incident on 30/05/16 at Mersch/Cruchten</w:t>
            </w:r>
          </w:p>
        </w:tc>
        <w:tc>
          <w:tcPr>
            <w:tcW w:w="2976"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9"/>
              <w:ind w:left="103" w:right="293"/>
              <w:rPr>
                <w:rFonts w:ascii="Arial" w:eastAsia="Arial" w:hAnsi="Arial" w:cs="Arial"/>
                <w:sz w:val="20"/>
                <w:szCs w:val="20"/>
              </w:rPr>
            </w:pPr>
            <w:r w:rsidRPr="00ED1F31">
              <w:rPr>
                <w:rFonts w:ascii="Arial" w:hAnsi="Arial"/>
                <w:sz w:val="20"/>
              </w:rPr>
              <w:t>Slippage of a catenary post at kilometre post 37.300</w:t>
            </w:r>
          </w:p>
          <w:p w:rsidR="00A113DC" w:rsidRPr="00ED1F31" w:rsidRDefault="00F46E39">
            <w:pPr>
              <w:pStyle w:val="TableParagraph"/>
              <w:spacing w:line="228" w:lineRule="exact"/>
              <w:ind w:left="136"/>
              <w:rPr>
                <w:rFonts w:ascii="Arial" w:eastAsia="Arial" w:hAnsi="Arial" w:cs="Arial"/>
                <w:sz w:val="20"/>
                <w:szCs w:val="20"/>
              </w:rPr>
            </w:pPr>
            <w:r w:rsidRPr="00ED1F31">
              <w:rPr>
                <w:rFonts w:ascii="Arial" w:hAnsi="Arial"/>
                <w:sz w:val="20"/>
              </w:rPr>
              <w:t>3609 passenger train in distress due to power supply fault</w:t>
            </w:r>
            <w:r w:rsidRPr="00ED1F31">
              <w:rPr>
                <w:rFonts w:ascii="Arial" w:eastAsia="Arial" w:hAnsi="Arial" w:cs="Arial"/>
                <w:sz w:val="20"/>
                <w:szCs w:val="20"/>
              </w:rPr>
              <w:br/>
            </w:r>
            <w:r w:rsidRPr="00ED1F31">
              <w:rPr>
                <w:rFonts w:ascii="Arial" w:hAnsi="Arial"/>
                <w:sz w:val="20"/>
              </w:rPr>
              <w:t>IM and RU report 2 uncertainties:</w:t>
            </w:r>
          </w:p>
        </w:tc>
        <w:tc>
          <w:tcPr>
            <w:tcW w:w="48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62"/>
              <w:ind w:left="136"/>
              <w:rPr>
                <w:rFonts w:ascii="Arial" w:eastAsia="Arial" w:hAnsi="Arial" w:cs="Arial"/>
                <w:sz w:val="20"/>
                <w:szCs w:val="20"/>
              </w:rPr>
            </w:pPr>
            <w:r w:rsidRPr="00ED1F31">
              <w:rPr>
                <w:rFonts w:ascii="Arial" w:hAnsi="Arial"/>
                <w:sz w:val="20"/>
                <w:u w:val="single" w:color="000000"/>
              </w:rPr>
              <w:t>Regulatory uncertainty:</w:t>
            </w:r>
          </w:p>
          <w:p w:rsidR="00A113DC" w:rsidRPr="00ED1F31" w:rsidRDefault="00F46E39">
            <w:pPr>
              <w:pStyle w:val="TableParagraph"/>
              <w:spacing w:before="34" w:line="276" w:lineRule="auto"/>
              <w:ind w:left="136" w:right="473"/>
              <w:rPr>
                <w:rFonts w:ascii="Arial" w:eastAsia="Arial" w:hAnsi="Arial" w:cs="Arial"/>
                <w:sz w:val="20"/>
                <w:szCs w:val="20"/>
              </w:rPr>
            </w:pPr>
            <w:r w:rsidRPr="00ED1F31">
              <w:rPr>
                <w:rFonts w:ascii="Arial" w:hAnsi="Arial"/>
                <w:sz w:val="20"/>
              </w:rPr>
              <w:t>Clarification needs to be given of the moment when the track changes from ‘emergency t</w:t>
            </w:r>
            <w:r w:rsidRPr="00ED1F31">
              <w:rPr>
                <w:rFonts w:ascii="Arial" w:hAnsi="Arial"/>
                <w:sz w:val="20"/>
              </w:rPr>
              <w:t>rack’ operation to</w:t>
            </w:r>
          </w:p>
          <w:p w:rsidR="00A113DC" w:rsidRPr="00ED1F31" w:rsidRDefault="00F46E39">
            <w:pPr>
              <w:pStyle w:val="TableParagraph"/>
              <w:ind w:left="136"/>
              <w:rPr>
                <w:rFonts w:ascii="Arial" w:eastAsia="Arial" w:hAnsi="Arial" w:cs="Arial"/>
                <w:sz w:val="20"/>
                <w:szCs w:val="20"/>
              </w:rPr>
            </w:pPr>
            <w:r w:rsidRPr="00ED1F31">
              <w:rPr>
                <w:rFonts w:ascii="Arial" w:hAnsi="Arial"/>
                <w:sz w:val="20"/>
              </w:rPr>
              <w:t>‘working track’ mode</w:t>
            </w:r>
          </w:p>
        </w:tc>
      </w:tr>
      <w:tr w:rsidR="00BD7B71" w:rsidTr="00E13DD9">
        <w:trPr>
          <w:trHeight w:hRule="exact" w:val="1370"/>
        </w:trPr>
        <w:tc>
          <w:tcPr>
            <w:tcW w:w="241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7"/>
              <w:ind w:left="103"/>
              <w:rPr>
                <w:rFonts w:ascii="Arial" w:eastAsia="Arial" w:hAnsi="Arial" w:cs="Arial"/>
                <w:sz w:val="20"/>
                <w:szCs w:val="20"/>
              </w:rPr>
            </w:pPr>
            <w:r w:rsidRPr="00ED1F31">
              <w:rPr>
                <w:rFonts w:ascii="Arial" w:hAnsi="Arial"/>
                <w:sz w:val="20"/>
              </w:rPr>
              <w:t>Feedback from IM 2/2016</w:t>
            </w:r>
          </w:p>
          <w:p w:rsidR="00A113DC" w:rsidRPr="00ED1F31" w:rsidRDefault="00F46E39">
            <w:pPr>
              <w:pStyle w:val="TableParagraph"/>
              <w:ind w:left="103" w:right="194"/>
              <w:rPr>
                <w:rFonts w:ascii="Arial" w:eastAsia="Arial" w:hAnsi="Arial" w:cs="Arial"/>
                <w:sz w:val="20"/>
                <w:szCs w:val="20"/>
              </w:rPr>
            </w:pPr>
            <w:r w:rsidRPr="00ED1F31">
              <w:rPr>
                <w:rFonts w:ascii="Arial" w:hAnsi="Arial"/>
                <w:sz w:val="20"/>
              </w:rPr>
              <w:t>Incident on 13/09/16 Repair/Maintenance Centre</w:t>
            </w:r>
          </w:p>
        </w:tc>
        <w:tc>
          <w:tcPr>
            <w:tcW w:w="2976"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7"/>
              <w:ind w:left="103" w:right="327"/>
              <w:rPr>
                <w:rFonts w:ascii="Arial" w:eastAsia="Arial" w:hAnsi="Arial" w:cs="Arial"/>
                <w:sz w:val="20"/>
                <w:szCs w:val="20"/>
              </w:rPr>
            </w:pPr>
            <w:r w:rsidRPr="00ED1F31">
              <w:rPr>
                <w:rFonts w:ascii="Arial" w:hAnsi="Arial"/>
                <w:sz w:val="20"/>
              </w:rPr>
              <w:t>Near derailment as a result of traffic on two divisions</w:t>
            </w:r>
          </w:p>
        </w:tc>
        <w:tc>
          <w:tcPr>
            <w:tcW w:w="48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60" w:line="278" w:lineRule="auto"/>
              <w:ind w:left="136" w:right="228"/>
              <w:rPr>
                <w:rFonts w:ascii="Arial" w:eastAsia="Arial" w:hAnsi="Arial" w:cs="Arial"/>
                <w:sz w:val="20"/>
                <w:szCs w:val="20"/>
              </w:rPr>
            </w:pPr>
            <w:r w:rsidRPr="00ED1F31">
              <w:rPr>
                <w:rFonts w:ascii="Arial" w:hAnsi="Arial"/>
                <w:sz w:val="20"/>
              </w:rPr>
              <w:t>Clarification of regulations to be applied in this type of situation</w:t>
            </w:r>
          </w:p>
        </w:tc>
      </w:tr>
      <w:tr w:rsidR="00BD7B71" w:rsidTr="00E13DD9">
        <w:trPr>
          <w:trHeight w:hRule="exact" w:val="2552"/>
        </w:trPr>
        <w:tc>
          <w:tcPr>
            <w:tcW w:w="241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7"/>
              <w:ind w:left="103"/>
              <w:rPr>
                <w:rFonts w:ascii="Arial" w:eastAsia="Arial" w:hAnsi="Arial" w:cs="Arial"/>
                <w:sz w:val="20"/>
                <w:szCs w:val="20"/>
              </w:rPr>
            </w:pPr>
            <w:r w:rsidRPr="00ED1F31">
              <w:rPr>
                <w:rFonts w:ascii="Arial" w:hAnsi="Arial"/>
                <w:sz w:val="20"/>
              </w:rPr>
              <w:t xml:space="preserve">Feedback from IM </w:t>
            </w:r>
            <w:r w:rsidRPr="00ED1F31">
              <w:rPr>
                <w:rFonts w:ascii="Arial" w:hAnsi="Arial"/>
                <w:sz w:val="20"/>
              </w:rPr>
              <w:t>3/2016</w:t>
            </w:r>
          </w:p>
          <w:p w:rsidR="00A113DC" w:rsidRPr="00ED1F31" w:rsidRDefault="00F46E39">
            <w:pPr>
              <w:pStyle w:val="TableParagraph"/>
              <w:ind w:left="103"/>
              <w:rPr>
                <w:rFonts w:ascii="Arial" w:eastAsia="Arial" w:hAnsi="Arial" w:cs="Arial"/>
                <w:sz w:val="20"/>
                <w:szCs w:val="20"/>
              </w:rPr>
            </w:pPr>
            <w:r w:rsidRPr="00ED1F31">
              <w:rPr>
                <w:rFonts w:ascii="Arial" w:hAnsi="Arial"/>
                <w:sz w:val="20"/>
              </w:rPr>
              <w:t>Incident on 20/09/16</w:t>
            </w:r>
          </w:p>
        </w:tc>
        <w:tc>
          <w:tcPr>
            <w:tcW w:w="2976"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7"/>
              <w:ind w:left="103" w:right="394"/>
              <w:rPr>
                <w:rFonts w:ascii="Arial" w:eastAsia="Arial" w:hAnsi="Arial" w:cs="Arial"/>
                <w:sz w:val="20"/>
                <w:szCs w:val="20"/>
              </w:rPr>
            </w:pPr>
            <w:r w:rsidRPr="00ED1F31">
              <w:rPr>
                <w:rFonts w:ascii="Arial" w:hAnsi="Arial"/>
                <w:sz w:val="20"/>
              </w:rPr>
              <w:t>Fixed barred track signal passed at Bettembourg station</w:t>
            </w:r>
          </w:p>
        </w:tc>
        <w:tc>
          <w:tcPr>
            <w:tcW w:w="48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117"/>
              <w:ind w:left="103" w:right="142"/>
              <w:rPr>
                <w:rFonts w:ascii="Arial" w:eastAsia="Arial" w:hAnsi="Arial" w:cs="Arial"/>
                <w:sz w:val="20"/>
                <w:szCs w:val="20"/>
              </w:rPr>
            </w:pPr>
            <w:r w:rsidRPr="00ED1F31">
              <w:rPr>
                <w:rFonts w:ascii="Arial" w:hAnsi="Arial"/>
                <w:sz w:val="20"/>
              </w:rPr>
              <w:t>Detailed joint analysis of the incident with necessary explanations by the investigators for the two staff members concerned</w:t>
            </w:r>
          </w:p>
          <w:p w:rsidR="00A113DC" w:rsidRPr="00ED1F31" w:rsidRDefault="00F46E39" w:rsidP="00976521">
            <w:pPr>
              <w:pStyle w:val="TableParagraph"/>
              <w:numPr>
                <w:ilvl w:val="0"/>
                <w:numId w:val="2"/>
              </w:numPr>
              <w:tabs>
                <w:tab w:val="left" w:pos="226"/>
              </w:tabs>
              <w:spacing w:before="118"/>
              <w:ind w:right="610" w:firstLine="0"/>
              <w:rPr>
                <w:rFonts w:ascii="Arial" w:eastAsia="Arial" w:hAnsi="Arial" w:cs="Arial"/>
                <w:sz w:val="20"/>
                <w:szCs w:val="20"/>
              </w:rPr>
            </w:pPr>
            <w:r w:rsidRPr="00ED1F31">
              <w:rPr>
                <w:rFonts w:ascii="Arial" w:hAnsi="Arial"/>
                <w:sz w:val="20"/>
              </w:rPr>
              <w:t xml:space="preserve">Awareness training on communication during </w:t>
            </w:r>
            <w:r w:rsidRPr="00ED1F31">
              <w:rPr>
                <w:rFonts w:ascii="Arial" w:hAnsi="Arial"/>
                <w:sz w:val="20"/>
              </w:rPr>
              <w:t>ongoing training (refresher courses) by EI and MI</w:t>
            </w:r>
          </w:p>
          <w:p w:rsidR="00A113DC" w:rsidRPr="00ED1F31" w:rsidRDefault="00F46E39" w:rsidP="00976521">
            <w:pPr>
              <w:pStyle w:val="TableParagraph"/>
              <w:numPr>
                <w:ilvl w:val="0"/>
                <w:numId w:val="2"/>
              </w:numPr>
              <w:tabs>
                <w:tab w:val="left" w:pos="226"/>
              </w:tabs>
              <w:spacing w:before="120"/>
              <w:ind w:right="218" w:firstLine="0"/>
              <w:rPr>
                <w:rFonts w:ascii="Arial" w:eastAsia="Arial" w:hAnsi="Arial" w:cs="Arial"/>
                <w:sz w:val="20"/>
                <w:szCs w:val="20"/>
              </w:rPr>
            </w:pPr>
            <w:r w:rsidRPr="00ED1F31">
              <w:rPr>
                <w:rFonts w:ascii="Arial" w:hAnsi="Arial"/>
                <w:sz w:val="20"/>
              </w:rPr>
              <w:t>Reminder of the reasons for the General Rules for Technical Operation (GRTO) provisions 02.32.04.06 (after stopping before the signal)</w:t>
            </w:r>
          </w:p>
        </w:tc>
      </w:tr>
    </w:tbl>
    <w:p w:rsidR="00A113DC" w:rsidRPr="00ED1F31" w:rsidRDefault="00A113DC">
      <w:pPr>
        <w:rPr>
          <w:rFonts w:ascii="Arial" w:eastAsia="Arial" w:hAnsi="Arial" w:cs="Arial"/>
          <w:sz w:val="20"/>
          <w:szCs w:val="20"/>
        </w:rPr>
        <w:sectPr w:rsidR="00A113DC" w:rsidRPr="00ED1F31" w:rsidSect="00205240">
          <w:pgSz w:w="11910" w:h="16840"/>
          <w:pgMar w:top="1397" w:right="1325" w:bottom="734" w:left="1339" w:header="0" w:footer="506" w:gutter="0"/>
          <w:cols w:space="720"/>
        </w:sectPr>
      </w:pPr>
    </w:p>
    <w:p w:rsidR="00A113DC" w:rsidRPr="00ED1F31" w:rsidRDefault="00F46E39" w:rsidP="00976521">
      <w:pPr>
        <w:pStyle w:val="Heading1"/>
        <w:numPr>
          <w:ilvl w:val="0"/>
          <w:numId w:val="16"/>
        </w:numPr>
        <w:rPr>
          <w:b w:val="0"/>
          <w:bCs w:val="0"/>
        </w:rPr>
      </w:pPr>
      <w:bookmarkStart w:id="48" w:name="D._SUPERVISION"/>
      <w:bookmarkStart w:id="49" w:name="_bookmark12"/>
      <w:bookmarkStart w:id="50" w:name="_Toc500406942"/>
      <w:bookmarkStart w:id="51" w:name="_Toc505328195"/>
      <w:bookmarkEnd w:id="48"/>
      <w:bookmarkEnd w:id="49"/>
      <w:r w:rsidRPr="00ED1F31">
        <w:t>SUPERVISION</w:t>
      </w:r>
      <w:bookmarkEnd w:id="50"/>
      <w:bookmarkEnd w:id="51"/>
    </w:p>
    <w:p w:rsidR="00A113DC" w:rsidRPr="00ED1F31" w:rsidRDefault="00F46E39" w:rsidP="00976521">
      <w:pPr>
        <w:pStyle w:val="Heading2"/>
        <w:numPr>
          <w:ilvl w:val="1"/>
          <w:numId w:val="16"/>
        </w:numPr>
      </w:pPr>
      <w:bookmarkStart w:id="52" w:name="D.1___Stratégie_et_plan(s)"/>
      <w:bookmarkStart w:id="53" w:name="_bookmark13"/>
      <w:bookmarkStart w:id="54" w:name="_Toc500406943"/>
      <w:bookmarkStart w:id="55" w:name="_Toc505328196"/>
      <w:bookmarkEnd w:id="52"/>
      <w:bookmarkEnd w:id="53"/>
      <w:r w:rsidRPr="00ED1F31">
        <w:t>Strategy and plan(s)</w:t>
      </w:r>
      <w:bookmarkEnd w:id="54"/>
      <w:bookmarkEnd w:id="55"/>
    </w:p>
    <w:p w:rsidR="00A113DC" w:rsidRPr="00ED1F31" w:rsidRDefault="00F46E39" w:rsidP="00D0532B">
      <w:pPr>
        <w:pStyle w:val="BodyText"/>
      </w:pPr>
      <w:r w:rsidRPr="00ED1F31">
        <w:t xml:space="preserve">In accordance </w:t>
      </w:r>
      <w:r w:rsidRPr="00ED1F31">
        <w:t>with Commission Regulation (EU) No 1077/2012 of 16 November 2012 on a common safety method for supervision by national safety authorities after issuing a safety certificate or safety authorisation, the development of a supervision strategy and a management</w:t>
      </w:r>
      <w:r w:rsidRPr="00ED1F31">
        <w:t xml:space="preserve"> procedure, dealing inter alia with the organisation and execution of audits, was finalised in 2014.</w:t>
      </w:r>
    </w:p>
    <w:p w:rsidR="00A113DC" w:rsidRPr="00ED1F31" w:rsidRDefault="00F46E39" w:rsidP="00D0532B">
      <w:pPr>
        <w:pStyle w:val="BodyText"/>
      </w:pPr>
      <w:r w:rsidRPr="00ED1F31">
        <w:t>The sources of information and the main inputs used when conducting audits are those listed in that Regulation. Audit plans will be set up in accordance wi</w:t>
      </w:r>
      <w:r w:rsidRPr="00ED1F31">
        <w:t>th that Regulation for future years.</w:t>
      </w:r>
    </w:p>
    <w:p w:rsidR="00666E35" w:rsidRPr="00ED1F31" w:rsidRDefault="00666E35" w:rsidP="004701B0">
      <w:pPr>
        <w:pStyle w:val="BodyText"/>
      </w:pPr>
    </w:p>
    <w:p w:rsidR="00A113DC" w:rsidRPr="00ED1F31" w:rsidRDefault="00F46E39" w:rsidP="00976521">
      <w:pPr>
        <w:pStyle w:val="Heading2"/>
        <w:numPr>
          <w:ilvl w:val="1"/>
          <w:numId w:val="16"/>
        </w:numPr>
      </w:pPr>
      <w:bookmarkStart w:id="56" w:name="D.2___Ressources_humaines"/>
      <w:bookmarkStart w:id="57" w:name="_bookmark14"/>
      <w:bookmarkStart w:id="58" w:name="_Toc500406944"/>
      <w:bookmarkStart w:id="59" w:name="_Toc505328197"/>
      <w:bookmarkEnd w:id="56"/>
      <w:bookmarkEnd w:id="57"/>
      <w:r w:rsidRPr="00ED1F31">
        <w:t>Human resources</w:t>
      </w:r>
      <w:bookmarkEnd w:id="58"/>
      <w:bookmarkEnd w:id="59"/>
    </w:p>
    <w:p w:rsidR="00A113DC" w:rsidRPr="00ED1F31" w:rsidRDefault="00F46E39" w:rsidP="00D0532B">
      <w:pPr>
        <w:pStyle w:val="BodyText"/>
      </w:pPr>
      <w:r w:rsidRPr="00ED1F31">
        <w:t>Apart from the person in charge of supervision, who in principle participates as the main auditor in all audits, a large part of the audit work is distributed between several staff from the Interoperabi</w:t>
      </w:r>
      <w:r w:rsidRPr="00ED1F31">
        <w:t>lity and Rail Safety Division, who have confirmed knowledge in the areas in question.</w:t>
      </w:r>
    </w:p>
    <w:p w:rsidR="00A113DC" w:rsidRPr="00ED1F31" w:rsidRDefault="00F46E39" w:rsidP="00D0532B">
      <w:pPr>
        <w:pStyle w:val="BodyText"/>
      </w:pPr>
      <w:r w:rsidRPr="00ED1F31">
        <w:t>In addition to being the main auditor, the person in charge organises and ensures the proper running of audit tasks and is responsible for preparing the reports in collab</w:t>
      </w:r>
      <w:r w:rsidRPr="00ED1F31">
        <w:t>oration with the other auditors. Updating of the audit strategy and plans as well as cooperation with the authorities of other neighbouring countries are also part of the obligations.</w:t>
      </w:r>
    </w:p>
    <w:p w:rsidR="00A113DC" w:rsidRPr="00ED1F31" w:rsidRDefault="00F46E39" w:rsidP="00D0532B">
      <w:pPr>
        <w:pStyle w:val="BodyText"/>
      </w:pPr>
      <w:r w:rsidRPr="00ED1F31">
        <w:t>In 2016, the amount of time spent by ACF officers on audit-related tasks</w:t>
      </w:r>
      <w:r w:rsidRPr="00ED1F31">
        <w:t xml:space="preserve"> is estimated at around 500 hours, which is similar to previous years (480 hours in 2014 and 544 in 2015).</w:t>
      </w:r>
    </w:p>
    <w:p w:rsidR="00A113DC" w:rsidRPr="00ED1F31" w:rsidRDefault="00F46E39" w:rsidP="00D0532B">
      <w:pPr>
        <w:pStyle w:val="BodyText"/>
      </w:pPr>
      <w:r w:rsidRPr="00ED1F31">
        <w:t>A system audit of the IM and two system audits of the RUs were carried out. In short, three out of five audits were completed (one RU that had run on</w:t>
      </w:r>
      <w:r w:rsidRPr="00ED1F31">
        <w:t>ly one train during the year could not be audited and nor could one RU whose B certificate had expired during the year).</w:t>
      </w:r>
    </w:p>
    <w:p w:rsidR="00A113DC" w:rsidRPr="00ED1F31" w:rsidRDefault="00F46E39" w:rsidP="00D0532B">
      <w:pPr>
        <w:pStyle w:val="BodyText"/>
      </w:pPr>
      <w:r w:rsidRPr="00ED1F31">
        <w:t>No inspections were performed, due to the problem with recruiting enough staff.</w:t>
      </w:r>
    </w:p>
    <w:p w:rsidR="00A113DC" w:rsidRPr="00ED1F31" w:rsidRDefault="00F46E39" w:rsidP="00D0532B">
      <w:pPr>
        <w:pStyle w:val="BodyText"/>
      </w:pPr>
      <w:r w:rsidRPr="00ED1F31">
        <w:t xml:space="preserve">However, five hauled freight rolling stock inspections </w:t>
      </w:r>
      <w:r w:rsidRPr="00ED1F31">
        <w:t>were carried out after successive entries into service.</w:t>
      </w:r>
    </w:p>
    <w:p w:rsidR="00A113DC" w:rsidRPr="00ED1F31" w:rsidRDefault="00F46E39" w:rsidP="005729A3">
      <w:pPr>
        <w:pStyle w:val="Heading2"/>
        <w:pageBreakBefore/>
        <w:numPr>
          <w:ilvl w:val="1"/>
          <w:numId w:val="16"/>
        </w:numPr>
        <w:spacing w:before="0"/>
        <w:ind w:left="676" w:right="288"/>
      </w:pPr>
      <w:bookmarkStart w:id="60" w:name="D.3___Compétences"/>
      <w:bookmarkStart w:id="61" w:name="_bookmark15"/>
      <w:bookmarkStart w:id="62" w:name="_Toc500406945"/>
      <w:bookmarkStart w:id="63" w:name="_Toc505328198"/>
      <w:bookmarkEnd w:id="60"/>
      <w:bookmarkEnd w:id="61"/>
      <w:r w:rsidRPr="00ED1F31">
        <w:t>Skills</w:t>
      </w:r>
      <w:bookmarkEnd w:id="62"/>
      <w:bookmarkEnd w:id="63"/>
    </w:p>
    <w:p w:rsidR="00A113DC" w:rsidRPr="00ED1F31" w:rsidRDefault="00F46E39" w:rsidP="00D0532B">
      <w:pPr>
        <w:pStyle w:val="BodyText"/>
      </w:pPr>
      <w:r w:rsidRPr="00ED1F31">
        <w:t xml:space="preserve">Audits are carried out by an audit team consisting of a team leader (in principle, the person responsible for audits) and technical experts. If there is only one auditor, that auditor </w:t>
      </w:r>
      <w:r w:rsidRPr="00ED1F31">
        <w:t>undertakes all the relevant activities, but that is clearly not the ideal solution.</w:t>
      </w:r>
    </w:p>
    <w:p w:rsidR="00A113DC" w:rsidRPr="00ED1F31" w:rsidRDefault="00F46E39" w:rsidP="00D0532B">
      <w:pPr>
        <w:pStyle w:val="BodyText"/>
      </w:pPr>
      <w:r w:rsidRPr="00ED1F31">
        <w:t>The team leader is appointed from the qualified ACF auditors, in accordance with the requirements of the EN ISO 19011:2011 standard (certified in 2014).</w:t>
      </w:r>
    </w:p>
    <w:p w:rsidR="00A113DC" w:rsidRPr="00ED1F31" w:rsidRDefault="00F46E39" w:rsidP="00D0532B">
      <w:pPr>
        <w:pStyle w:val="BodyText"/>
      </w:pPr>
      <w:r w:rsidRPr="00ED1F31">
        <w:t>The ACF ensures tha</w:t>
      </w:r>
      <w:r w:rsidRPr="00ED1F31">
        <w:t>t everyone in the audit team is skilled either in carrying out audits or in the area being audited, or both.</w:t>
      </w:r>
    </w:p>
    <w:p w:rsidR="00A113DC" w:rsidRPr="00ED1F31" w:rsidRDefault="00F46E39" w:rsidP="00D0532B">
      <w:pPr>
        <w:pStyle w:val="BodyText"/>
      </w:pPr>
      <w:r w:rsidRPr="00ED1F31">
        <w:t>The staff member in charge of performing the audit makes sure that each auditor and the audit team leaders continuously improve their skills. As re</w:t>
      </w:r>
      <w:r w:rsidRPr="00ED1F31">
        <w:t>quired, the staff member in charge may propose ongoing training in order to maintain and improve the auditors’ know-how.</w:t>
      </w:r>
    </w:p>
    <w:p w:rsidR="00A113DC" w:rsidRPr="00ED1F31" w:rsidRDefault="00F46E39" w:rsidP="005729A3">
      <w:pPr>
        <w:pStyle w:val="Heading2"/>
        <w:pageBreakBefore/>
        <w:numPr>
          <w:ilvl w:val="1"/>
          <w:numId w:val="16"/>
        </w:numPr>
        <w:spacing w:before="0"/>
        <w:ind w:left="676" w:right="288"/>
      </w:pPr>
      <w:bookmarkStart w:id="64" w:name="D.4___Prise_de_décisions"/>
      <w:bookmarkStart w:id="65" w:name="_bookmark16"/>
      <w:bookmarkStart w:id="66" w:name="_Toc500406946"/>
      <w:bookmarkStart w:id="67" w:name="_Toc505328199"/>
      <w:bookmarkEnd w:id="64"/>
      <w:bookmarkEnd w:id="65"/>
      <w:r w:rsidRPr="00ED1F31">
        <w:t>Decision-making</w:t>
      </w:r>
      <w:bookmarkEnd w:id="66"/>
      <w:bookmarkEnd w:id="67"/>
    </w:p>
    <w:p w:rsidR="00A113DC" w:rsidRPr="00ED1F31" w:rsidRDefault="00F46E39" w:rsidP="00D0532B">
      <w:pPr>
        <w:pStyle w:val="BodyText"/>
      </w:pPr>
      <w:r w:rsidRPr="00ED1F31">
        <w:t>During the audit, each audited element is evaluated by the ACF. The remarks made are classified into four levels of com</w:t>
      </w:r>
      <w:r w:rsidRPr="00ED1F31">
        <w:t>pliance:</w:t>
      </w:r>
    </w:p>
    <w:tbl>
      <w:tblPr>
        <w:tblW w:w="0" w:type="auto"/>
        <w:tblInd w:w="851" w:type="dxa"/>
        <w:tblLayout w:type="fixed"/>
        <w:tblCellMar>
          <w:left w:w="0" w:type="dxa"/>
          <w:right w:w="0" w:type="dxa"/>
        </w:tblCellMar>
        <w:tblLook w:val="01E0" w:firstRow="1" w:lastRow="1" w:firstColumn="1" w:lastColumn="1" w:noHBand="0" w:noVBand="0"/>
      </w:tblPr>
      <w:tblGrid>
        <w:gridCol w:w="1274"/>
        <w:gridCol w:w="2976"/>
        <w:gridCol w:w="4231"/>
      </w:tblGrid>
      <w:tr w:rsidR="00BD7B71" w:rsidTr="00E65FAE">
        <w:trPr>
          <w:trHeight w:hRule="exact" w:val="449"/>
        </w:trPr>
        <w:tc>
          <w:tcPr>
            <w:tcW w:w="127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E65FAE">
            <w:pPr>
              <w:pStyle w:val="TableParagraph"/>
              <w:spacing w:before="81"/>
              <w:ind w:left="5" w:right="-7"/>
              <w:jc w:val="center"/>
              <w:rPr>
                <w:rFonts w:eastAsia="Calibri" w:cstheme="minorHAnsi"/>
              </w:rPr>
            </w:pPr>
            <w:r w:rsidRPr="00ED1F31">
              <w:t>Conclusion</w:t>
            </w:r>
          </w:p>
        </w:tc>
        <w:tc>
          <w:tcPr>
            <w:tcW w:w="2976"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pPr>
              <w:pStyle w:val="TableParagraph"/>
              <w:spacing w:before="81"/>
              <w:ind w:left="103"/>
              <w:rPr>
                <w:rFonts w:eastAsia="Calibri" w:cstheme="minorHAnsi"/>
              </w:rPr>
            </w:pPr>
            <w:r w:rsidRPr="00ED1F31">
              <w:t>Opinion on compliance</w:t>
            </w:r>
          </w:p>
        </w:tc>
        <w:tc>
          <w:tcPr>
            <w:tcW w:w="423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pPr>
              <w:pStyle w:val="TableParagraph"/>
              <w:spacing w:before="81"/>
              <w:ind w:left="103"/>
              <w:rPr>
                <w:rFonts w:eastAsia="Calibri" w:cstheme="minorHAnsi"/>
              </w:rPr>
            </w:pPr>
            <w:r w:rsidRPr="00ED1F31">
              <w:t>Explanation</w:t>
            </w:r>
          </w:p>
        </w:tc>
      </w:tr>
      <w:tr w:rsidR="00BD7B71" w:rsidTr="00E65FAE">
        <w:trPr>
          <w:trHeight w:hRule="exact" w:val="1718"/>
        </w:trPr>
        <w:tc>
          <w:tcPr>
            <w:tcW w:w="1274" w:type="dxa"/>
            <w:tcBorders>
              <w:top w:val="single" w:sz="4" w:space="0" w:color="000000"/>
              <w:left w:val="single" w:sz="4" w:space="0" w:color="000000"/>
              <w:bottom w:val="single" w:sz="4" w:space="0" w:color="000000"/>
              <w:right w:val="single" w:sz="4" w:space="0" w:color="000000"/>
            </w:tcBorders>
            <w:shd w:val="clear" w:color="auto" w:fill="FF3300"/>
            <w:vAlign w:val="center"/>
          </w:tcPr>
          <w:p w:rsidR="00A113DC" w:rsidRPr="00ED1F31" w:rsidRDefault="00F46E39" w:rsidP="00E65FAE">
            <w:pPr>
              <w:pStyle w:val="TableParagraph"/>
              <w:ind w:left="5" w:right="-7"/>
              <w:jc w:val="center"/>
              <w:rPr>
                <w:rFonts w:eastAsia="Calibri" w:cstheme="minorHAnsi"/>
                <w:sz w:val="20"/>
                <w:szCs w:val="20"/>
              </w:rPr>
            </w:pPr>
            <w:r w:rsidRPr="00ED1F31">
              <w:rPr>
                <w:rFonts w:cstheme="minorHAnsi"/>
                <w:b/>
                <w:sz w:val="20"/>
              </w:rPr>
              <w:t>A</w:t>
            </w:r>
          </w:p>
        </w:tc>
        <w:tc>
          <w:tcPr>
            <w:tcW w:w="297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E65FAE">
            <w:pPr>
              <w:pStyle w:val="TableParagraph"/>
              <w:ind w:left="106" w:right="-7"/>
              <w:rPr>
                <w:rFonts w:eastAsia="Calibri" w:cstheme="minorHAnsi"/>
                <w:sz w:val="20"/>
                <w:szCs w:val="20"/>
              </w:rPr>
            </w:pPr>
            <w:r w:rsidRPr="00ED1F31">
              <w:rPr>
                <w:rFonts w:cstheme="minorHAnsi"/>
                <w:sz w:val="20"/>
              </w:rPr>
              <w:t>Basis for a qualified opinion</w:t>
            </w:r>
          </w:p>
        </w:tc>
        <w:tc>
          <w:tcPr>
            <w:tcW w:w="423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ight="143"/>
              <w:rPr>
                <w:rFonts w:eastAsia="Calibri" w:cstheme="minorHAnsi"/>
                <w:sz w:val="20"/>
                <w:szCs w:val="20"/>
              </w:rPr>
            </w:pPr>
            <w:r w:rsidRPr="00ED1F31">
              <w:rPr>
                <w:rFonts w:cstheme="minorHAnsi"/>
                <w:sz w:val="20"/>
              </w:rPr>
              <w:t>Non-compliance that prevents maintenance of the safety certification or authorisation, authorisation for entry into service, or train driver’s licence.</w:t>
            </w:r>
          </w:p>
          <w:p w:rsidR="00A113DC" w:rsidRPr="00ED1F31" w:rsidRDefault="00F46E39">
            <w:pPr>
              <w:pStyle w:val="TableParagraph"/>
              <w:ind w:left="103" w:right="463"/>
              <w:rPr>
                <w:rFonts w:eastAsia="Calibri" w:cstheme="minorHAnsi"/>
                <w:sz w:val="20"/>
                <w:szCs w:val="20"/>
              </w:rPr>
            </w:pPr>
            <w:r w:rsidRPr="00ED1F31">
              <w:rPr>
                <w:rFonts w:cstheme="minorHAnsi"/>
                <w:sz w:val="20"/>
              </w:rPr>
              <w:t xml:space="preserve">Deficiency that </w:t>
            </w:r>
            <w:r w:rsidRPr="00ED1F31">
              <w:rPr>
                <w:rFonts w:cstheme="minorHAnsi"/>
                <w:sz w:val="20"/>
              </w:rPr>
              <w:t>does not satisfactorily meet the legal and/or regulatory requirements.</w:t>
            </w:r>
          </w:p>
        </w:tc>
      </w:tr>
      <w:tr w:rsidR="00BD7B71" w:rsidTr="00E65FAE">
        <w:trPr>
          <w:trHeight w:hRule="exact" w:val="499"/>
        </w:trPr>
        <w:tc>
          <w:tcPr>
            <w:tcW w:w="127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113DC" w:rsidRPr="00ED1F31" w:rsidRDefault="00F46E39" w:rsidP="00E65FAE">
            <w:pPr>
              <w:pStyle w:val="TableParagraph"/>
              <w:spacing w:before="107"/>
              <w:ind w:left="5" w:right="-7"/>
              <w:jc w:val="center"/>
              <w:rPr>
                <w:rFonts w:eastAsia="Calibri" w:cstheme="minorHAnsi"/>
                <w:sz w:val="20"/>
                <w:szCs w:val="20"/>
              </w:rPr>
            </w:pPr>
            <w:r w:rsidRPr="00ED1F31">
              <w:rPr>
                <w:rFonts w:cstheme="minorHAnsi"/>
                <w:b/>
                <w:sz w:val="20"/>
              </w:rPr>
              <w:t>B</w:t>
            </w:r>
          </w:p>
        </w:tc>
        <w:tc>
          <w:tcPr>
            <w:tcW w:w="297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E65FAE">
            <w:pPr>
              <w:pStyle w:val="TableParagraph"/>
              <w:ind w:left="106"/>
              <w:rPr>
                <w:rFonts w:eastAsia="Calibri" w:cstheme="minorHAnsi"/>
                <w:sz w:val="20"/>
                <w:szCs w:val="20"/>
              </w:rPr>
            </w:pPr>
            <w:r w:rsidRPr="00ED1F31">
              <w:rPr>
                <w:rFonts w:cstheme="minorHAnsi"/>
                <w:sz w:val="20"/>
              </w:rPr>
              <w:t>Major recommendation</w:t>
            </w:r>
          </w:p>
        </w:tc>
        <w:tc>
          <w:tcPr>
            <w:tcW w:w="423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ight="188"/>
              <w:rPr>
                <w:rFonts w:eastAsia="Calibri" w:cstheme="minorHAnsi"/>
                <w:sz w:val="20"/>
                <w:szCs w:val="20"/>
              </w:rPr>
            </w:pPr>
            <w:r w:rsidRPr="00ED1F31">
              <w:rPr>
                <w:rFonts w:cstheme="minorHAnsi"/>
                <w:sz w:val="20"/>
              </w:rPr>
              <w:t>Non-obstructing issue that requires compliance within a specific time limit.</w:t>
            </w:r>
          </w:p>
        </w:tc>
      </w:tr>
      <w:tr w:rsidR="00BD7B71" w:rsidTr="00E65FAE">
        <w:trPr>
          <w:trHeight w:hRule="exact" w:val="497"/>
        </w:trPr>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113DC" w:rsidRPr="00ED1F31" w:rsidRDefault="00F46E39" w:rsidP="00E65FAE">
            <w:pPr>
              <w:pStyle w:val="TableParagraph"/>
              <w:spacing w:before="105"/>
              <w:ind w:left="5" w:right="-7"/>
              <w:jc w:val="center"/>
              <w:rPr>
                <w:rFonts w:eastAsia="Calibri" w:cstheme="minorHAnsi"/>
                <w:sz w:val="20"/>
                <w:szCs w:val="20"/>
              </w:rPr>
            </w:pPr>
            <w:r w:rsidRPr="00ED1F31">
              <w:rPr>
                <w:rFonts w:cstheme="minorHAnsi"/>
                <w:b/>
                <w:sz w:val="20"/>
              </w:rPr>
              <w:t>C</w:t>
            </w:r>
          </w:p>
        </w:tc>
        <w:tc>
          <w:tcPr>
            <w:tcW w:w="297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E65FAE">
            <w:pPr>
              <w:pStyle w:val="TableParagraph"/>
              <w:spacing w:before="121"/>
              <w:ind w:left="106"/>
              <w:rPr>
                <w:rFonts w:eastAsia="Calibri" w:cstheme="minorHAnsi"/>
                <w:sz w:val="20"/>
                <w:szCs w:val="20"/>
              </w:rPr>
            </w:pPr>
            <w:r w:rsidRPr="00ED1F31">
              <w:rPr>
                <w:rFonts w:cstheme="minorHAnsi"/>
                <w:sz w:val="20"/>
              </w:rPr>
              <w:t>Minor recommendation</w:t>
            </w:r>
          </w:p>
        </w:tc>
        <w:tc>
          <w:tcPr>
            <w:tcW w:w="423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ind w:left="103" w:right="318"/>
              <w:rPr>
                <w:rFonts w:eastAsia="Calibri" w:cstheme="minorHAnsi"/>
                <w:sz w:val="20"/>
                <w:szCs w:val="20"/>
              </w:rPr>
            </w:pPr>
            <w:r w:rsidRPr="00ED1F31">
              <w:rPr>
                <w:rFonts w:cstheme="minorHAnsi"/>
                <w:sz w:val="20"/>
              </w:rPr>
              <w:t xml:space="preserve">Non-obstructing issue that may require improvement within a </w:t>
            </w:r>
            <w:r w:rsidRPr="00ED1F31">
              <w:rPr>
                <w:rFonts w:cstheme="minorHAnsi"/>
                <w:sz w:val="20"/>
              </w:rPr>
              <w:t>specific time limit.</w:t>
            </w:r>
          </w:p>
        </w:tc>
      </w:tr>
      <w:tr w:rsidR="00BD7B71" w:rsidTr="00E65FAE">
        <w:trPr>
          <w:trHeight w:hRule="exact" w:val="499"/>
        </w:trPr>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E65FAE">
            <w:pPr>
              <w:pStyle w:val="TableParagraph"/>
              <w:ind w:left="5" w:right="-7"/>
              <w:jc w:val="center"/>
              <w:rPr>
                <w:rFonts w:eastAsia="Arial" w:cstheme="minorHAnsi"/>
                <w:sz w:val="20"/>
                <w:szCs w:val="20"/>
              </w:rPr>
            </w:pPr>
            <w:r w:rsidRPr="00ED1F31">
              <w:rPr>
                <w:rFonts w:cstheme="minorHAnsi"/>
                <w:sz w:val="20"/>
              </w:rPr>
              <w:t>D</w:t>
            </w:r>
          </w:p>
        </w:tc>
        <w:tc>
          <w:tcPr>
            <w:tcW w:w="2976"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F57230">
            <w:pPr>
              <w:pStyle w:val="TableParagraph"/>
              <w:spacing w:before="120"/>
              <w:ind w:left="106"/>
              <w:jc w:val="center"/>
              <w:rPr>
                <w:rFonts w:eastAsia="Arial" w:cstheme="minorHAnsi"/>
                <w:sz w:val="18"/>
                <w:szCs w:val="18"/>
              </w:rPr>
            </w:pPr>
            <w:r w:rsidRPr="00ED1F31">
              <w:rPr>
                <w:rFonts w:cstheme="minorHAnsi"/>
                <w:sz w:val="18"/>
              </w:rPr>
              <w:t>No remarks</w:t>
            </w:r>
          </w:p>
        </w:tc>
        <w:tc>
          <w:tcPr>
            <w:tcW w:w="423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pPr>
              <w:pStyle w:val="TableParagraph"/>
              <w:spacing w:line="243" w:lineRule="exact"/>
              <w:ind w:left="103"/>
              <w:rPr>
                <w:rFonts w:eastAsia="Calibri" w:cstheme="minorHAnsi"/>
                <w:sz w:val="20"/>
                <w:szCs w:val="20"/>
              </w:rPr>
            </w:pPr>
            <w:r w:rsidRPr="00ED1F31">
              <w:rPr>
                <w:rFonts w:cstheme="minorHAnsi"/>
                <w:sz w:val="20"/>
              </w:rPr>
              <w:t>In compliance</w:t>
            </w:r>
          </w:p>
          <w:p w:rsidR="00A113DC" w:rsidRPr="00ED1F31" w:rsidRDefault="00F46E39" w:rsidP="00E65FAE">
            <w:pPr>
              <w:pStyle w:val="TableParagraph"/>
              <w:ind w:left="103" w:right="113"/>
              <w:rPr>
                <w:rFonts w:eastAsia="Calibri" w:cstheme="minorHAnsi"/>
                <w:sz w:val="20"/>
                <w:szCs w:val="20"/>
              </w:rPr>
            </w:pPr>
            <w:r w:rsidRPr="00ED1F31">
              <w:rPr>
                <w:rFonts w:cstheme="minorHAnsi"/>
                <w:sz w:val="20"/>
              </w:rPr>
              <w:t>Validated with no objections or recommendations.</w:t>
            </w:r>
          </w:p>
        </w:tc>
      </w:tr>
    </w:tbl>
    <w:p w:rsidR="00A113DC" w:rsidRPr="00ED1F31" w:rsidRDefault="00A113DC">
      <w:pPr>
        <w:rPr>
          <w:rFonts w:eastAsia="Calibri" w:cs="Calibri"/>
          <w:sz w:val="20"/>
          <w:szCs w:val="20"/>
        </w:rPr>
      </w:pPr>
    </w:p>
    <w:p w:rsidR="00A113DC" w:rsidRPr="00ED1F31" w:rsidRDefault="00A113DC">
      <w:pPr>
        <w:spacing w:before="5"/>
        <w:rPr>
          <w:rFonts w:eastAsia="Calibri" w:cs="Calibri"/>
          <w:sz w:val="17"/>
          <w:szCs w:val="17"/>
        </w:rPr>
      </w:pPr>
    </w:p>
    <w:p w:rsidR="00A113DC" w:rsidRPr="00ED1F31" w:rsidRDefault="00F46E39" w:rsidP="004701B0">
      <w:pPr>
        <w:pStyle w:val="BodyText"/>
      </w:pPr>
      <w:r w:rsidRPr="00ED1F31">
        <w:t xml:space="preserve">Any non-compliance is analysed with the representative of the entity being audited, who can then provide additional information or suggest immediate </w:t>
      </w:r>
      <w:r w:rsidRPr="00ED1F31">
        <w:t>measures that could, in a wider context, make it possible to reclassify the remark into a different category.</w:t>
      </w:r>
    </w:p>
    <w:p w:rsidR="00A113DC" w:rsidRPr="00ED1F31" w:rsidRDefault="00F46E39" w:rsidP="00976521">
      <w:pPr>
        <w:pStyle w:val="ListParagraph"/>
        <w:numPr>
          <w:ilvl w:val="2"/>
          <w:numId w:val="30"/>
        </w:numPr>
      </w:pPr>
      <w:r w:rsidRPr="00ED1F31">
        <w:t>If the irregularity continues, the non-compliance is then formalised on a non-compliance sheet:</w:t>
      </w:r>
    </w:p>
    <w:p w:rsidR="00A113DC" w:rsidRPr="00ED1F31" w:rsidRDefault="00F46E39" w:rsidP="00976521">
      <w:pPr>
        <w:pStyle w:val="ListParagraph"/>
        <w:numPr>
          <w:ilvl w:val="2"/>
          <w:numId w:val="30"/>
        </w:numPr>
      </w:pPr>
      <w:r w:rsidRPr="00ED1F31">
        <w:t>For obstructing issues, the ACF requires the audit</w:t>
      </w:r>
      <w:r w:rsidRPr="00ED1F31">
        <w:t>ed entity to take immediate measures so that dangerous situations do not occur or continue to occur. The ACF may exceptionally allow a maximum period of 10 working days in which to eliminate the irregularity. If the ACF does not receive proof that correcti</w:t>
      </w:r>
      <w:r w:rsidRPr="00ED1F31">
        <w:t>ve measures have been taken within this period, it can initiate procedures that may lead to the suspension of the safety certificate or authorisation.</w:t>
      </w:r>
    </w:p>
    <w:p w:rsidR="00A113DC" w:rsidRPr="00ED1F31" w:rsidRDefault="00F46E39" w:rsidP="00D0532B">
      <w:pPr>
        <w:pStyle w:val="BodyText"/>
      </w:pPr>
      <w:r w:rsidRPr="00ED1F31">
        <w:t>In the case of non-obstructing issues, the ACF allows a period during which non-compliance must be correc</w:t>
      </w:r>
      <w:r w:rsidRPr="00ED1F31">
        <w:t>ted. If the ACF does not receive proof that corrective measures have been taken within this period, it can initiate procedures that may lead to the suspension of the safety certificate or authorisation.</w:t>
      </w:r>
    </w:p>
    <w:p w:rsidR="00A113DC" w:rsidRPr="00ED1F31" w:rsidRDefault="00F46E39" w:rsidP="00D0532B">
      <w:pPr>
        <w:pStyle w:val="BodyText"/>
      </w:pPr>
      <w:r w:rsidRPr="00ED1F31">
        <w:t>Non-compliance classed as A, B or C with non-complian</w:t>
      </w:r>
      <w:r w:rsidRPr="00ED1F31">
        <w:t>ce sheets appended to the audit report must always meet the following three criteria:</w:t>
      </w:r>
    </w:p>
    <w:p w:rsidR="00A113DC" w:rsidRPr="00ED1F31" w:rsidRDefault="00F46E39" w:rsidP="00976521">
      <w:pPr>
        <w:pStyle w:val="ListParagraph"/>
        <w:numPr>
          <w:ilvl w:val="2"/>
          <w:numId w:val="31"/>
        </w:numPr>
      </w:pPr>
      <w:r w:rsidRPr="00ED1F31">
        <w:t>be objective and justified by non-compliance with a regulatory requirement or with a provision included in the railway undertaking or infrastructure manager’s safety mana</w:t>
      </w:r>
      <w:r w:rsidRPr="00ED1F31">
        <w:t>gement system;</w:t>
      </w:r>
    </w:p>
    <w:p w:rsidR="00A113DC" w:rsidRPr="00ED1F31" w:rsidRDefault="00F46E39" w:rsidP="00976521">
      <w:pPr>
        <w:pStyle w:val="ListParagraph"/>
        <w:numPr>
          <w:ilvl w:val="2"/>
          <w:numId w:val="31"/>
        </w:numPr>
      </w:pPr>
      <w:r w:rsidRPr="00ED1F31">
        <w:t>be based on facts and never on presumptions;</w:t>
      </w:r>
    </w:p>
    <w:p w:rsidR="00A113DC" w:rsidRPr="00ED1F31" w:rsidRDefault="00F46E39" w:rsidP="00976521">
      <w:pPr>
        <w:pStyle w:val="ListParagraph"/>
        <w:numPr>
          <w:ilvl w:val="2"/>
          <w:numId w:val="31"/>
        </w:numPr>
      </w:pPr>
      <w:r w:rsidRPr="00ED1F31">
        <w:t>be explained in the presence of the railway undertaking or infrastructure manager.</w:t>
      </w:r>
    </w:p>
    <w:p w:rsidR="00A113DC" w:rsidRPr="00ED1F31" w:rsidRDefault="00F46E39" w:rsidP="00D0532B">
      <w:pPr>
        <w:pStyle w:val="BodyText"/>
        <w:pageBreakBefore/>
      </w:pPr>
      <w:r w:rsidRPr="00ED1F31">
        <w:t>The non-compliance sheet is issued to the representative of the audited entity at the end of the audit. It is sig</w:t>
      </w:r>
      <w:r w:rsidRPr="00ED1F31">
        <w:t>ned by the staff who carried out the audit and by the representative of the audited entity.</w:t>
      </w:r>
    </w:p>
    <w:p w:rsidR="00A113DC" w:rsidRPr="00ED1F31" w:rsidRDefault="00F46E39" w:rsidP="00D0532B">
      <w:pPr>
        <w:pStyle w:val="BodyText"/>
      </w:pPr>
      <w:r w:rsidRPr="00ED1F31">
        <w:t>From this moment, RUs and IMs must take corrective action (action plans) to resolve the A, B or C issues.</w:t>
      </w:r>
    </w:p>
    <w:p w:rsidR="00A113DC" w:rsidRPr="00ED1F31" w:rsidRDefault="00F46E39" w:rsidP="00D0532B">
      <w:pPr>
        <w:pStyle w:val="BodyText"/>
      </w:pPr>
      <w:r w:rsidRPr="00ED1F31">
        <w:t>At the request of the RUs or IM, the ACF’s auditors declar</w:t>
      </w:r>
      <w:r w:rsidRPr="00ED1F31">
        <w:t>e whether the corrective action that the audited entities are proposing is acceptable.</w:t>
      </w:r>
    </w:p>
    <w:p w:rsidR="00A113DC" w:rsidRPr="00ED1F31" w:rsidRDefault="00F46E39" w:rsidP="00D0532B">
      <w:pPr>
        <w:pStyle w:val="BodyText"/>
      </w:pPr>
      <w:r w:rsidRPr="00ED1F31">
        <w:t>The ACF decides to what extent a railway undertaking or infrastructure manager has drawn up and implemented one or more action plans sufficient to correct the non-confor</w:t>
      </w:r>
      <w:r w:rsidRPr="00ED1F31">
        <w:t>mities within the deadline it has set.</w:t>
      </w:r>
    </w:p>
    <w:p w:rsidR="00A113DC" w:rsidRPr="00ED1F31" w:rsidRDefault="00F46E39" w:rsidP="00D0532B">
      <w:pPr>
        <w:pStyle w:val="BodyText"/>
      </w:pPr>
      <w:r w:rsidRPr="00ED1F31">
        <w:t>The RU supplements the non-compliance records with its own action plans and returns them to the ACF. There are several types of corrective actions:</w:t>
      </w:r>
    </w:p>
    <w:p w:rsidR="00A113DC" w:rsidRPr="00ED1F31" w:rsidRDefault="00F46E39" w:rsidP="00976521">
      <w:pPr>
        <w:pStyle w:val="ListParagraph"/>
        <w:numPr>
          <w:ilvl w:val="2"/>
          <w:numId w:val="32"/>
        </w:numPr>
      </w:pPr>
      <w:r w:rsidRPr="00ED1F31">
        <w:t>corrective actions implemented during the audit;</w:t>
      </w:r>
    </w:p>
    <w:p w:rsidR="00A113DC" w:rsidRPr="00ED1F31" w:rsidRDefault="00F46E39" w:rsidP="00976521">
      <w:pPr>
        <w:pStyle w:val="ListParagraph"/>
        <w:numPr>
          <w:ilvl w:val="2"/>
          <w:numId w:val="32"/>
        </w:numPr>
      </w:pPr>
      <w:r w:rsidRPr="00ED1F31">
        <w:t>corrective</w:t>
      </w:r>
      <w:r w:rsidRPr="00ED1F31">
        <w:t xml:space="preserve"> actions that may be covered by documentary evidence from the RU or IM. In this case, the non-conformity is closed by the ACF;</w:t>
      </w:r>
    </w:p>
    <w:p w:rsidR="00A113DC" w:rsidRPr="00ED1F31" w:rsidRDefault="00F46E39" w:rsidP="00976521">
      <w:pPr>
        <w:pStyle w:val="ListParagraph"/>
        <w:numPr>
          <w:ilvl w:val="2"/>
          <w:numId w:val="32"/>
        </w:numPr>
      </w:pPr>
      <w:r w:rsidRPr="00ED1F31">
        <w:t>corrective actions for which implementation must be observed on-site.</w:t>
      </w:r>
    </w:p>
    <w:p w:rsidR="00A113DC" w:rsidRPr="00ED1F31" w:rsidRDefault="00F46E39" w:rsidP="00D0532B">
      <w:pPr>
        <w:pStyle w:val="BodyText"/>
      </w:pPr>
      <w:r w:rsidRPr="00ED1F31">
        <w:t>An additional audit is proposed to the RU or IM. The person</w:t>
      </w:r>
      <w:r w:rsidRPr="00ED1F31">
        <w:t xml:space="preserve"> in charge of the audit checks the steps taken to resolve the deficiencies in the field before the non-compliance occurrence is closed.</w:t>
      </w:r>
    </w:p>
    <w:p w:rsidR="00A113DC" w:rsidRPr="00ED1F31" w:rsidRDefault="00F46E39" w:rsidP="00D0532B">
      <w:pPr>
        <w:pStyle w:val="BodyText"/>
      </w:pPr>
      <w:r w:rsidRPr="00ED1F31">
        <w:t xml:space="preserve">The corrective action plan must be implemented by the railway undertaking or infrastructure manager within a time limit </w:t>
      </w:r>
      <w:r w:rsidRPr="00ED1F31">
        <w:t>set by the ACF, which starts at the audit closure meeting. If this deadline is not met, the ACF initiates procedures that may lead to the suspension of the safety certificate or authorisation.</w:t>
      </w:r>
    </w:p>
    <w:p w:rsidR="00A113DC" w:rsidRPr="00ED1F31" w:rsidRDefault="00F46E39" w:rsidP="00D0532B">
      <w:pPr>
        <w:pStyle w:val="BodyText"/>
      </w:pPr>
      <w:r w:rsidRPr="00ED1F31">
        <w:t>The report must include the following information:</w:t>
      </w:r>
    </w:p>
    <w:p w:rsidR="00A113DC" w:rsidRPr="00ED1F31" w:rsidRDefault="00F46E39" w:rsidP="00976521">
      <w:pPr>
        <w:pStyle w:val="ListParagraph"/>
        <w:numPr>
          <w:ilvl w:val="2"/>
          <w:numId w:val="33"/>
        </w:numPr>
      </w:pPr>
      <w:r w:rsidRPr="00ED1F31">
        <w:t>dates</w:t>
      </w:r>
    </w:p>
    <w:p w:rsidR="00A113DC" w:rsidRPr="00ED1F31" w:rsidRDefault="00F46E39" w:rsidP="00976521">
      <w:pPr>
        <w:pStyle w:val="ListParagraph"/>
        <w:numPr>
          <w:ilvl w:val="2"/>
          <w:numId w:val="33"/>
        </w:numPr>
      </w:pPr>
      <w:r w:rsidRPr="00ED1F31">
        <w:t>audito</w:t>
      </w:r>
      <w:r w:rsidRPr="00ED1F31">
        <w:t>rs</w:t>
      </w:r>
    </w:p>
    <w:p w:rsidR="00A113DC" w:rsidRPr="00ED1F31" w:rsidRDefault="00F46E39" w:rsidP="00976521">
      <w:pPr>
        <w:pStyle w:val="ListParagraph"/>
        <w:numPr>
          <w:ilvl w:val="2"/>
          <w:numId w:val="33"/>
        </w:numPr>
      </w:pPr>
      <w:r w:rsidRPr="00ED1F31">
        <w:t>scope of the supervisory activity</w:t>
      </w:r>
    </w:p>
    <w:p w:rsidR="00A113DC" w:rsidRPr="00ED1F31" w:rsidRDefault="00F46E39" w:rsidP="00976521">
      <w:pPr>
        <w:pStyle w:val="ListParagraph"/>
        <w:numPr>
          <w:ilvl w:val="2"/>
          <w:numId w:val="33"/>
        </w:numPr>
      </w:pPr>
      <w:r w:rsidRPr="00ED1F31">
        <w:t>people audited</w:t>
      </w:r>
    </w:p>
    <w:p w:rsidR="00A113DC" w:rsidRPr="00ED1F31" w:rsidRDefault="00F46E39" w:rsidP="00976521">
      <w:pPr>
        <w:pStyle w:val="ListParagraph"/>
        <w:numPr>
          <w:ilvl w:val="2"/>
          <w:numId w:val="33"/>
        </w:numPr>
      </w:pPr>
      <w:r w:rsidRPr="00ED1F31">
        <w:t>processes audited</w:t>
      </w:r>
    </w:p>
    <w:p w:rsidR="00A113DC" w:rsidRPr="00ED1F31" w:rsidRDefault="00F46E39" w:rsidP="00976521">
      <w:pPr>
        <w:pStyle w:val="ListParagraph"/>
        <w:numPr>
          <w:ilvl w:val="2"/>
          <w:numId w:val="33"/>
        </w:numPr>
        <w:rPr>
          <w:rFonts w:eastAsia="Calibri" w:cs="Calibri"/>
          <w:szCs w:val="24"/>
        </w:rPr>
      </w:pPr>
      <w:r w:rsidRPr="00ED1F31">
        <w:t>key strengths and non-conformities</w:t>
      </w:r>
    </w:p>
    <w:p w:rsidR="00A113DC" w:rsidRPr="00ED1F31" w:rsidRDefault="00F46E39" w:rsidP="005729A3">
      <w:pPr>
        <w:pStyle w:val="Heading2"/>
        <w:pageBreakBefore/>
        <w:numPr>
          <w:ilvl w:val="1"/>
          <w:numId w:val="16"/>
        </w:numPr>
        <w:spacing w:before="0"/>
        <w:ind w:left="676" w:right="288"/>
      </w:pPr>
      <w:bookmarkStart w:id="68" w:name="D.5___Coordination_et_coopération"/>
      <w:bookmarkStart w:id="69" w:name="_bookmark17"/>
      <w:bookmarkStart w:id="70" w:name="_Toc500406947"/>
      <w:bookmarkStart w:id="71" w:name="_Toc505328200"/>
      <w:bookmarkEnd w:id="68"/>
      <w:bookmarkEnd w:id="69"/>
      <w:r w:rsidRPr="00ED1F31">
        <w:t>Coordination and cooperation</w:t>
      </w:r>
      <w:bookmarkEnd w:id="70"/>
      <w:bookmarkEnd w:id="71"/>
    </w:p>
    <w:p w:rsidR="00A113DC" w:rsidRPr="00ED1F31" w:rsidRDefault="00F46E39" w:rsidP="00D0532B">
      <w:pPr>
        <w:pStyle w:val="BodyText"/>
      </w:pPr>
      <w:r w:rsidRPr="00ED1F31">
        <w:t>On the basis of the protocol signed in February 2015, an agreement for putting the coordination into practice was drawn up</w:t>
      </w:r>
      <w:r w:rsidRPr="00ED1F31">
        <w:t xml:space="preserve"> and signed in June 2016.</w:t>
      </w:r>
    </w:p>
    <w:p w:rsidR="00A113DC" w:rsidRPr="00ED1F31" w:rsidRDefault="00F46E39" w:rsidP="00D0532B">
      <w:pPr>
        <w:pStyle w:val="BodyText"/>
      </w:pPr>
      <w:r w:rsidRPr="00ED1F31">
        <w:t>In 2016, the three signatories (EPSF, SSICF and ACF) held four consultation meetings, which took place in the three Member States in turn.</w:t>
      </w:r>
    </w:p>
    <w:p w:rsidR="00A113DC" w:rsidRPr="00ED1F31" w:rsidRDefault="00F46E39" w:rsidP="00D0532B">
      <w:pPr>
        <w:pStyle w:val="BodyText"/>
      </w:pPr>
      <w:r w:rsidRPr="00ED1F31">
        <w:t>As for the previous reporting years, the audit strategies and plans were exchanged, as were</w:t>
      </w:r>
      <w:r w:rsidRPr="00ED1F31">
        <w:t xml:space="preserve"> some of the audit reports.</w:t>
      </w:r>
    </w:p>
    <w:p w:rsidR="00A113DC" w:rsidRPr="00ED1F31" w:rsidRDefault="00F46E39" w:rsidP="00D0532B">
      <w:pPr>
        <w:pStyle w:val="BodyText"/>
      </w:pPr>
      <w:r w:rsidRPr="00ED1F31">
        <w:t>A working group was set up to prepare documents of common interest and to work in detail on topics assigned to it.</w:t>
      </w:r>
    </w:p>
    <w:p w:rsidR="00A113DC" w:rsidRPr="00ED1F31" w:rsidRDefault="00F46E39" w:rsidP="00D0532B">
      <w:pPr>
        <w:pStyle w:val="BodyText"/>
      </w:pPr>
      <w:r w:rsidRPr="00ED1F31">
        <w:t>For 2017, the decision was made to meet three times a year, with two meetings spread over two days to discuss:</w:t>
      </w:r>
    </w:p>
    <w:p w:rsidR="00A113DC" w:rsidRPr="00ED1F31" w:rsidRDefault="00F46E39" w:rsidP="00976521">
      <w:pPr>
        <w:pStyle w:val="ListParagraph"/>
        <w:numPr>
          <w:ilvl w:val="2"/>
          <w:numId w:val="34"/>
        </w:numPr>
      </w:pPr>
      <w:r w:rsidRPr="00ED1F31">
        <w:t>th</w:t>
      </w:r>
      <w:r w:rsidRPr="00ED1F31">
        <w:t>e results of the supervisory operations (audits);</w:t>
      </w:r>
    </w:p>
    <w:p w:rsidR="00A113DC" w:rsidRPr="00ED1F31" w:rsidRDefault="00F46E39" w:rsidP="00976521">
      <w:pPr>
        <w:pStyle w:val="ListParagraph"/>
        <w:numPr>
          <w:ilvl w:val="2"/>
          <w:numId w:val="34"/>
        </w:numPr>
      </w:pPr>
      <w:r w:rsidRPr="00ED1F31">
        <w:t>joint audits carried out or coming up;</w:t>
      </w:r>
    </w:p>
    <w:p w:rsidR="00A113DC" w:rsidRPr="00ED1F31" w:rsidRDefault="00F46E39" w:rsidP="00976521">
      <w:pPr>
        <w:pStyle w:val="ListParagraph"/>
        <w:numPr>
          <w:ilvl w:val="2"/>
          <w:numId w:val="34"/>
        </w:numPr>
      </w:pPr>
      <w:r w:rsidRPr="00ED1F31">
        <w:t>the progress of work related to transposition to the fourth railway package;</w:t>
      </w:r>
    </w:p>
    <w:p w:rsidR="00A113DC" w:rsidRPr="00ED1F31" w:rsidRDefault="00F46E39" w:rsidP="00976521">
      <w:pPr>
        <w:pStyle w:val="ListParagraph"/>
        <w:numPr>
          <w:ilvl w:val="2"/>
          <w:numId w:val="34"/>
        </w:numPr>
      </w:pPr>
      <w:r w:rsidRPr="00ED1F31">
        <w:t>the work done by the working group and its future tasks;</w:t>
      </w:r>
    </w:p>
    <w:p w:rsidR="00A113DC" w:rsidRPr="00ED1F31" w:rsidRDefault="00F46E39" w:rsidP="00976521">
      <w:pPr>
        <w:pStyle w:val="ListParagraph"/>
        <w:numPr>
          <w:ilvl w:val="2"/>
          <w:numId w:val="34"/>
        </w:numPr>
        <w:rPr>
          <w:rFonts w:eastAsia="Calibri" w:cs="Calibri"/>
          <w:szCs w:val="24"/>
        </w:rPr>
      </w:pPr>
      <w:r w:rsidRPr="00ED1F31">
        <w:t>specific topics such as future co</w:t>
      </w:r>
      <w:r w:rsidRPr="00ED1F31">
        <w:t>llaboration with the EBA.</w:t>
      </w:r>
    </w:p>
    <w:p w:rsidR="00A113DC" w:rsidRPr="00ED1F31" w:rsidRDefault="00F46E39" w:rsidP="00D0532B">
      <w:pPr>
        <w:pStyle w:val="BodyText"/>
      </w:pPr>
      <w:r w:rsidRPr="00ED1F31">
        <w:t>The third meeting, a one-day meeting planned for the end of the year, will be used to coordinate and agree our audit plans for the following year.</w:t>
      </w:r>
    </w:p>
    <w:p w:rsidR="00A113DC" w:rsidRPr="00ED1F31" w:rsidRDefault="00F46E39" w:rsidP="002F62DA">
      <w:pPr>
        <w:pStyle w:val="BodyText"/>
        <w:spacing w:before="0"/>
      </w:pPr>
      <w:r w:rsidRPr="00ED1F31">
        <w:t xml:space="preserve">Working group meetings will also be held according to the tasks assigned to the </w:t>
      </w:r>
      <w:r w:rsidRPr="00ED1F31">
        <w:t>working group.</w:t>
      </w:r>
    </w:p>
    <w:p w:rsidR="00A113DC" w:rsidRPr="00ED1F31" w:rsidRDefault="00F46E39" w:rsidP="00976521">
      <w:pPr>
        <w:pStyle w:val="Heading2"/>
        <w:numPr>
          <w:ilvl w:val="1"/>
          <w:numId w:val="16"/>
        </w:numPr>
      </w:pPr>
      <w:bookmarkStart w:id="72" w:name="D.6___Conclusions_tirées_des_mesures_pri"/>
      <w:bookmarkStart w:id="73" w:name="_bookmark18"/>
      <w:bookmarkStart w:id="74" w:name="_Toc500406948"/>
      <w:bookmarkStart w:id="75" w:name="_Toc505328201"/>
      <w:bookmarkEnd w:id="72"/>
      <w:bookmarkEnd w:id="73"/>
      <w:r w:rsidRPr="00ED1F31">
        <w:t>Conclusions drawn from the action taken</w:t>
      </w:r>
      <w:bookmarkEnd w:id="74"/>
      <w:bookmarkEnd w:id="75"/>
    </w:p>
    <w:p w:rsidR="00666E35" w:rsidRPr="00ED1F31" w:rsidRDefault="00F46E39" w:rsidP="00D0532B">
      <w:pPr>
        <w:pStyle w:val="BodyText"/>
      </w:pPr>
      <w:r w:rsidRPr="00ED1F31">
        <w:t xml:space="preserve">The action plans submitted to us by the RUs or IM following the audits contain measures for complying with our recommendations. Most of the action plans are implemented within the deadlines set by the </w:t>
      </w:r>
      <w:r w:rsidRPr="00ED1F31">
        <w:t>ACF. For some actions, extra time is requested by the entity, which the ACF grants if the request is justified.</w:t>
      </w:r>
    </w:p>
    <w:p w:rsidR="003336B6" w:rsidRPr="00ED1F31" w:rsidRDefault="003336B6" w:rsidP="00D0532B">
      <w:pPr>
        <w:pStyle w:val="BodyText"/>
        <w:sectPr w:rsidR="003336B6" w:rsidRPr="00ED1F31" w:rsidSect="00F23686">
          <w:pgSz w:w="11910" w:h="16840"/>
          <w:pgMar w:top="1397" w:right="1325" w:bottom="734" w:left="1339" w:header="0" w:footer="546" w:gutter="0"/>
          <w:cols w:space="720"/>
        </w:sectPr>
      </w:pPr>
    </w:p>
    <w:p w:rsidR="00A113DC" w:rsidRPr="00ED1F31" w:rsidRDefault="00F46E39" w:rsidP="00976521">
      <w:pPr>
        <w:pStyle w:val="Heading1"/>
        <w:numPr>
          <w:ilvl w:val="0"/>
          <w:numId w:val="16"/>
        </w:numPr>
        <w:rPr>
          <w:b w:val="0"/>
          <w:bCs w:val="0"/>
        </w:rPr>
      </w:pPr>
      <w:bookmarkStart w:id="76" w:name="E._CERTIFICATION_ET_AUTORISATION"/>
      <w:bookmarkStart w:id="77" w:name="_bookmark19"/>
      <w:bookmarkStart w:id="78" w:name="_Toc500406949"/>
      <w:bookmarkStart w:id="79" w:name="_Toc505328202"/>
      <w:bookmarkEnd w:id="76"/>
      <w:bookmarkEnd w:id="77"/>
      <w:r w:rsidRPr="00ED1F31">
        <w:t>CERTIFICATION AND AUTHORISATION</w:t>
      </w:r>
      <w:bookmarkEnd w:id="78"/>
      <w:bookmarkEnd w:id="79"/>
    </w:p>
    <w:p w:rsidR="00A113DC" w:rsidRPr="00ED1F31" w:rsidRDefault="00F46E39" w:rsidP="00976521">
      <w:pPr>
        <w:pStyle w:val="Heading2"/>
        <w:numPr>
          <w:ilvl w:val="1"/>
          <w:numId w:val="16"/>
        </w:numPr>
      </w:pPr>
      <w:bookmarkStart w:id="80" w:name="E.1___Orientations"/>
      <w:bookmarkStart w:id="81" w:name="_bookmark20"/>
      <w:bookmarkStart w:id="82" w:name="_Toc500406950"/>
      <w:bookmarkStart w:id="83" w:name="_Toc505328203"/>
      <w:bookmarkEnd w:id="80"/>
      <w:bookmarkEnd w:id="81"/>
      <w:r w:rsidRPr="00ED1F31">
        <w:t>Guidance</w:t>
      </w:r>
      <w:bookmarkEnd w:id="82"/>
      <w:bookmarkEnd w:id="83"/>
    </w:p>
    <w:p w:rsidR="00A113DC" w:rsidRPr="00ED1F31" w:rsidRDefault="00F46E39" w:rsidP="004701B0">
      <w:pPr>
        <w:pStyle w:val="BodyText"/>
      </w:pPr>
      <w:r w:rsidRPr="00ED1F31">
        <w:t>As part of the ISO 9001 certification, the ACF finalised the related processes. Th</w:t>
      </w:r>
      <w:r w:rsidRPr="00ED1F31">
        <w:t>ey contain the details for issuing and publishing certificates and authorisations. Updating of the processes will be ensured by including a general revision process in the quality manual.</w:t>
      </w:r>
    </w:p>
    <w:p w:rsidR="00666E35" w:rsidRPr="00ED1F31" w:rsidRDefault="00666E35" w:rsidP="004701B0">
      <w:pPr>
        <w:pStyle w:val="BodyText"/>
      </w:pPr>
    </w:p>
    <w:p w:rsidR="00A113DC" w:rsidRPr="00ED1F31" w:rsidRDefault="00F46E39" w:rsidP="00976521">
      <w:pPr>
        <w:pStyle w:val="Heading2"/>
        <w:numPr>
          <w:ilvl w:val="1"/>
          <w:numId w:val="16"/>
        </w:numPr>
      </w:pPr>
      <w:bookmarkStart w:id="84" w:name="E.2___Contacts_avec_d’autres_ANS"/>
      <w:bookmarkStart w:id="85" w:name="_bookmark21"/>
      <w:bookmarkStart w:id="86" w:name="_Toc500406951"/>
      <w:bookmarkStart w:id="87" w:name="_Toc505328204"/>
      <w:bookmarkEnd w:id="84"/>
      <w:bookmarkEnd w:id="85"/>
      <w:r w:rsidRPr="00ED1F31">
        <w:t>Contacts with other NSAs</w:t>
      </w:r>
      <w:bookmarkEnd w:id="86"/>
      <w:bookmarkEnd w:id="87"/>
    </w:p>
    <w:p w:rsidR="00A113DC" w:rsidRPr="00ED1F31" w:rsidRDefault="00F46E39" w:rsidP="00D0532B">
      <w:pPr>
        <w:pStyle w:val="BodyText"/>
      </w:pPr>
      <w:r w:rsidRPr="00ED1F31">
        <w:rPr>
          <w:b/>
        </w:rPr>
        <w:t>Regarding safety certificates,</w:t>
      </w:r>
      <w:r w:rsidRPr="00ED1F31">
        <w:t xml:space="preserve"> contacts wi</w:t>
      </w:r>
      <w:r w:rsidRPr="00ED1F31">
        <w:t>th other NSAs on certification issues are rare for the following reasons:</w:t>
      </w:r>
    </w:p>
    <w:p w:rsidR="00A113DC" w:rsidRPr="00ED1F31" w:rsidRDefault="00F46E39" w:rsidP="00976521">
      <w:pPr>
        <w:pStyle w:val="ListParagraph"/>
        <w:numPr>
          <w:ilvl w:val="2"/>
          <w:numId w:val="35"/>
        </w:numPr>
      </w:pPr>
      <w:r w:rsidRPr="00ED1F31">
        <w:t>the very small number of certificates in Luxembourg (two A and two B certificates issued to RUs from Luxembourg (CFL and CFL cargo) and two B certificates issued to two foreign RUs (</w:t>
      </w:r>
      <w:r w:rsidRPr="00ED1F31">
        <w:t>SNCB Logistics (now LINEAS) and SNCF, where the certificate had expired (on 9 July 2016) but a renewal application had not been received by the ACF;</w:t>
      </w:r>
    </w:p>
    <w:p w:rsidR="00A113DC" w:rsidRPr="00ED1F31" w:rsidRDefault="00F46E39" w:rsidP="00976521">
      <w:pPr>
        <w:pStyle w:val="ListParagraph"/>
        <w:numPr>
          <w:ilvl w:val="2"/>
          <w:numId w:val="35"/>
        </w:numPr>
      </w:pPr>
      <w:r w:rsidRPr="00ED1F31">
        <w:t xml:space="preserve">the very small number of foreign B certificates held by Luxembourg RUs (two B certificates for CFL and two </w:t>
      </w:r>
      <w:r w:rsidRPr="00ED1F31">
        <w:t>B certificates for CFL Cargo);</w:t>
      </w:r>
    </w:p>
    <w:p w:rsidR="00A113DC" w:rsidRPr="00ED1F31" w:rsidRDefault="00F46E39" w:rsidP="00976521">
      <w:pPr>
        <w:pStyle w:val="ListParagraph"/>
        <w:numPr>
          <w:ilvl w:val="2"/>
          <w:numId w:val="35"/>
        </w:numPr>
      </w:pPr>
      <w:r w:rsidRPr="00ED1F31">
        <w:t>applicant RUs which, in the past, have shown significant expertise in rail transport;</w:t>
      </w:r>
    </w:p>
    <w:p w:rsidR="00A113DC" w:rsidRPr="00ED1F31" w:rsidRDefault="00F46E39" w:rsidP="00976521">
      <w:pPr>
        <w:pStyle w:val="ListParagraph"/>
        <w:numPr>
          <w:ilvl w:val="2"/>
          <w:numId w:val="35"/>
        </w:numPr>
      </w:pPr>
      <w:r w:rsidRPr="00ED1F31">
        <w:t>the correct application of legal provisions on the recognition of A certificates by neighbouring NSAs and the ACF.</w:t>
      </w:r>
    </w:p>
    <w:p w:rsidR="00A113DC" w:rsidRPr="00ED1F31" w:rsidRDefault="00F46E39" w:rsidP="00D0532B">
      <w:pPr>
        <w:pStyle w:val="BodyText"/>
      </w:pPr>
      <w:r w:rsidRPr="00ED1F31">
        <w:t xml:space="preserve">As already mentioned in </w:t>
      </w:r>
      <w:r w:rsidRPr="00ED1F31">
        <w:t>Chapter D5, cooperation (EPSF/SSICF/ACF) on the audit of joint RUs (RUs with at least two B certificates in the three Member States) was introduced in 2015.</w:t>
      </w:r>
    </w:p>
    <w:p w:rsidR="00A113DC" w:rsidRPr="00ED1F31" w:rsidRDefault="00F46E39" w:rsidP="005729A3">
      <w:pPr>
        <w:pStyle w:val="Heading2"/>
        <w:pageBreakBefore/>
        <w:numPr>
          <w:ilvl w:val="1"/>
          <w:numId w:val="16"/>
        </w:numPr>
        <w:spacing w:before="0"/>
        <w:ind w:left="676" w:right="288"/>
      </w:pPr>
      <w:bookmarkStart w:id="88" w:name="E.3___Questions_de_procédure"/>
      <w:bookmarkStart w:id="89" w:name="_bookmark22"/>
      <w:bookmarkStart w:id="90" w:name="_Toc500406952"/>
      <w:bookmarkStart w:id="91" w:name="_Toc505328205"/>
      <w:bookmarkEnd w:id="88"/>
      <w:bookmarkEnd w:id="89"/>
      <w:r w:rsidRPr="00ED1F31">
        <w:t>Procedural issues</w:t>
      </w:r>
      <w:bookmarkEnd w:id="90"/>
      <w:bookmarkEnd w:id="91"/>
    </w:p>
    <w:p w:rsidR="00A113DC" w:rsidRPr="00ED1F31" w:rsidRDefault="00F46E39" w:rsidP="004701B0">
      <w:pPr>
        <w:pStyle w:val="BodyText"/>
      </w:pPr>
      <w:r w:rsidRPr="00ED1F31">
        <w:t>Since 2015, the ACF has been certified to ISO 9001 with clearly defined procedure</w:t>
      </w:r>
      <w:r w:rsidRPr="00ED1F31">
        <w:t>s communicated to the RUs. Because these processes are fully compliant with European and national legal contexts, the ACF is unaware of procedural issues for the RUs or the IM.</w:t>
      </w:r>
    </w:p>
    <w:p w:rsidR="00A113DC" w:rsidRPr="00ED1F31" w:rsidRDefault="00F46E39" w:rsidP="00976521">
      <w:pPr>
        <w:pStyle w:val="Heading2"/>
        <w:numPr>
          <w:ilvl w:val="1"/>
          <w:numId w:val="16"/>
        </w:numPr>
      </w:pPr>
      <w:bookmarkStart w:id="92" w:name="E.4___Réactions"/>
      <w:bookmarkStart w:id="93" w:name="_bookmark23"/>
      <w:bookmarkStart w:id="94" w:name="_Toc500406953"/>
      <w:bookmarkStart w:id="95" w:name="_Toc505328206"/>
      <w:bookmarkEnd w:id="92"/>
      <w:bookmarkEnd w:id="93"/>
      <w:r w:rsidRPr="00ED1F31">
        <w:t>Response</w:t>
      </w:r>
      <w:bookmarkEnd w:id="94"/>
      <w:bookmarkEnd w:id="95"/>
    </w:p>
    <w:p w:rsidR="00A113DC" w:rsidRPr="00ED1F31" w:rsidRDefault="00F46E39" w:rsidP="00D0532B">
      <w:pPr>
        <w:pStyle w:val="BodyText"/>
      </w:pPr>
      <w:r w:rsidRPr="00ED1F31">
        <w:t xml:space="preserve">The certification process set up by the ACF allows RUs to express any </w:t>
      </w:r>
      <w:r w:rsidRPr="00ED1F31">
        <w:t>difference of opinion they may have regarding the results of the assessment. It is then up to the Authority to analyse the arguments put forward by the RU and to make a decision on whether to review or maintain the assessment.</w:t>
      </w:r>
    </w:p>
    <w:p w:rsidR="00A113DC" w:rsidRPr="00ED1F31" w:rsidRDefault="00F46E39" w:rsidP="00D0532B">
      <w:pPr>
        <w:pStyle w:val="BodyText"/>
      </w:pPr>
      <w:r w:rsidRPr="00ED1F31">
        <w:t xml:space="preserve">In practice, any differences </w:t>
      </w:r>
      <w:r w:rsidRPr="00ED1F31">
        <w:t>of opinion are settled during meetings or in exchanges of correspondence or emails with the RU or IM concerned. Corrective measures taken, clarifying explanations or additional documents supplied by the applicant enable the ACF to reclassify the non-compli</w:t>
      </w:r>
      <w:r w:rsidRPr="00ED1F31">
        <w:t>ance, where necessary, into a different category.</w:t>
      </w:r>
    </w:p>
    <w:p w:rsidR="00666E35" w:rsidRPr="00ED1F31" w:rsidRDefault="00F46E39" w:rsidP="00D0532B">
      <w:pPr>
        <w:pStyle w:val="BodyText"/>
      </w:pPr>
      <w:r w:rsidRPr="00ED1F31">
        <w:t>The national regulations on certification allow the applicant to petition the Administrative Court.</w:t>
      </w:r>
    </w:p>
    <w:p w:rsidR="00D0532B" w:rsidRPr="00ED1F31" w:rsidRDefault="00D0532B" w:rsidP="00D0532B">
      <w:pPr>
        <w:pStyle w:val="BodyText"/>
      </w:pPr>
    </w:p>
    <w:p w:rsidR="00D0532B" w:rsidRPr="00ED1F31" w:rsidRDefault="00D0532B" w:rsidP="00D0532B">
      <w:pPr>
        <w:pStyle w:val="BodyText"/>
        <w:sectPr w:rsidR="00D0532B" w:rsidRPr="00ED1F31" w:rsidSect="00F23686">
          <w:pgSz w:w="11910" w:h="16840"/>
          <w:pgMar w:top="1397" w:right="1325" w:bottom="734" w:left="1339" w:header="0" w:footer="546" w:gutter="0"/>
          <w:cols w:space="720"/>
        </w:sectPr>
      </w:pPr>
    </w:p>
    <w:p w:rsidR="00A113DC" w:rsidRPr="00ED1F31" w:rsidRDefault="00F46E39" w:rsidP="00976521">
      <w:pPr>
        <w:pStyle w:val="Heading1"/>
        <w:numPr>
          <w:ilvl w:val="0"/>
          <w:numId w:val="16"/>
        </w:numPr>
        <w:rPr>
          <w:b w:val="0"/>
          <w:bCs w:val="0"/>
        </w:rPr>
      </w:pPr>
      <w:bookmarkStart w:id="96" w:name="F._MODIFICATIONS_DANS_LA_LEGISLATION"/>
      <w:bookmarkStart w:id="97" w:name="_bookmark24"/>
      <w:bookmarkStart w:id="98" w:name="_Toc500406954"/>
      <w:bookmarkStart w:id="99" w:name="_Toc505328207"/>
      <w:bookmarkEnd w:id="96"/>
      <w:bookmarkEnd w:id="97"/>
      <w:r w:rsidRPr="00ED1F31">
        <w:t>CHANGES TO THE LAW</w:t>
      </w:r>
      <w:bookmarkEnd w:id="98"/>
      <w:bookmarkEnd w:id="99"/>
    </w:p>
    <w:p w:rsidR="00A113DC" w:rsidRPr="00ED1F31" w:rsidRDefault="00F46E39" w:rsidP="00976521">
      <w:pPr>
        <w:pStyle w:val="Heading2"/>
        <w:numPr>
          <w:ilvl w:val="1"/>
          <w:numId w:val="16"/>
        </w:numPr>
      </w:pPr>
      <w:bookmarkStart w:id="100" w:name="F.1___Directive_sur_la_sécurité_ferrovia"/>
      <w:bookmarkStart w:id="101" w:name="_bookmark25"/>
      <w:bookmarkStart w:id="102" w:name="_Toc500406955"/>
      <w:bookmarkStart w:id="103" w:name="_Toc505328208"/>
      <w:bookmarkEnd w:id="100"/>
      <w:bookmarkEnd w:id="101"/>
      <w:r w:rsidRPr="00ED1F31">
        <w:t>Railway Safety Directive</w:t>
      </w:r>
      <w:bookmarkEnd w:id="102"/>
      <w:bookmarkEnd w:id="103"/>
    </w:p>
    <w:p w:rsidR="00A113DC" w:rsidRPr="00ED1F31" w:rsidRDefault="00F46E39" w:rsidP="00D0532B">
      <w:pPr>
        <w:pStyle w:val="Heading3"/>
      </w:pPr>
      <w:r w:rsidRPr="00ED1F31">
        <w:t xml:space="preserve">Current legislation transposing the </w:t>
      </w:r>
      <w:r w:rsidRPr="00ED1F31">
        <w:t>safety directives</w:t>
      </w:r>
    </w:p>
    <w:p w:rsidR="00A113DC" w:rsidRPr="00ED1F31" w:rsidRDefault="00A113DC">
      <w:pPr>
        <w:rPr>
          <w:rFonts w:eastAsia="Calibri" w:cs="Calibri"/>
          <w:b/>
          <w:bCs/>
          <w:sz w:val="20"/>
          <w:szCs w:val="20"/>
        </w:rPr>
      </w:pPr>
    </w:p>
    <w:p w:rsidR="00A113DC" w:rsidRPr="00ED1F31" w:rsidRDefault="00F46E39" w:rsidP="00D0532B">
      <w:pPr>
        <w:pStyle w:val="BodyText"/>
      </w:pPr>
      <w:r w:rsidRPr="00ED1F31">
        <w:t xml:space="preserve">The underlying DIRECTIVE </w:t>
      </w:r>
      <w:r w:rsidRPr="00ED1F31">
        <w:rPr>
          <w:b/>
          <w:u w:val="single"/>
        </w:rPr>
        <w:t>2004/49/EC</w:t>
      </w:r>
      <w:r w:rsidRPr="00ED1F31">
        <w:t xml:space="preserve"> OF THE EUROPEAN PARLIAMENT AND OF THE COUNCIL</w:t>
      </w:r>
    </w:p>
    <w:p w:rsidR="00A113DC" w:rsidRPr="00ED1F31" w:rsidRDefault="00F46E39" w:rsidP="00D0532B">
      <w:pPr>
        <w:pStyle w:val="BodyText"/>
      </w:pPr>
      <w:r w:rsidRPr="00ED1F31">
        <w:t>of 29 April 2004 on safety on the Community’s railways was transposed in the Grand-Duchy of Luxembourg by the following legal texts:</w:t>
      </w:r>
    </w:p>
    <w:p w:rsidR="00A113DC" w:rsidRPr="00ED1F31" w:rsidRDefault="00A113DC">
      <w:pPr>
        <w:spacing w:before="4"/>
        <w:rPr>
          <w:rFonts w:eastAsia="Calibri" w:cs="Calibri"/>
          <w:sz w:val="18"/>
          <w:szCs w:val="18"/>
        </w:rPr>
      </w:pPr>
    </w:p>
    <w:p w:rsidR="00A113DC" w:rsidRPr="00ED1F31" w:rsidRDefault="00F46E39" w:rsidP="00976521">
      <w:pPr>
        <w:pStyle w:val="ListParagraph"/>
        <w:numPr>
          <w:ilvl w:val="2"/>
          <w:numId w:val="37"/>
        </w:numPr>
      </w:pPr>
      <w:r w:rsidRPr="00ED1F31">
        <w:t>Amended law of 30 Apr</w:t>
      </w:r>
      <w:r w:rsidRPr="00ED1F31">
        <w:t>il 2008 on the creation of the Technical Investigation Administration</w:t>
      </w:r>
    </w:p>
    <w:p w:rsidR="00A113DC" w:rsidRPr="00ED1F31" w:rsidRDefault="00F46E39" w:rsidP="00D0532B">
      <w:pPr>
        <w:pStyle w:val="ListParagraph"/>
        <w:spacing w:before="0"/>
        <w:ind w:left="1720" w:firstLine="0"/>
      </w:pPr>
      <w:r w:rsidRPr="00ED1F31">
        <w:t>Publication in the Official Gazette – Mémorial A No 65 of 19 May 2008;</w:t>
      </w:r>
    </w:p>
    <w:p w:rsidR="00A113DC" w:rsidRPr="00ED1F31" w:rsidRDefault="00A113DC" w:rsidP="00D0532B">
      <w:pPr>
        <w:pStyle w:val="ListParagraph"/>
      </w:pPr>
    </w:p>
    <w:p w:rsidR="00A113DC" w:rsidRPr="00ED1F31" w:rsidRDefault="00F46E39" w:rsidP="00976521">
      <w:pPr>
        <w:pStyle w:val="ListParagraph"/>
        <w:numPr>
          <w:ilvl w:val="2"/>
          <w:numId w:val="37"/>
        </w:numPr>
      </w:pPr>
      <w:r w:rsidRPr="00ED1F31">
        <w:t>Grand-Ducal Regulation of 7 November 2008 on additional specifications with regard to accidents and incidents in t</w:t>
      </w:r>
      <w:r w:rsidRPr="00ED1F31">
        <w:t>he railway sector</w:t>
      </w:r>
    </w:p>
    <w:p w:rsidR="00A113DC" w:rsidRPr="00ED1F31" w:rsidRDefault="00F46E39" w:rsidP="00D0532B">
      <w:pPr>
        <w:pStyle w:val="ListParagraph"/>
        <w:spacing w:before="0"/>
        <w:ind w:left="1720" w:firstLine="0"/>
      </w:pPr>
      <w:r w:rsidRPr="00ED1F31">
        <w:t xml:space="preserve">Publication in the Official Gazette – </w:t>
      </w:r>
      <w:hyperlink r:id="rId13" w:history="1">
        <w:proofErr w:type="spellStart"/>
        <w:r w:rsidRPr="00ED1F31">
          <w:rPr>
            <w:rStyle w:val="Hyperlink"/>
            <w:color w:val="auto"/>
            <w:u w:val="none"/>
          </w:rPr>
          <w:t>Mémorial</w:t>
        </w:r>
        <w:proofErr w:type="spellEnd"/>
        <w:r w:rsidRPr="00ED1F31">
          <w:rPr>
            <w:rStyle w:val="Hyperlink"/>
            <w:color w:val="auto"/>
            <w:u w:val="none"/>
          </w:rPr>
          <w:t xml:space="preserve"> A No 172</w:t>
        </w:r>
      </w:hyperlink>
      <w:r w:rsidRPr="00ED1F31">
        <w:t xml:space="preserve"> of 28 November 2008;</w:t>
      </w:r>
    </w:p>
    <w:p w:rsidR="00A113DC" w:rsidRPr="00ED1F31" w:rsidRDefault="00A113DC" w:rsidP="00D0532B">
      <w:pPr>
        <w:pStyle w:val="ListParagraph"/>
      </w:pPr>
    </w:p>
    <w:p w:rsidR="00A113DC" w:rsidRPr="00ED1F31" w:rsidRDefault="00F46E39" w:rsidP="00976521">
      <w:pPr>
        <w:pStyle w:val="ListParagraph"/>
        <w:numPr>
          <w:ilvl w:val="2"/>
          <w:numId w:val="37"/>
        </w:numPr>
      </w:pPr>
      <w:r w:rsidRPr="00ED1F31">
        <w:t>Amended law of 22 July 2009 on safety on the Community’s railways (Railway Safe</w:t>
      </w:r>
      <w:r w:rsidRPr="00ED1F31">
        <w:t>ty Directive)</w:t>
      </w:r>
    </w:p>
    <w:p w:rsidR="00A113DC" w:rsidRPr="00ED1F31" w:rsidRDefault="00F46E39" w:rsidP="00D0532B">
      <w:pPr>
        <w:pStyle w:val="ListParagraph"/>
        <w:spacing w:before="0"/>
        <w:ind w:left="1720" w:firstLine="0"/>
      </w:pPr>
      <w:r w:rsidRPr="00ED1F31">
        <w:t>Publication in the Official Gazette – Mémorial A No 169 of 27 July 2009</w:t>
      </w:r>
    </w:p>
    <w:p w:rsidR="00A113DC" w:rsidRPr="00ED1F31" w:rsidRDefault="00F46E39" w:rsidP="00D0532B">
      <w:pPr>
        <w:pStyle w:val="ListParagraph"/>
        <w:spacing w:before="0"/>
        <w:ind w:left="1720" w:firstLine="0"/>
      </w:pPr>
      <w:r w:rsidRPr="00ED1F31">
        <w:t>amended by the law of 14 December 2011 – consolidated version</w:t>
      </w:r>
      <w:r w:rsidRPr="00ED1F31">
        <w:br/>
        <w:t>Publication in the Official Gazette – Mémorial A No 273 of 27 December 2011 (see below) amended by the law o</w:t>
      </w:r>
      <w:r w:rsidRPr="00ED1F31">
        <w:t>f 23 December 2016 transposing the recast of the First Railway Package</w:t>
      </w:r>
    </w:p>
    <w:p w:rsidR="00A113DC" w:rsidRPr="00ED1F31" w:rsidRDefault="00F46E39" w:rsidP="00D0532B">
      <w:pPr>
        <w:pStyle w:val="ListParagraph"/>
        <w:spacing w:before="0"/>
        <w:ind w:left="1720" w:firstLine="0"/>
      </w:pPr>
      <w:r w:rsidRPr="00ED1F31">
        <w:t>Publication in the Official Gazette – Mémorial A No 294 of 27 December 2016;</w:t>
      </w:r>
    </w:p>
    <w:p w:rsidR="00A113DC" w:rsidRPr="00ED1F31" w:rsidRDefault="00A113DC" w:rsidP="00D0532B">
      <w:pPr>
        <w:pStyle w:val="ListParagraph"/>
      </w:pPr>
    </w:p>
    <w:p w:rsidR="00A113DC" w:rsidRPr="00ED1F31" w:rsidRDefault="00F46E39" w:rsidP="00976521">
      <w:pPr>
        <w:pStyle w:val="ListParagraph"/>
        <w:numPr>
          <w:ilvl w:val="2"/>
          <w:numId w:val="37"/>
        </w:numPr>
      </w:pPr>
      <w:r w:rsidRPr="00ED1F31">
        <w:t>Grand-Ducal Regulation of 21 September 2009 on safety certification of railway undertakings</w:t>
      </w:r>
    </w:p>
    <w:p w:rsidR="00A113DC" w:rsidRPr="00ED1F31" w:rsidRDefault="00F46E39" w:rsidP="00D0532B">
      <w:pPr>
        <w:pStyle w:val="ListParagraph"/>
        <w:spacing w:before="0"/>
        <w:ind w:left="1720" w:firstLine="0"/>
      </w:pPr>
      <w:r w:rsidRPr="00ED1F31">
        <w:t xml:space="preserve">Publication in </w:t>
      </w:r>
      <w:r w:rsidRPr="00ED1F31">
        <w:t>the Official Gazette – Mémorial A No 273 of 5 October 2009;</w:t>
      </w:r>
    </w:p>
    <w:p w:rsidR="00A113DC" w:rsidRPr="00ED1F31" w:rsidRDefault="00A113DC" w:rsidP="00D0532B">
      <w:pPr>
        <w:pStyle w:val="ListParagraph"/>
      </w:pPr>
    </w:p>
    <w:p w:rsidR="00D0532B" w:rsidRPr="00ED1F31" w:rsidRDefault="00F46E39" w:rsidP="00976521">
      <w:pPr>
        <w:pStyle w:val="ListParagraph"/>
        <w:numPr>
          <w:ilvl w:val="2"/>
          <w:numId w:val="37"/>
        </w:numPr>
      </w:pPr>
      <w:r w:rsidRPr="00ED1F31">
        <w:t xml:space="preserve">Grand-Ducal Regulation of 21 September 2009 on safety certification of railway infrastructure managers </w:t>
      </w:r>
    </w:p>
    <w:p w:rsidR="00A113DC" w:rsidRPr="00ED1F31" w:rsidRDefault="00F46E39" w:rsidP="00D0532B">
      <w:pPr>
        <w:pStyle w:val="ListParagraph"/>
        <w:spacing w:before="0"/>
        <w:ind w:left="1720" w:firstLine="0"/>
      </w:pPr>
      <w:r w:rsidRPr="00ED1F31">
        <w:t>Publication in the Official Gazette – Mémorial A No 273 of 5 October 2009;</w:t>
      </w:r>
    </w:p>
    <w:p w:rsidR="00A113DC" w:rsidRPr="00ED1F31" w:rsidRDefault="00A113DC" w:rsidP="00D0532B">
      <w:pPr>
        <w:pStyle w:val="ListParagraph"/>
      </w:pPr>
    </w:p>
    <w:p w:rsidR="00A113DC" w:rsidRPr="00ED1F31" w:rsidRDefault="00F46E39" w:rsidP="00976521">
      <w:pPr>
        <w:pStyle w:val="ListParagraph"/>
        <w:numPr>
          <w:ilvl w:val="2"/>
          <w:numId w:val="37"/>
        </w:numPr>
      </w:pPr>
      <w:r w:rsidRPr="00ED1F31">
        <w:t xml:space="preserve">Grand-Ducal </w:t>
      </w:r>
      <w:r w:rsidRPr="00ED1F31">
        <w:t>Regulation of 1 June 2010 on the interoperability of the rail system:</w:t>
      </w:r>
    </w:p>
    <w:p w:rsidR="00A113DC" w:rsidRPr="00ED1F31" w:rsidRDefault="00F46E39" w:rsidP="00A01FBD">
      <w:pPr>
        <w:pStyle w:val="ListParagraph"/>
        <w:spacing w:before="0"/>
        <w:ind w:left="1890" w:firstLine="0"/>
      </w:pPr>
      <w:r w:rsidRPr="00ED1F31">
        <w:t>amending the Grand-Ducal Regulation of 21 September 2009 on safety certification of railway undertakings (Article 36) Publication in the Official Gazette – Mémorial A No 91 of 14 June 20</w:t>
      </w:r>
      <w:r w:rsidRPr="00ED1F31">
        <w:t>10</w:t>
      </w:r>
    </w:p>
    <w:p w:rsidR="00A113DC" w:rsidRPr="00ED1F31" w:rsidRDefault="00F46E39" w:rsidP="00A01FBD">
      <w:pPr>
        <w:pStyle w:val="ListParagraph"/>
        <w:spacing w:before="0"/>
        <w:ind w:left="1890" w:firstLine="0"/>
      </w:pPr>
      <w:r w:rsidRPr="00ED1F31">
        <w:t>amending the Grand-Ducal Regulation of 21 September 2009 on safety certification of railway infrastructure managers (Article 37). Publication in the Official Gazette – Mémorial A No 91 of 14 June 2010.</w:t>
      </w:r>
    </w:p>
    <w:p w:rsidR="00A113DC" w:rsidRPr="00ED1F31" w:rsidRDefault="00F46E39" w:rsidP="009156EF">
      <w:pPr>
        <w:pStyle w:val="BodyText"/>
        <w:pageBreakBefore/>
      </w:pPr>
      <w:r w:rsidRPr="00ED1F31">
        <w:t xml:space="preserve">DIRECTIVE </w:t>
      </w:r>
      <w:r w:rsidRPr="00ED1F31">
        <w:rPr>
          <w:b/>
          <w:u w:val="single"/>
        </w:rPr>
        <w:t>(EU) 2016/798</w:t>
      </w:r>
      <w:r w:rsidRPr="00ED1F31">
        <w:t xml:space="preserve"> OF THE EUROPEAN PARLIAMENT </w:t>
      </w:r>
      <w:r w:rsidRPr="00ED1F31">
        <w:t>AND OF THE COUNCIL of 11 May 2016 on railway safety is undergoing transposition.</w:t>
      </w:r>
    </w:p>
    <w:p w:rsidR="00A113DC" w:rsidRPr="00ED1F31" w:rsidRDefault="00F46E39" w:rsidP="00D0532B">
      <w:pPr>
        <w:pStyle w:val="BodyText"/>
        <w:ind w:left="1843"/>
      </w:pPr>
      <w:r w:rsidRPr="00ED1F31">
        <w:t>Transposition is in progress.</w:t>
      </w:r>
    </w:p>
    <w:p w:rsidR="00A113DC" w:rsidRPr="00ED1F31" w:rsidRDefault="00A113DC">
      <w:pPr>
        <w:spacing w:before="3"/>
        <w:rPr>
          <w:rFonts w:eastAsia="Calibri" w:cs="Calibri"/>
          <w:sz w:val="31"/>
          <w:szCs w:val="31"/>
        </w:rPr>
      </w:pPr>
    </w:p>
    <w:p w:rsidR="00A113DC" w:rsidRPr="00ED1F31" w:rsidRDefault="00F46E39" w:rsidP="00D0532B">
      <w:pPr>
        <w:pStyle w:val="Heading3"/>
      </w:pPr>
      <w:r w:rsidRPr="00ED1F31">
        <w:t>Progress made in transposing the amendments to the Railway Safety Directive 2004/49/EC</w:t>
      </w:r>
    </w:p>
    <w:p w:rsidR="00A113DC" w:rsidRPr="00ED1F31" w:rsidRDefault="00F46E39" w:rsidP="00D0532B">
      <w:pPr>
        <w:pStyle w:val="BodyText"/>
      </w:pPr>
      <w:r w:rsidRPr="00ED1F31">
        <w:t>See ANNEX B, Table 1</w:t>
      </w:r>
    </w:p>
    <w:p w:rsidR="00A113DC" w:rsidRPr="00ED1F31" w:rsidRDefault="00A113DC">
      <w:pPr>
        <w:rPr>
          <w:rFonts w:eastAsia="Calibri" w:cs="Calibri"/>
          <w:szCs w:val="24"/>
        </w:rPr>
      </w:pPr>
    </w:p>
    <w:p w:rsidR="00A113DC" w:rsidRPr="00ED1F31" w:rsidRDefault="00F46E39" w:rsidP="00976521">
      <w:pPr>
        <w:pStyle w:val="Heading2"/>
        <w:numPr>
          <w:ilvl w:val="1"/>
          <w:numId w:val="16"/>
        </w:numPr>
      </w:pPr>
      <w:bookmarkStart w:id="104" w:name="F.2___Changements_importants_dans_la_lég"/>
      <w:bookmarkStart w:id="105" w:name="_bookmark26"/>
      <w:bookmarkStart w:id="106" w:name="_Toc500406956"/>
      <w:bookmarkStart w:id="107" w:name="_Toc505328209"/>
      <w:bookmarkEnd w:id="104"/>
      <w:bookmarkEnd w:id="105"/>
      <w:r w:rsidRPr="00ED1F31">
        <w:t xml:space="preserve">Important changes to the law and </w:t>
      </w:r>
      <w:r w:rsidRPr="00ED1F31">
        <w:t>regulations</w:t>
      </w:r>
      <w:bookmarkEnd w:id="106"/>
      <w:bookmarkEnd w:id="107"/>
    </w:p>
    <w:p w:rsidR="00666E35" w:rsidRPr="00ED1F31" w:rsidRDefault="00F46E39" w:rsidP="00E026B7">
      <w:pPr>
        <w:pStyle w:val="BodyText"/>
      </w:pPr>
      <w:r w:rsidRPr="00ED1F31">
        <w:t>See ANNEX B, Table 2</w:t>
      </w:r>
    </w:p>
    <w:p w:rsidR="00E026B7" w:rsidRPr="00ED1F31" w:rsidRDefault="00E026B7" w:rsidP="004701B0">
      <w:pPr>
        <w:pStyle w:val="BodyText"/>
        <w:sectPr w:rsidR="00E026B7" w:rsidRPr="00ED1F31" w:rsidSect="00205240">
          <w:pgSz w:w="11910" w:h="16840"/>
          <w:pgMar w:top="1397" w:right="1325" w:bottom="734" w:left="1339" w:header="0" w:footer="546" w:gutter="0"/>
          <w:cols w:space="720"/>
        </w:sectPr>
      </w:pPr>
    </w:p>
    <w:p w:rsidR="00A113DC" w:rsidRPr="00ED1F31" w:rsidRDefault="00F46E39" w:rsidP="00976521">
      <w:pPr>
        <w:pStyle w:val="Heading1"/>
        <w:numPr>
          <w:ilvl w:val="0"/>
          <w:numId w:val="16"/>
        </w:numPr>
        <w:rPr>
          <w:b w:val="0"/>
          <w:bCs w:val="0"/>
        </w:rPr>
      </w:pPr>
      <w:bookmarkStart w:id="108" w:name="G.__APPLICATION_DE_LA_MSC_RELATIVE_A_L’E"/>
      <w:bookmarkStart w:id="109" w:name="_bookmark27"/>
      <w:bookmarkStart w:id="110" w:name="_Toc500406957"/>
      <w:bookmarkStart w:id="111" w:name="_Toc505328210"/>
      <w:bookmarkEnd w:id="108"/>
      <w:bookmarkEnd w:id="109"/>
      <w:r w:rsidRPr="00ED1F31">
        <w:t>APPLICATION OF THE COMMON SAFETY METHOD TO RISK EVALUATION AND ASSESSMENT</w:t>
      </w:r>
      <w:bookmarkEnd w:id="110"/>
      <w:bookmarkEnd w:id="111"/>
    </w:p>
    <w:p w:rsidR="00A113DC" w:rsidRPr="00ED1F31" w:rsidRDefault="00F46E39" w:rsidP="00976521">
      <w:pPr>
        <w:pStyle w:val="Heading2"/>
        <w:numPr>
          <w:ilvl w:val="1"/>
          <w:numId w:val="16"/>
        </w:numPr>
      </w:pPr>
      <w:bookmarkStart w:id="112" w:name="G.1___Expérience_de_l’ANS"/>
      <w:bookmarkStart w:id="113" w:name="_bookmark28"/>
      <w:bookmarkStart w:id="114" w:name="_Toc500406958"/>
      <w:bookmarkStart w:id="115" w:name="_Toc505328211"/>
      <w:bookmarkEnd w:id="112"/>
      <w:bookmarkEnd w:id="113"/>
      <w:r w:rsidRPr="00ED1F31">
        <w:t>The National Safety Authority’s experience</w:t>
      </w:r>
      <w:bookmarkEnd w:id="114"/>
      <w:bookmarkEnd w:id="115"/>
    </w:p>
    <w:p w:rsidR="00A113DC" w:rsidRPr="00ED1F31" w:rsidRDefault="00F46E39" w:rsidP="00E026B7">
      <w:pPr>
        <w:pStyle w:val="BodyText"/>
      </w:pPr>
      <w:r w:rsidRPr="00ED1F31">
        <w:t>The application of the Common Safety Method for risk evaluation and assessment, which</w:t>
      </w:r>
      <w:r w:rsidRPr="00ED1F31">
        <w:t xml:space="preserve"> is now much more frequent than in the 2010 to 2012 period, allows us to conclude that it has now become an accepted, valuable tool for the IM and the RUs that hold safety certificates for Luxembourg.</w:t>
      </w:r>
    </w:p>
    <w:p w:rsidR="00AD038F" w:rsidRPr="00ED1F31" w:rsidRDefault="00F46E39" w:rsidP="00E026B7">
      <w:pPr>
        <w:pStyle w:val="BodyText"/>
      </w:pPr>
      <w:r w:rsidRPr="00ED1F31">
        <w:t xml:space="preserve">However, there is a problem with the independence of </w:t>
      </w:r>
      <w:r w:rsidRPr="00ED1F31">
        <w:t>the evaluation bodies. On the one hand, there are very few competent organisations, especially for infrastructure projects, and on the other, the Luxembourg infrastructure manager and railway undertakings are small and have a very limited number of experts</w:t>
      </w:r>
      <w:r w:rsidRPr="00ED1F31">
        <w:t xml:space="preserve"> in each field, and they therefore have organisational difficulties when attempting to guarantee the independence of the staff carrying out the assessments required in the case of significant changes.</w:t>
      </w:r>
    </w:p>
    <w:p w:rsidR="00666E35" w:rsidRPr="00ED1F31" w:rsidRDefault="00666E35" w:rsidP="004701B0">
      <w:pPr>
        <w:pStyle w:val="BodyText"/>
      </w:pPr>
    </w:p>
    <w:p w:rsidR="00A113DC" w:rsidRPr="00ED1F31" w:rsidRDefault="00F46E39" w:rsidP="00976521">
      <w:pPr>
        <w:pStyle w:val="Heading2"/>
        <w:numPr>
          <w:ilvl w:val="1"/>
          <w:numId w:val="16"/>
        </w:numPr>
      </w:pPr>
      <w:bookmarkStart w:id="116" w:name="G.2___Réactions_de_parties_prenantes"/>
      <w:bookmarkStart w:id="117" w:name="_bookmark29"/>
      <w:bookmarkStart w:id="118" w:name="_Toc500406959"/>
      <w:bookmarkStart w:id="119" w:name="_Toc505328212"/>
      <w:bookmarkEnd w:id="116"/>
      <w:bookmarkEnd w:id="117"/>
      <w:r w:rsidRPr="00ED1F31">
        <w:t>Stakeholders’ reactions</w:t>
      </w:r>
      <w:bookmarkEnd w:id="118"/>
      <w:bookmarkEnd w:id="119"/>
    </w:p>
    <w:p w:rsidR="00A113DC" w:rsidRPr="00ED1F31" w:rsidRDefault="00F46E39" w:rsidP="00E026B7">
      <w:pPr>
        <w:pStyle w:val="BodyText"/>
      </w:pPr>
      <w:r w:rsidRPr="00ED1F31">
        <w:t>Instances of the application o</w:t>
      </w:r>
      <w:r w:rsidRPr="00ED1F31">
        <w:t>f Commission Implementing Regulation (EU) No 402/2013 have increased compared to previous years, to 33, as reflected in the table below:</w:t>
      </w:r>
    </w:p>
    <w:p w:rsidR="00A113DC" w:rsidRPr="00ED1F31" w:rsidRDefault="00A113DC">
      <w:pPr>
        <w:spacing w:before="6"/>
        <w:rPr>
          <w:rFonts w:eastAsia="Calibri" w:cs="Calibri"/>
          <w:sz w:val="16"/>
          <w:szCs w:val="16"/>
        </w:rPr>
      </w:pPr>
    </w:p>
    <w:tbl>
      <w:tblPr>
        <w:tblW w:w="0" w:type="auto"/>
        <w:tblInd w:w="918" w:type="dxa"/>
        <w:tblLayout w:type="fixed"/>
        <w:tblCellMar>
          <w:left w:w="0" w:type="dxa"/>
          <w:right w:w="0" w:type="dxa"/>
        </w:tblCellMar>
        <w:tblLook w:val="01E0" w:firstRow="1" w:lastRow="1" w:firstColumn="1" w:lastColumn="1" w:noHBand="0" w:noVBand="0"/>
      </w:tblPr>
      <w:tblGrid>
        <w:gridCol w:w="1445"/>
        <w:gridCol w:w="2551"/>
        <w:gridCol w:w="710"/>
        <w:gridCol w:w="708"/>
        <w:gridCol w:w="708"/>
        <w:gridCol w:w="710"/>
        <w:gridCol w:w="708"/>
        <w:gridCol w:w="708"/>
        <w:gridCol w:w="708"/>
      </w:tblGrid>
      <w:tr w:rsidR="00BD7B71" w:rsidTr="007838FC">
        <w:trPr>
          <w:trHeight w:hRule="exact" w:val="689"/>
        </w:trPr>
        <w:tc>
          <w:tcPr>
            <w:tcW w:w="1445"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838FC">
            <w:pPr>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Types of changes</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2011</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2012</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2013</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2014</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2015</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2016</w:t>
            </w:r>
          </w:p>
        </w:tc>
      </w:tr>
      <w:tr w:rsidR="00BD7B71" w:rsidTr="007838FC">
        <w:trPr>
          <w:trHeight w:hRule="exact" w:val="691"/>
        </w:trPr>
        <w:tc>
          <w:tcPr>
            <w:tcW w:w="1445" w:type="dxa"/>
            <w:vMerge w:val="restart"/>
            <w:tcBorders>
              <w:top w:val="single" w:sz="4" w:space="0" w:color="000000"/>
              <w:left w:val="single" w:sz="4" w:space="0" w:color="000000"/>
              <w:right w:val="single" w:sz="4" w:space="0" w:color="000000"/>
            </w:tcBorders>
            <w:vAlign w:val="center"/>
          </w:tcPr>
          <w:p w:rsidR="00A113DC" w:rsidRPr="00ED1F31" w:rsidRDefault="00F46E39" w:rsidP="007838FC">
            <w:pPr>
              <w:pStyle w:val="TableParagraph"/>
              <w:ind w:left="103" w:right="242"/>
              <w:rPr>
                <w:rFonts w:ascii="Arial" w:eastAsia="Arial" w:hAnsi="Arial" w:cs="Arial"/>
                <w:sz w:val="20"/>
                <w:szCs w:val="20"/>
              </w:rPr>
            </w:pPr>
            <w:r w:rsidRPr="00ED1F31">
              <w:rPr>
                <w:rFonts w:ascii="Arial" w:hAnsi="Arial"/>
                <w:sz w:val="20"/>
              </w:rPr>
              <w:t>Number of applications</w:t>
            </w:r>
          </w:p>
        </w:tc>
        <w:tc>
          <w:tcPr>
            <w:tcW w:w="255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103"/>
              <w:rPr>
                <w:rFonts w:ascii="Arial" w:eastAsia="Arial" w:hAnsi="Arial" w:cs="Arial"/>
                <w:sz w:val="20"/>
                <w:szCs w:val="20"/>
              </w:rPr>
            </w:pPr>
            <w:r w:rsidRPr="00ED1F31">
              <w:rPr>
                <w:rFonts w:ascii="Arial" w:hAnsi="Arial"/>
                <w:sz w:val="20"/>
              </w:rPr>
              <w:t>Vehicles and Structural S-Systems</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16</w:t>
            </w:r>
          </w:p>
        </w:tc>
      </w:tr>
      <w:tr w:rsidR="00BD7B71" w:rsidTr="007838FC">
        <w:trPr>
          <w:trHeight w:hRule="exact" w:val="689"/>
        </w:trPr>
        <w:tc>
          <w:tcPr>
            <w:tcW w:w="1445" w:type="dxa"/>
            <w:vMerge/>
            <w:tcBorders>
              <w:left w:val="single" w:sz="4" w:space="0" w:color="000000"/>
              <w:right w:val="single" w:sz="4" w:space="0" w:color="000000"/>
            </w:tcBorders>
            <w:vAlign w:val="center"/>
          </w:tcPr>
          <w:p w:rsidR="00A113DC" w:rsidRPr="00ED1F31" w:rsidRDefault="00A113DC" w:rsidP="007838FC">
            <w:pPr>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103" w:right="583"/>
              <w:rPr>
                <w:rFonts w:ascii="Arial" w:eastAsia="Arial" w:hAnsi="Arial" w:cs="Arial"/>
                <w:sz w:val="20"/>
                <w:szCs w:val="20"/>
              </w:rPr>
            </w:pPr>
            <w:r w:rsidRPr="00ED1F31">
              <w:rPr>
                <w:rFonts w:ascii="Arial" w:hAnsi="Arial"/>
                <w:sz w:val="20"/>
              </w:rPr>
              <w:t>Operational and Organisational</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838FC">
            <w:pPr>
              <w:ind w:left="0" w:right="0"/>
              <w:jc w:val="center"/>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A113DC" w:rsidP="007838FC">
            <w:pPr>
              <w:ind w:left="0" w:right="0"/>
              <w:jc w:val="center"/>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8</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14</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15</w:t>
            </w:r>
          </w:p>
        </w:tc>
      </w:tr>
      <w:tr w:rsidR="00BD7B71" w:rsidTr="007838FC">
        <w:trPr>
          <w:trHeight w:hRule="exact" w:val="691"/>
        </w:trPr>
        <w:tc>
          <w:tcPr>
            <w:tcW w:w="1445" w:type="dxa"/>
            <w:vMerge/>
            <w:tcBorders>
              <w:left w:val="single" w:sz="4" w:space="0" w:color="000000"/>
              <w:bottom w:val="single" w:sz="4" w:space="0" w:color="000000"/>
              <w:right w:val="single" w:sz="4" w:space="0" w:color="000000"/>
            </w:tcBorders>
            <w:vAlign w:val="center"/>
          </w:tcPr>
          <w:p w:rsidR="00A113DC" w:rsidRPr="00ED1F31" w:rsidRDefault="00A113DC" w:rsidP="007838FC">
            <w:pPr>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103"/>
              <w:rPr>
                <w:rFonts w:ascii="Arial" w:eastAsia="Arial" w:hAnsi="Arial" w:cs="Arial"/>
                <w:sz w:val="20"/>
                <w:szCs w:val="20"/>
              </w:rPr>
            </w:pPr>
            <w:r w:rsidRPr="00ED1F31">
              <w:rPr>
                <w:rFonts w:ascii="Arial" w:hAnsi="Arial"/>
                <w:sz w:val="20"/>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11</w:t>
            </w:r>
          </w:p>
        </w:tc>
        <w:tc>
          <w:tcPr>
            <w:tcW w:w="710"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21</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29</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33</w:t>
            </w:r>
          </w:p>
        </w:tc>
      </w:tr>
      <w:tr w:rsidR="00BD7B71" w:rsidTr="007838FC">
        <w:trPr>
          <w:trHeight w:hRule="exact" w:val="689"/>
        </w:trPr>
        <w:tc>
          <w:tcPr>
            <w:tcW w:w="1445" w:type="dxa"/>
            <w:vMerge w:val="restart"/>
            <w:tcBorders>
              <w:top w:val="single" w:sz="4" w:space="0" w:color="000000"/>
              <w:left w:val="single" w:sz="4" w:space="0" w:color="000000"/>
              <w:right w:val="single" w:sz="4" w:space="0" w:color="000000"/>
            </w:tcBorders>
            <w:vAlign w:val="center"/>
          </w:tcPr>
          <w:p w:rsidR="00A113DC" w:rsidRPr="00ED1F31" w:rsidRDefault="00F46E39" w:rsidP="007838FC">
            <w:pPr>
              <w:pStyle w:val="TableParagraph"/>
              <w:ind w:left="103" w:right="198"/>
              <w:rPr>
                <w:rFonts w:ascii="Arial" w:eastAsia="Arial" w:hAnsi="Arial" w:cs="Arial"/>
                <w:sz w:val="20"/>
                <w:szCs w:val="20"/>
              </w:rPr>
            </w:pPr>
            <w:r w:rsidRPr="00ED1F31">
              <w:rPr>
                <w:rFonts w:ascii="Arial" w:hAnsi="Arial"/>
                <w:sz w:val="20"/>
              </w:rPr>
              <w:t>Number of applications considered significant</w:t>
            </w:r>
          </w:p>
        </w:tc>
        <w:tc>
          <w:tcPr>
            <w:tcW w:w="255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ED1F31">
            <w:pPr>
              <w:pStyle w:val="TableParagraph"/>
              <w:spacing w:line="229" w:lineRule="exact"/>
              <w:ind w:left="184"/>
              <w:rPr>
                <w:rFonts w:ascii="Arial" w:eastAsia="Arial" w:hAnsi="Arial" w:cs="Arial"/>
                <w:sz w:val="20"/>
                <w:szCs w:val="20"/>
              </w:rPr>
            </w:pPr>
            <w:r w:rsidRPr="00ED1F31">
              <w:rPr>
                <w:rFonts w:ascii="Arial" w:hAnsi="Arial"/>
                <w:sz w:val="20"/>
              </w:rPr>
              <w:t>Vehicles and Structural S-Systems</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r>
      <w:tr w:rsidR="00BD7B71" w:rsidTr="007838FC">
        <w:trPr>
          <w:trHeight w:hRule="exact" w:val="691"/>
        </w:trPr>
        <w:tc>
          <w:tcPr>
            <w:tcW w:w="1445" w:type="dxa"/>
            <w:vMerge/>
            <w:tcBorders>
              <w:left w:val="single" w:sz="4" w:space="0" w:color="000000"/>
              <w:right w:val="single" w:sz="4" w:space="0" w:color="000000"/>
            </w:tcBorders>
            <w:vAlign w:val="center"/>
          </w:tcPr>
          <w:p w:rsidR="00A113DC" w:rsidRPr="00ED1F31" w:rsidRDefault="00A113DC" w:rsidP="007838FC">
            <w:pPr>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102" w:right="782"/>
              <w:rPr>
                <w:rFonts w:ascii="Arial" w:eastAsia="Arial" w:hAnsi="Arial" w:cs="Arial"/>
                <w:sz w:val="20"/>
                <w:szCs w:val="20"/>
              </w:rPr>
            </w:pPr>
            <w:r w:rsidRPr="00ED1F31">
              <w:rPr>
                <w:rFonts w:ascii="Arial" w:hAnsi="Arial"/>
                <w:sz w:val="20"/>
              </w:rPr>
              <w:t>Operational and Organisational</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r>
      <w:tr w:rsidR="00BD7B71" w:rsidTr="007838FC">
        <w:trPr>
          <w:trHeight w:hRule="exact" w:val="689"/>
        </w:trPr>
        <w:tc>
          <w:tcPr>
            <w:tcW w:w="1445" w:type="dxa"/>
            <w:vMerge/>
            <w:tcBorders>
              <w:left w:val="single" w:sz="4" w:space="0" w:color="000000"/>
              <w:bottom w:val="single" w:sz="4" w:space="0" w:color="000000"/>
              <w:right w:val="single" w:sz="4" w:space="0" w:color="000000"/>
            </w:tcBorders>
            <w:vAlign w:val="center"/>
          </w:tcPr>
          <w:p w:rsidR="00A113DC" w:rsidRPr="00ED1F31" w:rsidRDefault="00A113DC" w:rsidP="007838FC">
            <w:pPr>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103"/>
              <w:rPr>
                <w:rFonts w:ascii="Arial" w:eastAsia="Arial" w:hAnsi="Arial" w:cs="Arial"/>
                <w:sz w:val="20"/>
                <w:szCs w:val="20"/>
              </w:rPr>
            </w:pPr>
            <w:r w:rsidRPr="00ED1F31">
              <w:rPr>
                <w:rFonts w:ascii="Arial" w:hAnsi="Arial"/>
                <w:sz w:val="20"/>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c>
          <w:tcPr>
            <w:tcW w:w="710"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0</w:t>
            </w:r>
          </w:p>
        </w:tc>
        <w:tc>
          <w:tcPr>
            <w:tcW w:w="70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A113DC" w:rsidRPr="00ED1F31" w:rsidRDefault="00F46E39" w:rsidP="007838FC">
            <w:pPr>
              <w:pStyle w:val="TableParagraph"/>
              <w:ind w:left="0" w:right="0"/>
              <w:jc w:val="center"/>
              <w:rPr>
                <w:rFonts w:ascii="Arial" w:eastAsia="Arial" w:hAnsi="Arial" w:cs="Arial"/>
                <w:sz w:val="20"/>
                <w:szCs w:val="20"/>
              </w:rPr>
            </w:pPr>
            <w:r w:rsidRPr="00ED1F31">
              <w:rPr>
                <w:rFonts w:ascii="Arial" w:hAnsi="Arial"/>
                <w:sz w:val="20"/>
              </w:rPr>
              <w:t>2</w:t>
            </w:r>
          </w:p>
        </w:tc>
      </w:tr>
    </w:tbl>
    <w:p w:rsidR="00A113DC" w:rsidRPr="00ED1F31" w:rsidRDefault="00F46E39" w:rsidP="00E026B7">
      <w:pPr>
        <w:pStyle w:val="Quote"/>
        <w:rPr>
          <w:rFonts w:eastAsia="Arial" w:cs="Arial"/>
          <w:szCs w:val="18"/>
        </w:rPr>
      </w:pPr>
      <w:r w:rsidRPr="00ED1F31">
        <w:t>*the number recorded includes:</w:t>
      </w:r>
    </w:p>
    <w:p w:rsidR="00A113DC" w:rsidRPr="00ED1F31" w:rsidRDefault="00F46E39" w:rsidP="0098236B">
      <w:pPr>
        <w:pStyle w:val="Quote"/>
        <w:numPr>
          <w:ilvl w:val="0"/>
          <w:numId w:val="38"/>
        </w:numPr>
        <w:ind w:right="2946"/>
        <w:rPr>
          <w:rFonts w:eastAsia="Arial" w:cs="Arial"/>
          <w:szCs w:val="18"/>
        </w:rPr>
      </w:pPr>
      <w:r w:rsidRPr="00ED1F31">
        <w:t>one application started in 2012 and finished in the past year and one application that had just been started in 2013 and is currently being assessed.</w:t>
      </w:r>
    </w:p>
    <w:p w:rsidR="00A113DC" w:rsidRPr="00ED1F31" w:rsidRDefault="00F46E39" w:rsidP="005729A3">
      <w:pPr>
        <w:pStyle w:val="Heading2"/>
        <w:pageBreakBefore/>
        <w:numPr>
          <w:ilvl w:val="1"/>
          <w:numId w:val="16"/>
        </w:numPr>
        <w:spacing w:before="0"/>
        <w:ind w:left="676" w:right="288"/>
      </w:pPr>
      <w:bookmarkStart w:id="120" w:name="G.3___Révision_des_RSN_pour_prendre_en_c"/>
      <w:bookmarkStart w:id="121" w:name="_bookmark30"/>
      <w:bookmarkStart w:id="122" w:name="_Toc500406960"/>
      <w:bookmarkStart w:id="123" w:name="_Toc505328213"/>
      <w:bookmarkEnd w:id="120"/>
      <w:bookmarkEnd w:id="121"/>
      <w:r w:rsidRPr="00ED1F31">
        <w:t>Revision of the NSRs to take account of the EC Regulation on the CSM on ris</w:t>
      </w:r>
      <w:r w:rsidRPr="00ED1F31">
        <w:t>k evaluation and assessment</w:t>
      </w:r>
      <w:bookmarkEnd w:id="122"/>
      <w:bookmarkEnd w:id="123"/>
    </w:p>
    <w:p w:rsidR="00A113DC" w:rsidRPr="00ED1F31" w:rsidRDefault="00F46E39" w:rsidP="00E026B7">
      <w:pPr>
        <w:pStyle w:val="BodyText"/>
      </w:pPr>
      <w:r w:rsidRPr="00ED1F31">
        <w:t>The national safety rules are currently being revised. The process will take this EC regulation into account. A new edition of the General Regulations for Technical Operation (GRTO) was drawn up by the IM and a consultation of a</w:t>
      </w:r>
      <w:r w:rsidRPr="00ED1F31">
        <w:t>ll RUs with a Luxembourg B certificate took place. The Minister for Sustainable Development and Infrastructure gave his approval on the advice of the ACF, which is responsible for checking that the rules have been drawn up correctly, in particular by check</w:t>
      </w:r>
      <w:r w:rsidRPr="00ED1F31">
        <w:t>ing that Commission Implementing Regulation (EU) No 402/2013 has been applied. Implementation took place on 1 April 2016.</w:t>
      </w:r>
    </w:p>
    <w:p w:rsidR="00A113DC" w:rsidRPr="00ED1F31" w:rsidRDefault="00F46E39" w:rsidP="00E026B7">
      <w:pPr>
        <w:pStyle w:val="BodyText"/>
      </w:pPr>
      <w:r w:rsidRPr="00ED1F31">
        <w:t xml:space="preserve">Some rules are no longer included because they only apply to the IM’s staff and have been put into a new document called the ‘General </w:t>
      </w:r>
      <w:r w:rsidRPr="00ED1F31">
        <w:t>Internal Regulations of the IM (IGR)’.</w:t>
      </w:r>
    </w:p>
    <w:p w:rsidR="00A113DC" w:rsidRPr="00ED1F31" w:rsidRDefault="00F46E39" w:rsidP="00E026B7">
      <w:pPr>
        <w:pStyle w:val="BodyText"/>
      </w:pPr>
      <w:r w:rsidRPr="00ED1F31">
        <w:t xml:space="preserve">In accordance with the Traffic Operation and Management TSI (Technical Specifications for Interoperability), the IM has only specified the details of the operating conditions to be met. The rules for compliance with </w:t>
      </w:r>
      <w:r w:rsidRPr="00ED1F31">
        <w:t>this, especially those related to train formation and braking, must be developed by the RUs, while respecting the legal framework and the regulatory framework established by the IM.</w:t>
      </w:r>
    </w:p>
    <w:p w:rsidR="00A113DC" w:rsidRPr="00ED1F31" w:rsidRDefault="00F46E39" w:rsidP="00E026B7">
      <w:pPr>
        <w:pStyle w:val="BodyText"/>
      </w:pPr>
      <w:r w:rsidRPr="00ED1F31">
        <w:t>However, the IM has listed the rules relating to this in a new document ca</w:t>
      </w:r>
      <w:r w:rsidRPr="00ED1F31">
        <w:t>lled ‘Operational Document – Train Formation and Braking Rules’. This will allow RUs to choose themselves whether to use these ‘old’ rules or to develop their own, using the CSM on risk evaluation and assessment. The main reason for using the common safety</w:t>
      </w:r>
      <w:r w:rsidRPr="00ED1F31">
        <w:t xml:space="preserve"> method is to provide proof that the newly developed rules guarantee at least the current level of safety.</w:t>
      </w:r>
    </w:p>
    <w:p w:rsidR="00A113DC" w:rsidRPr="00ED1F31" w:rsidRDefault="00F46E39" w:rsidP="00E026B7">
      <w:pPr>
        <w:pStyle w:val="BodyText"/>
      </w:pPr>
      <w:r w:rsidRPr="00ED1F31">
        <w:t>As already mentioned in Chapter B2 on page 9, as part of its role the ACF ensures that this regulation is also applied to the operational and organis</w:t>
      </w:r>
      <w:r w:rsidRPr="00ED1F31">
        <w:t>ational field.</w:t>
      </w:r>
    </w:p>
    <w:p w:rsidR="00A113DC" w:rsidRPr="00ED1F31" w:rsidRDefault="00F46E39" w:rsidP="00E026B7">
      <w:pPr>
        <w:pStyle w:val="BodyText"/>
      </w:pPr>
      <w:r w:rsidRPr="00ED1F31">
        <w:t>A meeting with the ERA, MSDI, CFL-GI and ACF took place in Luxembourg on 31 May 2017. One of the objectives was a reduction in the number of national safety rules. The future work to be done by Luxembourg in relation to the revision of the N</w:t>
      </w:r>
      <w:r w:rsidRPr="00ED1F31">
        <w:t>SRs was discussed and jointly agreed.</w:t>
      </w:r>
    </w:p>
    <w:p w:rsidR="00516E97" w:rsidRPr="00ED1F31" w:rsidRDefault="00516E97" w:rsidP="004701B0">
      <w:pPr>
        <w:pStyle w:val="BodyText"/>
      </w:pPr>
    </w:p>
    <w:p w:rsidR="00516E97" w:rsidRPr="00ED1F31" w:rsidRDefault="00516E97" w:rsidP="004701B0">
      <w:pPr>
        <w:pStyle w:val="BodyText"/>
      </w:pPr>
    </w:p>
    <w:p w:rsidR="00A113DC" w:rsidRPr="00ED1F31" w:rsidRDefault="00F46E39" w:rsidP="00976521">
      <w:pPr>
        <w:pStyle w:val="Heading1"/>
        <w:numPr>
          <w:ilvl w:val="0"/>
          <w:numId w:val="16"/>
        </w:numPr>
        <w:spacing w:after="200"/>
        <w:rPr>
          <w:b w:val="0"/>
          <w:bCs w:val="0"/>
        </w:rPr>
      </w:pPr>
      <w:bookmarkStart w:id="124" w:name="H._DEROGATIONS_CONCERNANT_LE_SYSTEME_DE_"/>
      <w:bookmarkStart w:id="125" w:name="_bookmark31"/>
      <w:bookmarkStart w:id="126" w:name="_Toc500406961"/>
      <w:bookmarkStart w:id="127" w:name="_Toc505328214"/>
      <w:bookmarkEnd w:id="124"/>
      <w:bookmarkEnd w:id="125"/>
      <w:r w:rsidRPr="00ED1F31">
        <w:t>EXEMPTIONS FROM THE ECM CERTIFICATION SYSTEM</w:t>
      </w:r>
      <w:bookmarkEnd w:id="126"/>
      <w:bookmarkEnd w:id="127"/>
    </w:p>
    <w:p w:rsidR="00A113DC" w:rsidRPr="00ED1F31" w:rsidRDefault="00F46E39" w:rsidP="00E026B7">
      <w:pPr>
        <w:pStyle w:val="BodyText"/>
      </w:pPr>
      <w:r w:rsidRPr="00ED1F31">
        <w:t>No exemptions have been granted in respect of the certification of Entities in Charge of Maintenance (ECM) for freight wagons.</w:t>
      </w:r>
    </w:p>
    <w:p w:rsidR="00A113DC" w:rsidRPr="00ED1F31" w:rsidRDefault="00F46E39" w:rsidP="003D1738">
      <w:pPr>
        <w:pStyle w:val="Heading1"/>
        <w:pageBreakBefore/>
        <w:rPr>
          <w:b w:val="0"/>
          <w:bCs w:val="0"/>
        </w:rPr>
      </w:pPr>
      <w:bookmarkStart w:id="128" w:name="ANNEXE_A"/>
      <w:bookmarkStart w:id="129" w:name="_bookmark32"/>
      <w:bookmarkStart w:id="130" w:name="_Toc500406962"/>
      <w:bookmarkStart w:id="131" w:name="_Toc505328215"/>
      <w:bookmarkEnd w:id="128"/>
      <w:bookmarkEnd w:id="129"/>
      <w:r w:rsidRPr="00ED1F31">
        <w:t>ANNEX A</w:t>
      </w:r>
      <w:bookmarkEnd w:id="130"/>
      <w:bookmarkEnd w:id="131"/>
    </w:p>
    <w:p w:rsidR="00A113DC" w:rsidRPr="00ED1F31" w:rsidRDefault="00F46E39" w:rsidP="003D1738">
      <w:pPr>
        <w:pStyle w:val="Heading2"/>
        <w:rPr>
          <w:b w:val="0"/>
          <w:color w:val="auto"/>
        </w:rPr>
      </w:pPr>
      <w:bookmarkStart w:id="132" w:name="INDICATEURS_DE_SECURITE_COMMUNS"/>
      <w:bookmarkStart w:id="133" w:name="_bookmark33"/>
      <w:bookmarkStart w:id="134" w:name="_Toc500406963"/>
      <w:bookmarkStart w:id="135" w:name="_Toc505328216"/>
      <w:bookmarkEnd w:id="132"/>
      <w:bookmarkEnd w:id="133"/>
      <w:r w:rsidRPr="00ED1F31">
        <w:rPr>
          <w:b w:val="0"/>
          <w:color w:val="auto"/>
        </w:rPr>
        <w:t>COMMON SAFETY INDICATORS</w:t>
      </w:r>
      <w:bookmarkEnd w:id="134"/>
      <w:bookmarkEnd w:id="135"/>
    </w:p>
    <w:p w:rsidR="00A113DC" w:rsidRPr="00ED1F31" w:rsidRDefault="00F46E39" w:rsidP="00976521">
      <w:pPr>
        <w:pStyle w:val="Heading2-1"/>
        <w:numPr>
          <w:ilvl w:val="1"/>
          <w:numId w:val="18"/>
        </w:numPr>
        <w:rPr>
          <w:rFonts w:eastAsia="Calibri" w:cs="Calibri"/>
          <w:szCs w:val="28"/>
        </w:rPr>
      </w:pPr>
      <w:r w:rsidRPr="00ED1F31">
        <w:t>CSI referen</w:t>
      </w:r>
      <w:r w:rsidRPr="00ED1F31">
        <w:t>ce data</w:t>
      </w:r>
    </w:p>
    <w:p w:rsidR="00A113DC" w:rsidRPr="00ED1F31" w:rsidRDefault="00A113DC">
      <w:pPr>
        <w:spacing w:before="5"/>
        <w:rPr>
          <w:rFonts w:eastAsia="Calibri" w:cs="Calibri"/>
          <w:sz w:val="20"/>
          <w:szCs w:val="20"/>
        </w:rPr>
      </w:pPr>
    </w:p>
    <w:tbl>
      <w:tblPr>
        <w:tblW w:w="0" w:type="auto"/>
        <w:tblInd w:w="378" w:type="dxa"/>
        <w:tblLayout w:type="fixed"/>
        <w:tblCellMar>
          <w:left w:w="0" w:type="dxa"/>
          <w:right w:w="0" w:type="dxa"/>
        </w:tblCellMar>
        <w:tblLook w:val="01E0" w:firstRow="1" w:lastRow="1" w:firstColumn="1" w:lastColumn="1" w:noHBand="0" w:noVBand="0"/>
      </w:tblPr>
      <w:tblGrid>
        <w:gridCol w:w="6984"/>
        <w:gridCol w:w="1522"/>
      </w:tblGrid>
      <w:tr w:rsidR="00BD7B71">
        <w:trPr>
          <w:trHeight w:hRule="exact" w:val="274"/>
        </w:trPr>
        <w:tc>
          <w:tcPr>
            <w:tcW w:w="8506" w:type="dxa"/>
            <w:gridSpan w:val="2"/>
            <w:tcBorders>
              <w:top w:val="single" w:sz="4" w:space="0" w:color="000000"/>
              <w:left w:val="single" w:sz="4" w:space="0" w:color="000000"/>
              <w:bottom w:val="single" w:sz="4" w:space="0" w:color="000000"/>
              <w:right w:val="single" w:sz="4" w:space="0" w:color="000000"/>
            </w:tcBorders>
            <w:shd w:val="clear" w:color="auto" w:fill="C1C1C1"/>
          </w:tcPr>
          <w:p w:rsidR="00A113DC" w:rsidRPr="00ED1F31" w:rsidRDefault="00F46E39">
            <w:pPr>
              <w:pStyle w:val="TableParagraph"/>
              <w:spacing w:line="230" w:lineRule="exact"/>
              <w:ind w:left="64"/>
              <w:rPr>
                <w:rFonts w:ascii="Arial" w:eastAsia="Arial" w:hAnsi="Arial" w:cs="Arial"/>
                <w:sz w:val="20"/>
                <w:szCs w:val="20"/>
              </w:rPr>
            </w:pPr>
            <w:r w:rsidRPr="00ED1F31">
              <w:rPr>
                <w:rFonts w:ascii="Arial" w:hAnsi="Arial"/>
                <w:sz w:val="20"/>
              </w:rPr>
              <w:t>2015 reference data</w:t>
            </w:r>
          </w:p>
        </w:tc>
      </w:tr>
      <w:tr w:rsidR="00BD7B71">
        <w:trPr>
          <w:trHeight w:hRule="exact" w:val="276"/>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
              <w:ind w:left="64"/>
              <w:rPr>
                <w:rFonts w:ascii="Arial" w:eastAsia="Arial" w:hAnsi="Arial" w:cs="Arial"/>
                <w:sz w:val="20"/>
                <w:szCs w:val="20"/>
              </w:rPr>
            </w:pPr>
            <w:r w:rsidRPr="00ED1F31">
              <w:rPr>
                <w:rFonts w:ascii="Arial" w:hAnsi="Arial"/>
                <w:sz w:val="20"/>
              </w:rPr>
              <w:t>Number of millions of train-kilometres (million train-km)</w:t>
            </w: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
              <w:ind w:right="65"/>
              <w:jc w:val="right"/>
              <w:rPr>
                <w:rFonts w:ascii="Arial" w:eastAsia="Arial" w:hAnsi="Arial" w:cs="Arial"/>
                <w:sz w:val="20"/>
                <w:szCs w:val="20"/>
              </w:rPr>
            </w:pPr>
            <w:r w:rsidRPr="00ED1F31">
              <w:rPr>
                <w:rFonts w:ascii="Arial" w:hAnsi="Arial"/>
                <w:sz w:val="20"/>
              </w:rPr>
              <w:t>8.71</w:t>
            </w:r>
          </w:p>
        </w:tc>
      </w:tr>
      <w:tr w:rsidR="00BD7B71">
        <w:trPr>
          <w:trHeight w:hRule="exact" w:val="274"/>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left="64"/>
              <w:rPr>
                <w:rFonts w:ascii="Arial" w:eastAsia="Arial" w:hAnsi="Arial" w:cs="Arial"/>
                <w:sz w:val="20"/>
                <w:szCs w:val="20"/>
              </w:rPr>
            </w:pPr>
            <w:r w:rsidRPr="00ED1F31">
              <w:rPr>
                <w:rFonts w:ascii="Arial" w:hAnsi="Arial"/>
                <w:sz w:val="20"/>
              </w:rPr>
              <w:t>Number of millions of passenger train-kilometres (million pt-km)</w:t>
            </w: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right="65"/>
              <w:jc w:val="right"/>
              <w:rPr>
                <w:rFonts w:ascii="Arial" w:eastAsia="Arial" w:hAnsi="Arial" w:cs="Arial"/>
                <w:sz w:val="20"/>
                <w:szCs w:val="20"/>
              </w:rPr>
            </w:pPr>
            <w:r w:rsidRPr="00ED1F31">
              <w:rPr>
                <w:rFonts w:ascii="Arial" w:hAnsi="Arial"/>
                <w:sz w:val="20"/>
              </w:rPr>
              <w:t>7.97</w:t>
            </w:r>
          </w:p>
        </w:tc>
      </w:tr>
      <w:tr w:rsidR="00BD7B71">
        <w:trPr>
          <w:trHeight w:hRule="exact" w:val="274"/>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left="64"/>
              <w:rPr>
                <w:rFonts w:ascii="Arial" w:eastAsia="Arial" w:hAnsi="Arial" w:cs="Arial"/>
                <w:sz w:val="20"/>
                <w:szCs w:val="20"/>
              </w:rPr>
            </w:pPr>
            <w:r w:rsidRPr="00ED1F31">
              <w:rPr>
                <w:rFonts w:ascii="Arial" w:hAnsi="Arial"/>
                <w:sz w:val="20"/>
              </w:rPr>
              <w:t>Number of millions of goods train-kilometres (million gt-km)</w:t>
            </w: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right="65"/>
              <w:jc w:val="right"/>
              <w:rPr>
                <w:rFonts w:ascii="Arial" w:eastAsia="Arial" w:hAnsi="Arial" w:cs="Arial"/>
                <w:sz w:val="20"/>
                <w:szCs w:val="20"/>
              </w:rPr>
            </w:pPr>
            <w:r w:rsidRPr="00ED1F31">
              <w:rPr>
                <w:rFonts w:ascii="Arial" w:hAnsi="Arial"/>
                <w:sz w:val="20"/>
              </w:rPr>
              <w:t>0.53</w:t>
            </w:r>
          </w:p>
        </w:tc>
      </w:tr>
      <w:tr w:rsidR="00BD7B71">
        <w:trPr>
          <w:trHeight w:hRule="exact" w:val="276"/>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
              <w:ind w:left="64"/>
              <w:rPr>
                <w:rFonts w:ascii="Arial" w:eastAsia="Arial" w:hAnsi="Arial" w:cs="Arial"/>
                <w:sz w:val="20"/>
                <w:szCs w:val="20"/>
              </w:rPr>
            </w:pPr>
            <w:r w:rsidRPr="00ED1F31">
              <w:rPr>
                <w:rFonts w:ascii="Arial" w:hAnsi="Arial"/>
                <w:sz w:val="20"/>
              </w:rPr>
              <w:t>Number of millions of other train-kilometres (million ot-km)*</w:t>
            </w: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
              <w:ind w:right="65"/>
              <w:jc w:val="right"/>
              <w:rPr>
                <w:rFonts w:ascii="Arial" w:eastAsia="Arial" w:hAnsi="Arial" w:cs="Arial"/>
                <w:sz w:val="20"/>
                <w:szCs w:val="20"/>
              </w:rPr>
            </w:pPr>
            <w:r w:rsidRPr="00ED1F31">
              <w:rPr>
                <w:rFonts w:ascii="Arial" w:hAnsi="Arial"/>
                <w:sz w:val="20"/>
              </w:rPr>
              <w:t>0.21</w:t>
            </w:r>
          </w:p>
        </w:tc>
      </w:tr>
      <w:tr w:rsidR="00BD7B71">
        <w:trPr>
          <w:trHeight w:hRule="exact" w:val="274"/>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A113DC">
            <w:pPr>
              <w:rPr>
                <w:rFonts w:hAnsi="Arial"/>
              </w:rPr>
            </w:pP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A113DC">
            <w:pPr>
              <w:rPr>
                <w:rFonts w:hAnsi="Arial"/>
              </w:rPr>
            </w:pPr>
          </w:p>
        </w:tc>
      </w:tr>
      <w:tr w:rsidR="00BD7B71">
        <w:trPr>
          <w:trHeight w:hRule="exact" w:val="276"/>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left="64"/>
              <w:rPr>
                <w:rFonts w:ascii="Arial" w:eastAsia="Arial" w:hAnsi="Arial" w:cs="Arial"/>
                <w:sz w:val="20"/>
                <w:szCs w:val="20"/>
              </w:rPr>
            </w:pPr>
            <w:r w:rsidRPr="00ED1F31">
              <w:rPr>
                <w:rFonts w:ascii="Arial" w:hAnsi="Arial"/>
                <w:sz w:val="20"/>
              </w:rPr>
              <w:t>Number of millions of passenger kilometres (million p-km)</w:t>
            </w: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right="65"/>
              <w:jc w:val="right"/>
              <w:rPr>
                <w:rFonts w:ascii="Arial" w:eastAsia="Arial" w:hAnsi="Arial" w:cs="Arial"/>
                <w:sz w:val="20"/>
                <w:szCs w:val="20"/>
              </w:rPr>
            </w:pPr>
            <w:r w:rsidRPr="00ED1F31">
              <w:rPr>
                <w:rFonts w:ascii="Arial" w:hAnsi="Arial"/>
                <w:sz w:val="20"/>
              </w:rPr>
              <w:t>417</w:t>
            </w:r>
          </w:p>
        </w:tc>
      </w:tr>
      <w:tr w:rsidR="00BD7B71">
        <w:trPr>
          <w:trHeight w:hRule="exact" w:val="274"/>
        </w:trPr>
        <w:tc>
          <w:tcPr>
            <w:tcW w:w="6984"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left="64"/>
              <w:rPr>
                <w:rFonts w:ascii="Arial" w:eastAsia="Arial" w:hAnsi="Arial" w:cs="Arial"/>
                <w:sz w:val="20"/>
                <w:szCs w:val="20"/>
              </w:rPr>
            </w:pPr>
            <w:r w:rsidRPr="00ED1F31">
              <w:rPr>
                <w:rFonts w:ascii="Arial" w:hAnsi="Arial"/>
                <w:sz w:val="20"/>
              </w:rPr>
              <w:t>Number of millions of tonne kilometres (million t-km)</w:t>
            </w:r>
          </w:p>
        </w:tc>
        <w:tc>
          <w:tcPr>
            <w:tcW w:w="1522"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line="230" w:lineRule="exact"/>
              <w:ind w:right="65"/>
              <w:jc w:val="right"/>
              <w:rPr>
                <w:rFonts w:ascii="Arial" w:eastAsia="Arial" w:hAnsi="Arial" w:cs="Arial"/>
                <w:sz w:val="20"/>
                <w:szCs w:val="20"/>
              </w:rPr>
            </w:pPr>
            <w:r w:rsidRPr="00ED1F31">
              <w:rPr>
                <w:rFonts w:ascii="Arial" w:hAnsi="Arial"/>
                <w:sz w:val="20"/>
              </w:rPr>
              <w:t>246</w:t>
            </w:r>
          </w:p>
        </w:tc>
      </w:tr>
    </w:tbl>
    <w:p w:rsidR="00A113DC" w:rsidRPr="00ED1F31" w:rsidRDefault="00F46E39">
      <w:pPr>
        <w:spacing w:line="194" w:lineRule="exact"/>
        <w:ind w:left="400"/>
        <w:rPr>
          <w:rFonts w:eastAsia="Calibri" w:cs="Calibri"/>
          <w:sz w:val="16"/>
          <w:szCs w:val="16"/>
        </w:rPr>
      </w:pPr>
      <w:r w:rsidRPr="00ED1F31">
        <w:rPr>
          <w:sz w:val="16"/>
        </w:rPr>
        <w:t>*empty trains were included in other train-kilometres</w:t>
      </w:r>
    </w:p>
    <w:p w:rsidR="00A113DC" w:rsidRPr="00ED1F31" w:rsidRDefault="00F46E39" w:rsidP="003E1560">
      <w:pPr>
        <w:spacing w:before="400"/>
        <w:ind w:left="360"/>
        <w:rPr>
          <w:rFonts w:eastAsia="Calibri" w:cs="Calibri"/>
          <w:sz w:val="27"/>
          <w:szCs w:val="27"/>
        </w:rPr>
      </w:pPr>
      <w:r w:rsidRPr="00ED1F31">
        <w:rPr>
          <w:rFonts w:eastAsia="Calibri" w:cs="Calibri"/>
          <w:noProof/>
          <w:sz w:val="27"/>
          <w:szCs w:val="27"/>
          <w:lang w:val="en-US" w:eastAsia="zh-CN" w:bidi="ar-SA"/>
        </w:rPr>
        <w:drawing>
          <wp:inline distT="0" distB="0" distL="0" distR="0">
            <wp:extent cx="5375275" cy="5923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69911" name="Picture 9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75275" cy="5923915"/>
                    </a:xfrm>
                    <a:prstGeom prst="rect">
                      <a:avLst/>
                    </a:prstGeom>
                    <a:noFill/>
                    <a:ln>
                      <a:noFill/>
                    </a:ln>
                  </pic:spPr>
                </pic:pic>
              </a:graphicData>
            </a:graphic>
          </wp:inline>
        </w:drawing>
      </w:r>
    </w:p>
    <w:p w:rsidR="003E1560" w:rsidRPr="00ED1F31" w:rsidRDefault="003E1560" w:rsidP="003E1560">
      <w:pPr>
        <w:spacing w:before="400"/>
        <w:ind w:left="360"/>
        <w:rPr>
          <w:rFonts w:eastAsia="Calibri" w:cs="Calibri"/>
          <w:sz w:val="27"/>
          <w:szCs w:val="27"/>
        </w:rPr>
      </w:pPr>
    </w:p>
    <w:tbl>
      <w:tblPr>
        <w:tblStyle w:val="TableGrid"/>
        <w:tblW w:w="9102" w:type="dxa"/>
        <w:tblInd w:w="360" w:type="dxa"/>
        <w:tblLook w:val="04A0" w:firstRow="1" w:lastRow="0" w:firstColumn="1" w:lastColumn="0" w:noHBand="0" w:noVBand="1"/>
      </w:tblPr>
      <w:tblGrid>
        <w:gridCol w:w="4571"/>
        <w:gridCol w:w="4531"/>
      </w:tblGrid>
      <w:tr w:rsidR="00BD7B71" w:rsidTr="003E1560">
        <w:tc>
          <w:tcPr>
            <w:tcW w:w="4571" w:type="dxa"/>
          </w:tcPr>
          <w:p w:rsidR="003E1560" w:rsidRPr="00587420" w:rsidRDefault="00F46E39" w:rsidP="003E1560">
            <w:pPr>
              <w:rPr>
                <w:lang w:val="fr-BE"/>
              </w:rPr>
            </w:pPr>
            <w:r w:rsidRPr="00587420">
              <w:rPr>
                <w:lang w:val="fr-BE"/>
              </w:rPr>
              <w:t>Nombre</w:t>
            </w:r>
            <w:r w:rsidRPr="00587420">
              <w:rPr>
                <w:lang w:val="fr-BE"/>
              </w:rPr>
              <w:t xml:space="preserve"> de millions kilomètre-train (millions km-t)</w:t>
            </w:r>
          </w:p>
        </w:tc>
        <w:tc>
          <w:tcPr>
            <w:tcW w:w="4531" w:type="dxa"/>
          </w:tcPr>
          <w:p w:rsidR="003E1560" w:rsidRPr="00ED1F31" w:rsidRDefault="00F46E39" w:rsidP="003E1560">
            <w:r w:rsidRPr="00ED1F31">
              <w:t>Number of millions of train-kilometres (million train-km)</w:t>
            </w:r>
          </w:p>
        </w:tc>
      </w:tr>
      <w:tr w:rsidR="00BD7B71" w:rsidTr="003E1560">
        <w:tc>
          <w:tcPr>
            <w:tcW w:w="4571" w:type="dxa"/>
          </w:tcPr>
          <w:p w:rsidR="003E1560" w:rsidRPr="00587420" w:rsidRDefault="00F46E39" w:rsidP="003E1560">
            <w:pPr>
              <w:rPr>
                <w:lang w:val="fr-BE"/>
              </w:rPr>
            </w:pPr>
            <w:r w:rsidRPr="00587420">
              <w:rPr>
                <w:lang w:val="fr-BE"/>
              </w:rPr>
              <w:t>Nombre de millions kilomètre-train voyageurs (millions km-tv)</w:t>
            </w:r>
          </w:p>
        </w:tc>
        <w:tc>
          <w:tcPr>
            <w:tcW w:w="4531" w:type="dxa"/>
          </w:tcPr>
          <w:p w:rsidR="003E1560" w:rsidRPr="00ED1F31" w:rsidRDefault="00F46E39" w:rsidP="003E1560">
            <w:r w:rsidRPr="00ED1F31">
              <w:t>Number of millions of passenger train-kilometres (million pt-km)</w:t>
            </w:r>
          </w:p>
        </w:tc>
      </w:tr>
      <w:tr w:rsidR="00BD7B71" w:rsidTr="003E1560">
        <w:tc>
          <w:tcPr>
            <w:tcW w:w="4571" w:type="dxa"/>
          </w:tcPr>
          <w:p w:rsidR="003E1560" w:rsidRPr="00587420" w:rsidRDefault="00F46E39" w:rsidP="003E1560">
            <w:pPr>
              <w:rPr>
                <w:lang w:val="fr-BE"/>
              </w:rPr>
            </w:pPr>
            <w:r w:rsidRPr="00587420">
              <w:rPr>
                <w:lang w:val="fr-BE"/>
              </w:rPr>
              <w:t xml:space="preserve">Nombre de millions </w:t>
            </w:r>
            <w:r w:rsidRPr="00587420">
              <w:rPr>
                <w:lang w:val="fr-BE"/>
              </w:rPr>
              <w:t>kilomètre-train marchandises (millions km-tm)</w:t>
            </w:r>
          </w:p>
        </w:tc>
        <w:tc>
          <w:tcPr>
            <w:tcW w:w="4531" w:type="dxa"/>
          </w:tcPr>
          <w:p w:rsidR="003E1560" w:rsidRPr="00ED1F31" w:rsidRDefault="00F46E39" w:rsidP="003E1560">
            <w:r w:rsidRPr="00ED1F31">
              <w:t>Number of millions of goods train-kilometres (million gt-km)</w:t>
            </w:r>
          </w:p>
        </w:tc>
      </w:tr>
      <w:tr w:rsidR="00BD7B71" w:rsidTr="003E1560">
        <w:tc>
          <w:tcPr>
            <w:tcW w:w="4571" w:type="dxa"/>
          </w:tcPr>
          <w:p w:rsidR="003E1560" w:rsidRPr="00587420" w:rsidRDefault="00F46E39" w:rsidP="003E1560">
            <w:pPr>
              <w:rPr>
                <w:lang w:val="fr-BE"/>
              </w:rPr>
            </w:pPr>
            <w:r w:rsidRPr="00587420">
              <w:rPr>
                <w:lang w:val="fr-BE"/>
              </w:rPr>
              <w:t>Nombre de millions de passagers kilomètre (millions p-km)</w:t>
            </w:r>
          </w:p>
        </w:tc>
        <w:tc>
          <w:tcPr>
            <w:tcW w:w="4531" w:type="dxa"/>
          </w:tcPr>
          <w:p w:rsidR="003E1560" w:rsidRPr="00ED1F31" w:rsidRDefault="00F46E39" w:rsidP="003E1560">
            <w:r w:rsidRPr="00ED1F31">
              <w:t>Number of millions of passenger kilometres (million p-km)</w:t>
            </w:r>
          </w:p>
        </w:tc>
      </w:tr>
      <w:tr w:rsidR="00BD7B71" w:rsidTr="003E1560">
        <w:tc>
          <w:tcPr>
            <w:tcW w:w="4571" w:type="dxa"/>
          </w:tcPr>
          <w:p w:rsidR="003E1560" w:rsidRPr="00587420" w:rsidRDefault="00F46E39" w:rsidP="003E1560">
            <w:pPr>
              <w:rPr>
                <w:lang w:val="fr-BE"/>
              </w:rPr>
            </w:pPr>
            <w:r w:rsidRPr="00587420">
              <w:rPr>
                <w:lang w:val="fr-BE"/>
              </w:rPr>
              <w:t>Nombre de millions de tonnes ki</w:t>
            </w:r>
            <w:r w:rsidRPr="00587420">
              <w:rPr>
                <w:lang w:val="fr-BE"/>
              </w:rPr>
              <w:t>lomètre (millions t-km)</w:t>
            </w:r>
          </w:p>
        </w:tc>
        <w:tc>
          <w:tcPr>
            <w:tcW w:w="4531" w:type="dxa"/>
          </w:tcPr>
          <w:p w:rsidR="003E1560" w:rsidRPr="00ED1F31" w:rsidRDefault="00F46E39" w:rsidP="003E1560">
            <w:r w:rsidRPr="00ED1F31">
              <w:t>Number of millions of tonne kilometres (million t-km)</w:t>
            </w:r>
          </w:p>
        </w:tc>
      </w:tr>
    </w:tbl>
    <w:p w:rsidR="003E1560" w:rsidRPr="00ED1F31" w:rsidRDefault="003E1560" w:rsidP="003E1560">
      <w:pPr>
        <w:spacing w:before="400"/>
        <w:ind w:left="360"/>
        <w:rPr>
          <w:rFonts w:eastAsia="Calibri" w:cs="Calibri"/>
          <w:sz w:val="27"/>
          <w:szCs w:val="27"/>
        </w:rPr>
      </w:pPr>
    </w:p>
    <w:p w:rsidR="00A113DC" w:rsidRPr="00ED1F31" w:rsidRDefault="00F46E39" w:rsidP="005729A3">
      <w:pPr>
        <w:pStyle w:val="Heading2-1"/>
        <w:pageBreakBefore/>
        <w:spacing w:before="0"/>
        <w:ind w:left="965" w:hanging="850"/>
      </w:pPr>
      <w:r w:rsidRPr="00ED1F31">
        <w:t>Indicators relating to accidents</w:t>
      </w:r>
    </w:p>
    <w:p w:rsidR="00A113DC" w:rsidRPr="00ED1F31" w:rsidRDefault="00A113DC">
      <w:pPr>
        <w:spacing w:before="1"/>
        <w:rPr>
          <w:rFonts w:eastAsia="Calibri" w:cs="Calibri"/>
          <w:sz w:val="16"/>
          <w:szCs w:val="16"/>
        </w:rPr>
      </w:pPr>
    </w:p>
    <w:p w:rsidR="00A113DC" w:rsidRPr="00ED1F31" w:rsidRDefault="00F46E39" w:rsidP="00B135A8">
      <w:pPr>
        <w:pStyle w:val="Heading3-1"/>
      </w:pPr>
      <w:r w:rsidRPr="00ED1F31">
        <w:t>Total and relative number of significant accidents per million train-kilometres (million train-km) and breakdown by accident type</w:t>
      </w:r>
    </w:p>
    <w:p w:rsidR="00A113DC" w:rsidRPr="00ED1F31" w:rsidRDefault="00A113DC">
      <w:pPr>
        <w:spacing w:before="12"/>
        <w:rPr>
          <w:rFonts w:eastAsia="Calibri" w:cs="Calibri"/>
          <w:sz w:val="9"/>
          <w:szCs w:val="9"/>
        </w:rPr>
      </w:pPr>
    </w:p>
    <w:tbl>
      <w:tblPr>
        <w:tblW w:w="0" w:type="auto"/>
        <w:tblInd w:w="189" w:type="dxa"/>
        <w:tblLayout w:type="fixed"/>
        <w:tblCellMar>
          <w:left w:w="0" w:type="dxa"/>
          <w:right w:w="0" w:type="dxa"/>
        </w:tblCellMar>
        <w:tblLook w:val="01E0" w:firstRow="1" w:lastRow="1" w:firstColumn="1" w:lastColumn="1" w:noHBand="0" w:noVBand="0"/>
      </w:tblPr>
      <w:tblGrid>
        <w:gridCol w:w="6305"/>
        <w:gridCol w:w="1133"/>
        <w:gridCol w:w="1560"/>
      </w:tblGrid>
      <w:tr w:rsidR="00BD7B71">
        <w:trPr>
          <w:trHeight w:hRule="exact" w:val="713"/>
        </w:trPr>
        <w:tc>
          <w:tcPr>
            <w:tcW w:w="6305" w:type="dxa"/>
            <w:tcBorders>
              <w:top w:val="single" w:sz="4" w:space="0" w:color="000000"/>
              <w:left w:val="single" w:sz="4" w:space="0" w:color="000000"/>
              <w:bottom w:val="single" w:sz="4" w:space="0" w:color="000000"/>
              <w:right w:val="single" w:sz="4" w:space="0" w:color="000000"/>
            </w:tcBorders>
            <w:shd w:val="clear" w:color="auto" w:fill="C1C1C1"/>
          </w:tcPr>
          <w:p w:rsidR="00A113DC" w:rsidRPr="00ED1F31" w:rsidRDefault="00A113DC">
            <w:pPr>
              <w:pStyle w:val="TableParagraph"/>
              <w:rPr>
                <w:rFonts w:eastAsia="Calibri" w:hAnsi="Arial" w:cs="Calibri"/>
                <w:sz w:val="19"/>
                <w:szCs w:val="19"/>
              </w:rPr>
            </w:pPr>
          </w:p>
          <w:p w:rsidR="00A113DC" w:rsidRPr="00ED1F31" w:rsidRDefault="00F46E39">
            <w:pPr>
              <w:pStyle w:val="TableParagraph"/>
              <w:ind w:left="64"/>
              <w:rPr>
                <w:rFonts w:ascii="Arial" w:eastAsia="Arial" w:hAnsi="Arial" w:cs="Arial"/>
                <w:sz w:val="20"/>
                <w:szCs w:val="20"/>
              </w:rPr>
            </w:pPr>
            <w:r w:rsidRPr="00ED1F31">
              <w:rPr>
                <w:rFonts w:ascii="Arial" w:hAnsi="Arial"/>
                <w:sz w:val="20"/>
              </w:rPr>
              <w:t xml:space="preserve">2016 </w:t>
            </w:r>
            <w:r w:rsidRPr="00ED1F31">
              <w:rPr>
                <w:rFonts w:ascii="Arial" w:hAnsi="Arial"/>
                <w:sz w:val="20"/>
              </w:rPr>
              <w:t>accident types</w:t>
            </w:r>
          </w:p>
        </w:tc>
        <w:tc>
          <w:tcPr>
            <w:tcW w:w="1133" w:type="dxa"/>
            <w:tcBorders>
              <w:top w:val="single" w:sz="4" w:space="0" w:color="000000"/>
              <w:left w:val="single" w:sz="4" w:space="0" w:color="000000"/>
              <w:bottom w:val="single" w:sz="4" w:space="0" w:color="000000"/>
              <w:right w:val="single" w:sz="4" w:space="0" w:color="000000"/>
            </w:tcBorders>
            <w:shd w:val="clear" w:color="auto" w:fill="C1C1C1"/>
          </w:tcPr>
          <w:p w:rsidR="00A113DC" w:rsidRPr="00ED1F31" w:rsidRDefault="00A113DC">
            <w:pPr>
              <w:pStyle w:val="TableParagraph"/>
              <w:rPr>
                <w:rFonts w:eastAsia="Calibri" w:hAnsi="Arial" w:cs="Calibri"/>
                <w:sz w:val="19"/>
                <w:szCs w:val="19"/>
              </w:rPr>
            </w:pPr>
          </w:p>
          <w:p w:rsidR="00A113DC" w:rsidRPr="00ED1F31" w:rsidRDefault="00F46E39" w:rsidP="004C0A3B">
            <w:pPr>
              <w:pStyle w:val="TableParagraph"/>
              <w:ind w:left="0" w:right="0"/>
              <w:jc w:val="center"/>
              <w:rPr>
                <w:rFonts w:ascii="Arial" w:eastAsia="Arial" w:hAnsi="Arial" w:cs="Arial"/>
                <w:sz w:val="20"/>
                <w:szCs w:val="20"/>
              </w:rPr>
            </w:pPr>
            <w:r w:rsidRPr="00ED1F31">
              <w:rPr>
                <w:rFonts w:ascii="Arial" w:hAnsi="Arial"/>
                <w:sz w:val="20"/>
              </w:rPr>
              <w:t>Number</w:t>
            </w:r>
          </w:p>
        </w:tc>
        <w:tc>
          <w:tcPr>
            <w:tcW w:w="1560" w:type="dxa"/>
            <w:tcBorders>
              <w:top w:val="single" w:sz="4" w:space="0" w:color="000000"/>
              <w:left w:val="single" w:sz="4" w:space="0" w:color="000000"/>
              <w:bottom w:val="single" w:sz="4" w:space="0" w:color="000000"/>
              <w:right w:val="single" w:sz="4" w:space="0" w:color="000000"/>
            </w:tcBorders>
            <w:shd w:val="clear" w:color="auto" w:fill="C1C1C1"/>
          </w:tcPr>
          <w:p w:rsidR="00A113DC" w:rsidRPr="00ED1F31" w:rsidRDefault="00F46E39">
            <w:pPr>
              <w:pStyle w:val="TableParagraph"/>
              <w:spacing w:before="119"/>
              <w:ind w:left="271" w:right="246" w:hanging="24"/>
              <w:rPr>
                <w:rFonts w:ascii="Arial" w:eastAsia="Arial" w:hAnsi="Arial" w:cs="Arial"/>
                <w:sz w:val="20"/>
                <w:szCs w:val="20"/>
              </w:rPr>
            </w:pPr>
            <w:r w:rsidRPr="00ED1F31">
              <w:rPr>
                <w:rFonts w:ascii="Arial" w:hAnsi="Arial"/>
                <w:sz w:val="20"/>
              </w:rPr>
              <w:t>Number per million train-km</w:t>
            </w:r>
          </w:p>
        </w:tc>
      </w:tr>
      <w:tr w:rsidR="00BD7B71">
        <w:trPr>
          <w:trHeight w:hRule="exact" w:val="264"/>
        </w:trPr>
        <w:tc>
          <w:tcPr>
            <w:tcW w:w="6305"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left="64"/>
              <w:rPr>
                <w:rFonts w:ascii="Arial" w:eastAsia="Arial" w:hAnsi="Arial" w:cs="Arial"/>
                <w:sz w:val="20"/>
                <w:szCs w:val="20"/>
              </w:rPr>
            </w:pPr>
            <w:r w:rsidRPr="00ED1F31">
              <w:rPr>
                <w:rFonts w:ascii="Arial" w:hAnsi="Arial"/>
                <w:sz w:val="20"/>
              </w:rPr>
              <w:t>Collisions between trains, including collisions with obstacles within the clearance gauge</w:t>
            </w:r>
          </w:p>
        </w:tc>
        <w:tc>
          <w:tcPr>
            <w:tcW w:w="1133"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2"/>
              <w:jc w:val="right"/>
              <w:rPr>
                <w:rFonts w:ascii="Arial" w:eastAsia="Arial" w:hAnsi="Arial" w:cs="Arial"/>
                <w:sz w:val="20"/>
                <w:szCs w:val="20"/>
              </w:rPr>
            </w:pPr>
            <w:r w:rsidRPr="00ED1F31">
              <w:rPr>
                <w:rFonts w:ascii="Arial" w:hAnsi="Arial"/>
                <w:sz w:val="20"/>
              </w:rPr>
              <w:t>1</w:t>
            </w:r>
          </w:p>
        </w:tc>
        <w:tc>
          <w:tcPr>
            <w:tcW w:w="156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5"/>
              <w:jc w:val="right"/>
              <w:rPr>
                <w:rFonts w:ascii="Arial" w:eastAsia="Arial" w:hAnsi="Arial" w:cs="Arial"/>
                <w:sz w:val="20"/>
                <w:szCs w:val="20"/>
              </w:rPr>
            </w:pPr>
            <w:r w:rsidRPr="00ED1F31">
              <w:rPr>
                <w:rFonts w:ascii="Arial" w:hAnsi="Arial"/>
                <w:sz w:val="20"/>
              </w:rPr>
              <w:t>0.11</w:t>
            </w:r>
          </w:p>
        </w:tc>
      </w:tr>
      <w:tr w:rsidR="00BD7B71">
        <w:trPr>
          <w:trHeight w:hRule="exact" w:val="266"/>
        </w:trPr>
        <w:tc>
          <w:tcPr>
            <w:tcW w:w="6305"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left="64"/>
              <w:rPr>
                <w:rFonts w:ascii="Arial" w:eastAsia="Arial" w:hAnsi="Arial" w:cs="Arial"/>
                <w:sz w:val="20"/>
                <w:szCs w:val="20"/>
              </w:rPr>
            </w:pPr>
            <w:r w:rsidRPr="00ED1F31">
              <w:rPr>
                <w:rFonts w:ascii="Arial" w:hAnsi="Arial"/>
                <w:sz w:val="20"/>
              </w:rPr>
              <w:t>Derailments of trains</w:t>
            </w:r>
          </w:p>
        </w:tc>
        <w:tc>
          <w:tcPr>
            <w:tcW w:w="1133"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2"/>
              <w:jc w:val="right"/>
              <w:rPr>
                <w:rFonts w:ascii="Arial" w:eastAsia="Arial" w:hAnsi="Arial" w:cs="Arial"/>
                <w:sz w:val="20"/>
                <w:szCs w:val="20"/>
              </w:rPr>
            </w:pPr>
            <w:r w:rsidRPr="00ED1F31">
              <w:rPr>
                <w:rFonts w:ascii="Arial" w:hAnsi="Arial"/>
                <w:sz w:val="20"/>
              </w:rPr>
              <w:t>0</w:t>
            </w:r>
          </w:p>
        </w:tc>
        <w:tc>
          <w:tcPr>
            <w:tcW w:w="156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5"/>
              <w:jc w:val="right"/>
              <w:rPr>
                <w:rFonts w:ascii="Arial" w:eastAsia="Arial" w:hAnsi="Arial" w:cs="Arial"/>
                <w:sz w:val="20"/>
                <w:szCs w:val="20"/>
              </w:rPr>
            </w:pPr>
            <w:r w:rsidRPr="00ED1F31">
              <w:rPr>
                <w:rFonts w:ascii="Arial" w:hAnsi="Arial"/>
                <w:sz w:val="20"/>
              </w:rPr>
              <w:t>0.00</w:t>
            </w:r>
          </w:p>
        </w:tc>
      </w:tr>
      <w:tr w:rsidR="00BD7B71">
        <w:trPr>
          <w:trHeight w:hRule="exact" w:val="264"/>
        </w:trPr>
        <w:tc>
          <w:tcPr>
            <w:tcW w:w="6305"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1"/>
              <w:ind w:left="64"/>
              <w:rPr>
                <w:rFonts w:ascii="Arial" w:eastAsia="Arial" w:hAnsi="Arial" w:cs="Arial"/>
                <w:sz w:val="20"/>
                <w:szCs w:val="20"/>
              </w:rPr>
            </w:pPr>
            <w:r w:rsidRPr="00ED1F31">
              <w:rPr>
                <w:rFonts w:ascii="Arial" w:hAnsi="Arial"/>
                <w:sz w:val="20"/>
              </w:rPr>
              <w:t>Level-crossing accidents, including those involving pedestrians</w:t>
            </w:r>
          </w:p>
        </w:tc>
        <w:tc>
          <w:tcPr>
            <w:tcW w:w="1133"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1"/>
              <w:ind w:right="62"/>
              <w:jc w:val="right"/>
              <w:rPr>
                <w:rFonts w:ascii="Arial" w:eastAsia="Arial" w:hAnsi="Arial" w:cs="Arial"/>
                <w:sz w:val="20"/>
                <w:szCs w:val="20"/>
              </w:rPr>
            </w:pPr>
            <w:r w:rsidRPr="00ED1F31">
              <w:rPr>
                <w:rFonts w:ascii="Arial" w:hAnsi="Arial"/>
                <w:sz w:val="20"/>
              </w:rPr>
              <w:t>1</w:t>
            </w:r>
          </w:p>
        </w:tc>
        <w:tc>
          <w:tcPr>
            <w:tcW w:w="156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1"/>
              <w:ind w:right="65"/>
              <w:jc w:val="right"/>
              <w:rPr>
                <w:rFonts w:ascii="Arial" w:eastAsia="Arial" w:hAnsi="Arial" w:cs="Arial"/>
                <w:sz w:val="20"/>
                <w:szCs w:val="20"/>
              </w:rPr>
            </w:pPr>
            <w:r w:rsidRPr="00ED1F31">
              <w:rPr>
                <w:rFonts w:ascii="Arial" w:hAnsi="Arial"/>
                <w:sz w:val="20"/>
              </w:rPr>
              <w:t>0.11</w:t>
            </w:r>
          </w:p>
        </w:tc>
      </w:tr>
      <w:tr w:rsidR="00BD7B71">
        <w:trPr>
          <w:trHeight w:hRule="exact" w:val="266"/>
        </w:trPr>
        <w:tc>
          <w:tcPr>
            <w:tcW w:w="6305" w:type="dxa"/>
            <w:tcBorders>
              <w:top w:val="single" w:sz="4" w:space="0" w:color="000000"/>
              <w:left w:val="single" w:sz="4" w:space="0" w:color="000000"/>
              <w:bottom w:val="single" w:sz="4" w:space="0" w:color="000000"/>
              <w:right w:val="single" w:sz="4" w:space="0" w:color="000000"/>
            </w:tcBorders>
          </w:tcPr>
          <w:p w:rsidR="00A113DC" w:rsidRPr="00ED1F31" w:rsidRDefault="00F46E39" w:rsidP="004C0A3B">
            <w:pPr>
              <w:pStyle w:val="TableParagraph"/>
              <w:spacing w:before="23"/>
              <w:ind w:left="64" w:right="8"/>
              <w:rPr>
                <w:rFonts w:ascii="Arial" w:eastAsia="Arial" w:hAnsi="Arial" w:cs="Arial"/>
                <w:sz w:val="20"/>
                <w:szCs w:val="20"/>
              </w:rPr>
            </w:pPr>
            <w:r w:rsidRPr="00ED1F31">
              <w:rPr>
                <w:rFonts w:ascii="Arial" w:hAnsi="Arial"/>
                <w:sz w:val="20"/>
              </w:rPr>
              <w:t>Accidents to persons caused by rolling stock in motion</w:t>
            </w:r>
          </w:p>
        </w:tc>
        <w:tc>
          <w:tcPr>
            <w:tcW w:w="1133"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2"/>
              <w:jc w:val="right"/>
              <w:rPr>
                <w:rFonts w:ascii="Arial" w:eastAsia="Arial" w:hAnsi="Arial" w:cs="Arial"/>
                <w:sz w:val="20"/>
                <w:szCs w:val="20"/>
              </w:rPr>
            </w:pPr>
            <w:r w:rsidRPr="00ED1F31">
              <w:rPr>
                <w:rFonts w:ascii="Arial" w:hAnsi="Arial"/>
                <w:sz w:val="20"/>
              </w:rPr>
              <w:t>0</w:t>
            </w:r>
          </w:p>
        </w:tc>
        <w:tc>
          <w:tcPr>
            <w:tcW w:w="156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5"/>
              <w:jc w:val="right"/>
              <w:rPr>
                <w:rFonts w:ascii="Arial" w:eastAsia="Arial" w:hAnsi="Arial" w:cs="Arial"/>
                <w:sz w:val="20"/>
                <w:szCs w:val="20"/>
              </w:rPr>
            </w:pPr>
            <w:r w:rsidRPr="00ED1F31">
              <w:rPr>
                <w:rFonts w:ascii="Arial" w:hAnsi="Arial"/>
                <w:sz w:val="20"/>
              </w:rPr>
              <w:t>0.00</w:t>
            </w:r>
          </w:p>
        </w:tc>
      </w:tr>
      <w:tr w:rsidR="00BD7B71">
        <w:trPr>
          <w:trHeight w:hRule="exact" w:val="264"/>
        </w:trPr>
        <w:tc>
          <w:tcPr>
            <w:tcW w:w="6305"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1"/>
              <w:ind w:left="64"/>
              <w:rPr>
                <w:rFonts w:ascii="Arial" w:eastAsia="Arial" w:hAnsi="Arial" w:cs="Arial"/>
                <w:sz w:val="20"/>
                <w:szCs w:val="20"/>
              </w:rPr>
            </w:pPr>
            <w:r w:rsidRPr="00ED1F31">
              <w:rPr>
                <w:rFonts w:ascii="Arial" w:hAnsi="Arial"/>
                <w:sz w:val="20"/>
              </w:rPr>
              <w:t>Fires in rolling stock</w:t>
            </w:r>
          </w:p>
        </w:tc>
        <w:tc>
          <w:tcPr>
            <w:tcW w:w="1133"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1"/>
              <w:ind w:right="62"/>
              <w:jc w:val="right"/>
              <w:rPr>
                <w:rFonts w:ascii="Arial" w:eastAsia="Arial" w:hAnsi="Arial" w:cs="Arial"/>
                <w:sz w:val="20"/>
                <w:szCs w:val="20"/>
              </w:rPr>
            </w:pPr>
            <w:r w:rsidRPr="00ED1F31">
              <w:rPr>
                <w:rFonts w:ascii="Arial" w:hAnsi="Arial"/>
                <w:sz w:val="20"/>
              </w:rPr>
              <w:t>0</w:t>
            </w:r>
          </w:p>
        </w:tc>
        <w:tc>
          <w:tcPr>
            <w:tcW w:w="156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1"/>
              <w:ind w:right="65"/>
              <w:jc w:val="right"/>
              <w:rPr>
                <w:rFonts w:ascii="Arial" w:eastAsia="Arial" w:hAnsi="Arial" w:cs="Arial"/>
                <w:sz w:val="20"/>
                <w:szCs w:val="20"/>
              </w:rPr>
            </w:pPr>
            <w:r w:rsidRPr="00ED1F31">
              <w:rPr>
                <w:rFonts w:ascii="Arial" w:hAnsi="Arial"/>
                <w:sz w:val="20"/>
              </w:rPr>
              <w:t>0.00</w:t>
            </w:r>
          </w:p>
        </w:tc>
      </w:tr>
      <w:tr w:rsidR="00BD7B71">
        <w:trPr>
          <w:trHeight w:hRule="exact" w:val="266"/>
        </w:trPr>
        <w:tc>
          <w:tcPr>
            <w:tcW w:w="6305"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left="64"/>
              <w:rPr>
                <w:rFonts w:ascii="Arial" w:eastAsia="Arial" w:hAnsi="Arial" w:cs="Arial"/>
                <w:sz w:val="20"/>
                <w:szCs w:val="20"/>
              </w:rPr>
            </w:pPr>
            <w:r w:rsidRPr="00ED1F31">
              <w:rPr>
                <w:rFonts w:ascii="Arial" w:hAnsi="Arial"/>
                <w:sz w:val="20"/>
              </w:rPr>
              <w:t>Others</w:t>
            </w:r>
          </w:p>
        </w:tc>
        <w:tc>
          <w:tcPr>
            <w:tcW w:w="1133"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2"/>
              <w:jc w:val="right"/>
              <w:rPr>
                <w:rFonts w:ascii="Arial" w:eastAsia="Arial" w:hAnsi="Arial" w:cs="Arial"/>
                <w:sz w:val="20"/>
                <w:szCs w:val="20"/>
              </w:rPr>
            </w:pPr>
            <w:r w:rsidRPr="00ED1F31">
              <w:rPr>
                <w:rFonts w:ascii="Arial" w:hAnsi="Arial"/>
                <w:sz w:val="20"/>
              </w:rPr>
              <w:t>0</w:t>
            </w:r>
          </w:p>
        </w:tc>
        <w:tc>
          <w:tcPr>
            <w:tcW w:w="1560" w:type="dxa"/>
            <w:tcBorders>
              <w:top w:val="single" w:sz="4" w:space="0" w:color="000000"/>
              <w:left w:val="single" w:sz="4" w:space="0" w:color="000000"/>
              <w:bottom w:val="single" w:sz="4" w:space="0" w:color="000000"/>
              <w:right w:val="single" w:sz="4" w:space="0" w:color="000000"/>
            </w:tcBorders>
          </w:tcPr>
          <w:p w:rsidR="00A113DC" w:rsidRPr="00ED1F31" w:rsidRDefault="00F46E39">
            <w:pPr>
              <w:pStyle w:val="TableParagraph"/>
              <w:spacing w:before="23"/>
              <w:ind w:right="65"/>
              <w:jc w:val="right"/>
              <w:rPr>
                <w:rFonts w:ascii="Arial" w:eastAsia="Arial" w:hAnsi="Arial" w:cs="Arial"/>
                <w:sz w:val="20"/>
                <w:szCs w:val="20"/>
              </w:rPr>
            </w:pPr>
            <w:r w:rsidRPr="00ED1F31">
              <w:rPr>
                <w:rFonts w:ascii="Arial" w:hAnsi="Arial"/>
                <w:sz w:val="20"/>
              </w:rPr>
              <w:t>0.00</w:t>
            </w:r>
          </w:p>
        </w:tc>
      </w:tr>
      <w:tr w:rsidR="00BD7B71">
        <w:trPr>
          <w:trHeight w:hRule="exact" w:val="264"/>
        </w:trPr>
        <w:tc>
          <w:tcPr>
            <w:tcW w:w="6305" w:type="dxa"/>
            <w:tcBorders>
              <w:top w:val="single" w:sz="4" w:space="0" w:color="000000"/>
              <w:left w:val="single" w:sz="4" w:space="0" w:color="000000"/>
              <w:bottom w:val="single" w:sz="4" w:space="0" w:color="000000"/>
              <w:right w:val="single" w:sz="4" w:space="0" w:color="000000"/>
            </w:tcBorders>
            <w:shd w:val="clear" w:color="auto" w:fill="FBD4B4"/>
          </w:tcPr>
          <w:p w:rsidR="00A113DC" w:rsidRPr="00ED1F31" w:rsidRDefault="00F46E39">
            <w:pPr>
              <w:pStyle w:val="TableParagraph"/>
              <w:spacing w:before="21"/>
              <w:ind w:left="64"/>
              <w:rPr>
                <w:rFonts w:ascii="Arial" w:eastAsia="Arial" w:hAnsi="Arial" w:cs="Arial"/>
                <w:sz w:val="20"/>
                <w:szCs w:val="20"/>
              </w:rPr>
            </w:pPr>
            <w:r w:rsidRPr="00ED1F31">
              <w:rPr>
                <w:rFonts w:ascii="Arial" w:hAnsi="Arial"/>
                <w:sz w:val="20"/>
              </w:rPr>
              <w:t>Total</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cPr>
          <w:p w:rsidR="00A113DC" w:rsidRPr="00ED1F31" w:rsidRDefault="00F46E39">
            <w:pPr>
              <w:pStyle w:val="TableParagraph"/>
              <w:spacing w:before="21"/>
              <w:ind w:right="62"/>
              <w:jc w:val="right"/>
              <w:rPr>
                <w:rFonts w:ascii="Arial" w:eastAsia="Arial" w:hAnsi="Arial" w:cs="Arial"/>
                <w:sz w:val="20"/>
                <w:szCs w:val="20"/>
              </w:rPr>
            </w:pPr>
            <w:r w:rsidRPr="00ED1F31">
              <w:rPr>
                <w:rFonts w:ascii="Arial" w:hAnsi="Arial"/>
                <w:sz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FBD4B4"/>
          </w:tcPr>
          <w:p w:rsidR="00A113DC" w:rsidRPr="00ED1F31" w:rsidRDefault="00F46E39">
            <w:pPr>
              <w:pStyle w:val="TableParagraph"/>
              <w:spacing w:before="21"/>
              <w:ind w:right="65"/>
              <w:jc w:val="right"/>
              <w:rPr>
                <w:rFonts w:ascii="Arial" w:eastAsia="Arial" w:hAnsi="Arial" w:cs="Arial"/>
                <w:sz w:val="20"/>
                <w:szCs w:val="20"/>
              </w:rPr>
            </w:pPr>
            <w:r w:rsidRPr="00ED1F31">
              <w:rPr>
                <w:rFonts w:ascii="Arial" w:hAnsi="Arial"/>
                <w:sz w:val="20"/>
              </w:rPr>
              <w:t>0.23</w:t>
            </w:r>
          </w:p>
        </w:tc>
      </w:tr>
    </w:tbl>
    <w:p w:rsidR="00A113DC" w:rsidRPr="00ED1F31" w:rsidRDefault="00F46E39" w:rsidP="003E1560">
      <w:pPr>
        <w:spacing w:before="400"/>
        <w:ind w:left="180"/>
        <w:rPr>
          <w:rFonts w:eastAsia="Calibri" w:cs="Calibri"/>
          <w:sz w:val="20"/>
          <w:szCs w:val="20"/>
        </w:rPr>
      </w:pPr>
      <w:r w:rsidRPr="00ED1F31">
        <w:rPr>
          <w:rFonts w:eastAsia="Calibri" w:cs="Calibri"/>
          <w:noProof/>
          <w:sz w:val="20"/>
          <w:szCs w:val="20"/>
          <w:lang w:val="en-US" w:eastAsia="zh-CN" w:bidi="ar-SA"/>
        </w:rPr>
        <w:drawing>
          <wp:inline distT="0" distB="0" distL="0" distR="0">
            <wp:extent cx="5446395" cy="3888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54881"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46395" cy="3888105"/>
                    </a:xfrm>
                    <a:prstGeom prst="rect">
                      <a:avLst/>
                    </a:prstGeom>
                    <a:noFill/>
                    <a:ln>
                      <a:noFill/>
                    </a:ln>
                  </pic:spPr>
                </pic:pic>
              </a:graphicData>
            </a:graphic>
          </wp:inline>
        </w:drawing>
      </w:r>
    </w:p>
    <w:p w:rsidR="00AF3705" w:rsidRPr="00ED1F31" w:rsidRDefault="00AF3705" w:rsidP="00AF3705">
      <w:pPr>
        <w:ind w:left="180"/>
        <w:rPr>
          <w:rFonts w:eastAsia="Calibri" w:cs="Calibri"/>
          <w:sz w:val="20"/>
          <w:szCs w:val="20"/>
        </w:rPr>
      </w:pPr>
    </w:p>
    <w:tbl>
      <w:tblPr>
        <w:tblStyle w:val="TableGrid"/>
        <w:tblW w:w="9282" w:type="dxa"/>
        <w:tblInd w:w="180" w:type="dxa"/>
        <w:tblLook w:val="04A0" w:firstRow="1" w:lastRow="0" w:firstColumn="1" w:lastColumn="0" w:noHBand="0" w:noVBand="1"/>
      </w:tblPr>
      <w:tblGrid>
        <w:gridCol w:w="4655"/>
        <w:gridCol w:w="4627"/>
      </w:tblGrid>
      <w:tr w:rsidR="00BD7B71" w:rsidTr="00AF3705">
        <w:tc>
          <w:tcPr>
            <w:tcW w:w="4655" w:type="dxa"/>
          </w:tcPr>
          <w:p w:rsidR="00AF3705" w:rsidRPr="00587420" w:rsidRDefault="00F46E39" w:rsidP="00AF3705">
            <w:pPr>
              <w:rPr>
                <w:lang w:val="fr-BE"/>
              </w:rPr>
            </w:pPr>
            <w:r w:rsidRPr="00587420">
              <w:rPr>
                <w:lang w:val="fr-BE"/>
              </w:rPr>
              <w:t>Nombre total d'accidents significatifs/(Mio km-train)</w:t>
            </w:r>
          </w:p>
        </w:tc>
        <w:tc>
          <w:tcPr>
            <w:tcW w:w="4627" w:type="dxa"/>
          </w:tcPr>
          <w:p w:rsidR="00AF3705" w:rsidRPr="00ED1F31" w:rsidRDefault="00F46E39" w:rsidP="00AF3705">
            <w:r w:rsidRPr="00ED1F31">
              <w:t>Total number of significant accidents/(million train-km)</w:t>
            </w:r>
          </w:p>
        </w:tc>
      </w:tr>
      <w:tr w:rsidR="00BD7B71" w:rsidTr="00AF3705">
        <w:tc>
          <w:tcPr>
            <w:tcW w:w="4655" w:type="dxa"/>
          </w:tcPr>
          <w:p w:rsidR="00AF3705" w:rsidRPr="00587420" w:rsidRDefault="00F46E39" w:rsidP="00AF3705">
            <w:pPr>
              <w:rPr>
                <w:lang w:val="fr-BE"/>
              </w:rPr>
            </w:pPr>
            <w:r w:rsidRPr="00587420">
              <w:rPr>
                <w:lang w:val="fr-BE"/>
              </w:rPr>
              <w:t>Nombre</w:t>
            </w:r>
            <w:r w:rsidRPr="00587420">
              <w:rPr>
                <w:lang w:val="fr-BE"/>
              </w:rPr>
              <w:t xml:space="preserve"> total de collisions de trains/(Mio km-train), y compris avec obstacles à l'intérieur du gabarit</w:t>
            </w:r>
          </w:p>
        </w:tc>
        <w:tc>
          <w:tcPr>
            <w:tcW w:w="4627" w:type="dxa"/>
          </w:tcPr>
          <w:p w:rsidR="00AF3705" w:rsidRPr="00ED1F31" w:rsidRDefault="00F46E39" w:rsidP="00AF3705">
            <w:r w:rsidRPr="00ED1F31">
              <w:t>Total number of train collisions/(million train-km), including collisions with obstacles within the clearance gauge</w:t>
            </w:r>
          </w:p>
        </w:tc>
      </w:tr>
      <w:tr w:rsidR="00BD7B71" w:rsidTr="00AF3705">
        <w:tc>
          <w:tcPr>
            <w:tcW w:w="4655" w:type="dxa"/>
          </w:tcPr>
          <w:p w:rsidR="00AF3705" w:rsidRPr="00587420" w:rsidRDefault="00F46E39" w:rsidP="00AF3705">
            <w:pPr>
              <w:rPr>
                <w:lang w:val="fr-BE"/>
              </w:rPr>
            </w:pPr>
            <w:r w:rsidRPr="00587420">
              <w:rPr>
                <w:lang w:val="fr-BE"/>
              </w:rPr>
              <w:t>Nombre total d'accidents aux passages à ni</w:t>
            </w:r>
            <w:r w:rsidRPr="00587420">
              <w:rPr>
                <w:lang w:val="fr-BE"/>
              </w:rPr>
              <w:t>veau/(Mio km-train), y compris piétons</w:t>
            </w:r>
          </w:p>
        </w:tc>
        <w:tc>
          <w:tcPr>
            <w:tcW w:w="4627" w:type="dxa"/>
          </w:tcPr>
          <w:p w:rsidR="00AF3705" w:rsidRPr="00ED1F31" w:rsidRDefault="00F46E39" w:rsidP="00AF3705">
            <w:r w:rsidRPr="00ED1F31">
              <w:t>Total number of Accidents at level crossings, including those involving pedestrians/(million train-km)</w:t>
            </w:r>
          </w:p>
        </w:tc>
      </w:tr>
      <w:tr w:rsidR="00BD7B71" w:rsidTr="00AF3705">
        <w:tc>
          <w:tcPr>
            <w:tcW w:w="4655" w:type="dxa"/>
          </w:tcPr>
          <w:p w:rsidR="00AF3705" w:rsidRPr="00587420" w:rsidRDefault="00F46E39" w:rsidP="00AF3705">
            <w:pPr>
              <w:rPr>
                <w:lang w:val="fr-BE"/>
              </w:rPr>
            </w:pPr>
            <w:r w:rsidRPr="00587420">
              <w:rPr>
                <w:lang w:val="fr-BE"/>
              </w:rPr>
              <w:t>Nombre d'accidents de personnes causés par matériel roulant en mouvement/(Mio km-train)</w:t>
            </w:r>
          </w:p>
        </w:tc>
        <w:tc>
          <w:tcPr>
            <w:tcW w:w="4627" w:type="dxa"/>
          </w:tcPr>
          <w:p w:rsidR="00AF3705" w:rsidRPr="00ED1F31" w:rsidRDefault="00F46E39" w:rsidP="00AF3705">
            <w:r w:rsidRPr="00ED1F31">
              <w:t xml:space="preserve">Accidents to persons </w:t>
            </w:r>
            <w:r w:rsidRPr="00ED1F31">
              <w:t>caused by rolling stock in motion/(million train-km)</w:t>
            </w:r>
          </w:p>
        </w:tc>
      </w:tr>
    </w:tbl>
    <w:p w:rsidR="003E1560" w:rsidRPr="00ED1F31" w:rsidRDefault="003E1560" w:rsidP="00AF3705">
      <w:pPr>
        <w:ind w:left="180"/>
        <w:rPr>
          <w:rFonts w:eastAsia="Calibri" w:cs="Calibri"/>
          <w:sz w:val="20"/>
          <w:szCs w:val="20"/>
        </w:rPr>
      </w:pPr>
    </w:p>
    <w:p w:rsidR="00A113DC" w:rsidRPr="00ED1F31" w:rsidRDefault="00F46E39" w:rsidP="00E026B7">
      <w:pPr>
        <w:pStyle w:val="BodyText"/>
      </w:pPr>
      <w:r w:rsidRPr="00ED1F31">
        <w:t>Since the first annual report was drawn up in 2009, there have been no significant accidents in the ‘derailments of trains’, ‘fires in rolling stock’ and ‘others’ categories.</w:t>
      </w:r>
    </w:p>
    <w:p w:rsidR="00A113DC" w:rsidRPr="00ED1F31" w:rsidRDefault="00F46E39" w:rsidP="005729A3">
      <w:pPr>
        <w:pStyle w:val="Heading3-1"/>
        <w:pageBreakBefore/>
        <w:spacing w:before="0"/>
      </w:pPr>
      <w:r w:rsidRPr="00ED1F31">
        <w:t xml:space="preserve">Total and relative number </w:t>
      </w:r>
      <w:r w:rsidRPr="00ED1F31">
        <w:t>per million train-kilometres (million train-km) of persons seriously injured and of persons killed by type of person and type of accident</w:t>
      </w:r>
    </w:p>
    <w:p w:rsidR="00A113DC" w:rsidRPr="00ED1F31" w:rsidRDefault="00A113DC">
      <w:pPr>
        <w:spacing w:before="6"/>
        <w:rPr>
          <w:rFonts w:eastAsia="Calibri" w:cs="Calibri"/>
          <w:sz w:val="26"/>
          <w:szCs w:val="26"/>
        </w:rPr>
      </w:pPr>
    </w:p>
    <w:tbl>
      <w:tblPr>
        <w:tblW w:w="0" w:type="auto"/>
        <w:tblInd w:w="160" w:type="dxa"/>
        <w:tblLayout w:type="fixed"/>
        <w:tblCellMar>
          <w:left w:w="0" w:type="dxa"/>
          <w:right w:w="0" w:type="dxa"/>
        </w:tblCellMar>
        <w:tblLook w:val="01E0" w:firstRow="1" w:lastRow="1" w:firstColumn="1" w:lastColumn="1" w:noHBand="0" w:noVBand="0"/>
      </w:tblPr>
      <w:tblGrid>
        <w:gridCol w:w="3960"/>
        <w:gridCol w:w="967"/>
        <w:gridCol w:w="1440"/>
        <w:gridCol w:w="1440"/>
        <w:gridCol w:w="1440"/>
      </w:tblGrid>
      <w:tr w:rsidR="00BD7B71" w:rsidTr="00043FEB">
        <w:trPr>
          <w:trHeight w:hRule="exact" w:val="468"/>
        </w:trPr>
        <w:tc>
          <w:tcPr>
            <w:tcW w:w="396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2015 person types</w:t>
            </w:r>
          </w:p>
        </w:tc>
        <w:tc>
          <w:tcPr>
            <w:tcW w:w="967"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w:t>
            </w:r>
          </w:p>
        </w:tc>
        <w:tc>
          <w:tcPr>
            <w:tcW w:w="144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 per million train-km</w:t>
            </w:r>
          </w:p>
        </w:tc>
        <w:tc>
          <w:tcPr>
            <w:tcW w:w="144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 per million p-km</w:t>
            </w:r>
          </w:p>
        </w:tc>
        <w:tc>
          <w:tcPr>
            <w:tcW w:w="144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 per million pt-km</w:t>
            </w:r>
          </w:p>
        </w:tc>
      </w:tr>
      <w:tr w:rsidR="00BD7B71" w:rsidTr="00043FEB">
        <w:trPr>
          <w:trHeight w:hRule="exact" w:val="266"/>
        </w:trPr>
        <w:tc>
          <w:tcPr>
            <w:tcW w:w="396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Passengers</w:t>
            </w:r>
          </w:p>
        </w:tc>
        <w:tc>
          <w:tcPr>
            <w:tcW w:w="96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0.00</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0.00</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0.00</w:t>
            </w:r>
          </w:p>
        </w:tc>
      </w:tr>
      <w:tr w:rsidR="00BD7B71" w:rsidTr="00043FEB">
        <w:trPr>
          <w:trHeight w:hRule="exact" w:val="264"/>
        </w:trPr>
        <w:tc>
          <w:tcPr>
            <w:tcW w:w="396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Employees, including subcontractors</w:t>
            </w:r>
          </w:p>
        </w:tc>
        <w:tc>
          <w:tcPr>
            <w:tcW w:w="96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0.00</w:t>
            </w:r>
          </w:p>
        </w:tc>
        <w:tc>
          <w:tcPr>
            <w:tcW w:w="2880" w:type="dxa"/>
            <w:gridSpan w:val="2"/>
            <w:vMerge w:val="restart"/>
            <w:tcBorders>
              <w:top w:val="single" w:sz="4" w:space="0" w:color="000000"/>
              <w:left w:val="single" w:sz="4" w:space="0" w:color="000000"/>
              <w:right w:val="nil"/>
            </w:tcBorders>
            <w:vAlign w:val="center"/>
          </w:tcPr>
          <w:p w:rsidR="00A113DC" w:rsidRPr="00ED1F31" w:rsidRDefault="00A113DC" w:rsidP="00043FEB"/>
        </w:tc>
      </w:tr>
      <w:tr w:rsidR="00BD7B71" w:rsidTr="00043FEB">
        <w:trPr>
          <w:trHeight w:hRule="exact" w:val="266"/>
        </w:trPr>
        <w:tc>
          <w:tcPr>
            <w:tcW w:w="396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Users of level crossings</w:t>
            </w:r>
          </w:p>
        </w:tc>
        <w:tc>
          <w:tcPr>
            <w:tcW w:w="96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0.11</w:t>
            </w:r>
          </w:p>
        </w:tc>
        <w:tc>
          <w:tcPr>
            <w:tcW w:w="2880" w:type="dxa"/>
            <w:gridSpan w:val="2"/>
            <w:vMerge/>
            <w:tcBorders>
              <w:left w:val="single" w:sz="4" w:space="0" w:color="000000"/>
              <w:right w:val="nil"/>
            </w:tcBorders>
          </w:tcPr>
          <w:p w:rsidR="00A113DC" w:rsidRPr="00ED1F31" w:rsidRDefault="00A113DC"/>
        </w:tc>
      </w:tr>
      <w:tr w:rsidR="00BD7B71" w:rsidTr="00043FEB">
        <w:trPr>
          <w:trHeight w:hRule="exact" w:val="528"/>
        </w:trPr>
        <w:tc>
          <w:tcPr>
            <w:tcW w:w="396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Unauthorised persons on railway premises</w:t>
            </w:r>
          </w:p>
        </w:tc>
        <w:tc>
          <w:tcPr>
            <w:tcW w:w="96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0.00</w:t>
            </w:r>
          </w:p>
        </w:tc>
        <w:tc>
          <w:tcPr>
            <w:tcW w:w="2880" w:type="dxa"/>
            <w:gridSpan w:val="2"/>
            <w:vMerge/>
            <w:tcBorders>
              <w:left w:val="single" w:sz="4" w:space="0" w:color="000000"/>
              <w:right w:val="nil"/>
            </w:tcBorders>
          </w:tcPr>
          <w:p w:rsidR="00A113DC" w:rsidRPr="00ED1F31" w:rsidRDefault="00A113DC"/>
        </w:tc>
      </w:tr>
      <w:tr w:rsidR="00BD7B71" w:rsidTr="00043FEB">
        <w:trPr>
          <w:trHeight w:hRule="exact" w:val="283"/>
        </w:trPr>
        <w:tc>
          <w:tcPr>
            <w:tcW w:w="396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Others</w:t>
            </w:r>
          </w:p>
        </w:tc>
        <w:tc>
          <w:tcPr>
            <w:tcW w:w="967"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0.00</w:t>
            </w:r>
          </w:p>
        </w:tc>
        <w:tc>
          <w:tcPr>
            <w:tcW w:w="2880" w:type="dxa"/>
            <w:gridSpan w:val="2"/>
            <w:vMerge/>
            <w:tcBorders>
              <w:left w:val="single" w:sz="4" w:space="0" w:color="000000"/>
              <w:right w:val="nil"/>
            </w:tcBorders>
          </w:tcPr>
          <w:p w:rsidR="00A113DC" w:rsidRPr="00ED1F31" w:rsidRDefault="00A113DC"/>
        </w:tc>
      </w:tr>
      <w:tr w:rsidR="00BD7B71" w:rsidTr="00043FEB">
        <w:trPr>
          <w:trHeight w:hRule="exact" w:val="264"/>
        </w:trPr>
        <w:tc>
          <w:tcPr>
            <w:tcW w:w="3960" w:type="dxa"/>
            <w:tcBorders>
              <w:top w:val="single" w:sz="4" w:space="0" w:color="000000"/>
              <w:left w:val="single" w:sz="4" w:space="0" w:color="000000"/>
              <w:bottom w:val="single" w:sz="4" w:space="0" w:color="000000"/>
              <w:right w:val="single" w:sz="4" w:space="0" w:color="000000"/>
            </w:tcBorders>
            <w:shd w:val="clear" w:color="auto" w:fill="FF9393"/>
            <w:vAlign w:val="center"/>
          </w:tcPr>
          <w:p w:rsidR="00A113DC" w:rsidRPr="00ED1F31" w:rsidRDefault="00F46E39" w:rsidP="00043FEB">
            <w:pPr>
              <w:pStyle w:val="TableParagraph"/>
              <w:ind w:left="59" w:right="60"/>
              <w:rPr>
                <w:rFonts w:ascii="Arial" w:eastAsia="Arial" w:hAnsi="Arial" w:cs="Arial"/>
                <w:sz w:val="20"/>
                <w:szCs w:val="20"/>
              </w:rPr>
            </w:pPr>
            <w:r w:rsidRPr="00ED1F31">
              <w:rPr>
                <w:rFonts w:ascii="Arial" w:hAnsi="Arial"/>
                <w:sz w:val="20"/>
              </w:rPr>
              <w:t>Total</w:t>
            </w:r>
          </w:p>
        </w:tc>
        <w:tc>
          <w:tcPr>
            <w:tcW w:w="967" w:type="dxa"/>
            <w:tcBorders>
              <w:top w:val="single" w:sz="4" w:space="0" w:color="000000"/>
              <w:left w:val="single" w:sz="4" w:space="0" w:color="000000"/>
              <w:bottom w:val="single" w:sz="4" w:space="0" w:color="000000"/>
              <w:right w:val="single" w:sz="4" w:space="0" w:color="000000"/>
            </w:tcBorders>
            <w:shd w:val="clear" w:color="auto" w:fill="FF9393"/>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FF9393"/>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0.11</w:t>
            </w:r>
          </w:p>
        </w:tc>
        <w:tc>
          <w:tcPr>
            <w:tcW w:w="2880" w:type="dxa"/>
            <w:gridSpan w:val="2"/>
            <w:vMerge/>
            <w:tcBorders>
              <w:left w:val="single" w:sz="4" w:space="0" w:color="000000"/>
              <w:bottom w:val="nil"/>
              <w:right w:val="nil"/>
            </w:tcBorders>
          </w:tcPr>
          <w:p w:rsidR="00A113DC" w:rsidRPr="00ED1F31" w:rsidRDefault="00A113DC"/>
        </w:tc>
      </w:tr>
    </w:tbl>
    <w:p w:rsidR="00A113DC" w:rsidRPr="00ED1F31" w:rsidRDefault="00F46E39" w:rsidP="00AC52AA">
      <w:pPr>
        <w:spacing w:line="276" w:lineRule="auto"/>
        <w:ind w:left="159" w:right="3216"/>
        <w:rPr>
          <w:rFonts w:eastAsia="Calibri" w:cs="Calibri"/>
          <w:sz w:val="20"/>
          <w:szCs w:val="20"/>
        </w:rPr>
      </w:pPr>
      <w:r w:rsidRPr="00ED1F31">
        <w:rPr>
          <w:sz w:val="20"/>
        </w:rPr>
        <w:t>Number per million p-km = Number per million passenger-km</w:t>
      </w:r>
      <w:r w:rsidRPr="00ED1F31">
        <w:rPr>
          <w:sz w:val="20"/>
        </w:rPr>
        <w:br/>
        <w:t>Number per million pt</w:t>
      </w:r>
      <w:r w:rsidRPr="00ED1F31">
        <w:rPr>
          <w:sz w:val="20"/>
        </w:rPr>
        <w:t>-km = Number per million passenger train-km</w:t>
      </w:r>
    </w:p>
    <w:p w:rsidR="003D636C" w:rsidRPr="00ED1F31" w:rsidRDefault="00F46E39" w:rsidP="003D636C">
      <w:pPr>
        <w:spacing w:before="400"/>
        <w:ind w:left="180"/>
        <w:rPr>
          <w:rFonts w:eastAsia="Calibri" w:cs="Calibri"/>
          <w:sz w:val="21"/>
          <w:szCs w:val="21"/>
        </w:rPr>
      </w:pPr>
      <w:r w:rsidRPr="00ED1F31">
        <w:rPr>
          <w:rFonts w:eastAsia="Calibri" w:cs="Calibri"/>
          <w:noProof/>
          <w:sz w:val="21"/>
          <w:szCs w:val="21"/>
          <w:lang w:val="en-US" w:eastAsia="zh-CN" w:bidi="ar-SA"/>
        </w:rPr>
        <w:drawing>
          <wp:inline distT="0" distB="0" distL="0" distR="0">
            <wp:extent cx="5430520" cy="3888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07076"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30520" cy="3888105"/>
                    </a:xfrm>
                    <a:prstGeom prst="rect">
                      <a:avLst/>
                    </a:prstGeom>
                    <a:noFill/>
                    <a:ln>
                      <a:noFill/>
                    </a:ln>
                  </pic:spPr>
                </pic:pic>
              </a:graphicData>
            </a:graphic>
          </wp:inline>
        </w:drawing>
      </w:r>
    </w:p>
    <w:p w:rsidR="003D636C" w:rsidRPr="00ED1F31" w:rsidRDefault="003D636C">
      <w:pPr>
        <w:spacing w:before="1"/>
        <w:rPr>
          <w:rFonts w:eastAsia="Calibri" w:cs="Calibri"/>
          <w:sz w:val="21"/>
          <w:szCs w:val="21"/>
        </w:rPr>
      </w:pPr>
    </w:p>
    <w:tbl>
      <w:tblPr>
        <w:tblStyle w:val="TableGrid"/>
        <w:tblW w:w="9462" w:type="dxa"/>
        <w:tblLook w:val="04A0" w:firstRow="1" w:lastRow="0" w:firstColumn="1" w:lastColumn="0" w:noHBand="0" w:noVBand="1"/>
      </w:tblPr>
      <w:tblGrid>
        <w:gridCol w:w="4731"/>
        <w:gridCol w:w="4731"/>
      </w:tblGrid>
      <w:tr w:rsidR="00BD7B71" w:rsidTr="00AF3705">
        <w:tc>
          <w:tcPr>
            <w:tcW w:w="4731" w:type="dxa"/>
          </w:tcPr>
          <w:p w:rsidR="00AF3705" w:rsidRPr="00587420" w:rsidRDefault="00F46E39" w:rsidP="00AF3705">
            <w:pPr>
              <w:rPr>
                <w:lang w:val="fr-BE"/>
              </w:rPr>
            </w:pPr>
            <w:r w:rsidRPr="00587420">
              <w:rPr>
                <w:lang w:val="fr-BE"/>
              </w:rPr>
              <w:t>Nombre total de personnes grièvement blessées et tuées/ (Mio km-t)</w:t>
            </w:r>
          </w:p>
        </w:tc>
        <w:tc>
          <w:tcPr>
            <w:tcW w:w="4731" w:type="dxa"/>
          </w:tcPr>
          <w:p w:rsidR="00AF3705" w:rsidRPr="00ED1F31" w:rsidRDefault="00F46E39" w:rsidP="00AF3705">
            <w:r w:rsidRPr="00ED1F31">
              <w:t>Total number of persons seriously injured or killed/(million train-km)</w:t>
            </w:r>
          </w:p>
        </w:tc>
      </w:tr>
      <w:tr w:rsidR="00BD7B71" w:rsidTr="00AF3705">
        <w:tc>
          <w:tcPr>
            <w:tcW w:w="4731" w:type="dxa"/>
          </w:tcPr>
          <w:p w:rsidR="00AF3705" w:rsidRPr="00ED1F31" w:rsidRDefault="00F46E39" w:rsidP="00AF3705">
            <w:r w:rsidRPr="00ED1F31">
              <w:t>VNR 0,21</w:t>
            </w:r>
          </w:p>
        </w:tc>
        <w:tc>
          <w:tcPr>
            <w:tcW w:w="4731" w:type="dxa"/>
          </w:tcPr>
          <w:p w:rsidR="00AF3705" w:rsidRPr="00ED1F31" w:rsidRDefault="00F46E39" w:rsidP="00AF3705">
            <w:r w:rsidRPr="00ED1F31">
              <w:t>NRV 0.21</w:t>
            </w:r>
          </w:p>
        </w:tc>
      </w:tr>
      <w:tr w:rsidR="00BD7B71" w:rsidTr="00AF3705">
        <w:tc>
          <w:tcPr>
            <w:tcW w:w="4731" w:type="dxa"/>
          </w:tcPr>
          <w:p w:rsidR="00AF3705" w:rsidRPr="00587420" w:rsidRDefault="00F46E39" w:rsidP="00AF3705">
            <w:pPr>
              <w:rPr>
                <w:lang w:val="fr-BE"/>
              </w:rPr>
            </w:pPr>
            <w:r w:rsidRPr="00587420">
              <w:rPr>
                <w:lang w:val="fr-BE"/>
              </w:rPr>
              <w:t xml:space="preserve">Nombre de personnes grièvement blessées et tuées/ </w:t>
            </w:r>
            <w:r w:rsidRPr="00587420">
              <w:rPr>
                <w:lang w:val="fr-BE"/>
              </w:rPr>
              <w:t>(Mio km-t)</w:t>
            </w:r>
          </w:p>
        </w:tc>
        <w:tc>
          <w:tcPr>
            <w:tcW w:w="4731" w:type="dxa"/>
          </w:tcPr>
          <w:p w:rsidR="00AF3705" w:rsidRPr="00ED1F31" w:rsidRDefault="00F46E39" w:rsidP="00AF3705">
            <w:r w:rsidRPr="00ED1F31">
              <w:t>Number of persons seriously injured or killed/(million train-km)</w:t>
            </w:r>
          </w:p>
        </w:tc>
      </w:tr>
      <w:tr w:rsidR="00BD7B71" w:rsidTr="00AF3705">
        <w:tc>
          <w:tcPr>
            <w:tcW w:w="4731" w:type="dxa"/>
          </w:tcPr>
          <w:p w:rsidR="00AF3705" w:rsidRPr="00587420" w:rsidRDefault="00F46E39" w:rsidP="00AF3705">
            <w:pPr>
              <w:rPr>
                <w:lang w:val="fr-BE"/>
              </w:rPr>
            </w:pPr>
            <w:r w:rsidRPr="00587420">
              <w:rPr>
                <w:lang w:val="fr-BE"/>
              </w:rPr>
              <w:t>Catégorie: Personnes non autorisées se trouvant dans les emprises ferroviaires</w:t>
            </w:r>
          </w:p>
        </w:tc>
        <w:tc>
          <w:tcPr>
            <w:tcW w:w="4731" w:type="dxa"/>
          </w:tcPr>
          <w:p w:rsidR="00AF3705" w:rsidRPr="00ED1F31" w:rsidRDefault="00F46E39" w:rsidP="00AF3705">
            <w:r w:rsidRPr="00ED1F31">
              <w:t>Category: Unauthorised persons on railway premises</w:t>
            </w:r>
          </w:p>
        </w:tc>
      </w:tr>
      <w:tr w:rsidR="00BD7B71" w:rsidTr="00AF3705">
        <w:tc>
          <w:tcPr>
            <w:tcW w:w="4731" w:type="dxa"/>
          </w:tcPr>
          <w:p w:rsidR="00AF3705" w:rsidRPr="00ED1F31" w:rsidRDefault="00F46E39" w:rsidP="00AF3705">
            <w:r w:rsidRPr="00ED1F31">
              <w:t>OSC 18,83</w:t>
            </w:r>
          </w:p>
        </w:tc>
        <w:tc>
          <w:tcPr>
            <w:tcW w:w="4731" w:type="dxa"/>
          </w:tcPr>
          <w:p w:rsidR="00AF3705" w:rsidRPr="00ED1F31" w:rsidRDefault="00F46E39" w:rsidP="00AF3705">
            <w:r w:rsidRPr="00ED1F31">
              <w:t>CST 18.83</w:t>
            </w:r>
          </w:p>
        </w:tc>
      </w:tr>
      <w:tr w:rsidR="00BD7B71" w:rsidTr="00AF3705">
        <w:tc>
          <w:tcPr>
            <w:tcW w:w="4731" w:type="dxa"/>
          </w:tcPr>
          <w:p w:rsidR="00AF3705" w:rsidRPr="00587420" w:rsidRDefault="00F46E39" w:rsidP="00AF3705">
            <w:pPr>
              <w:rPr>
                <w:lang w:val="fr-BE"/>
              </w:rPr>
            </w:pPr>
            <w:r w:rsidRPr="00587420">
              <w:rPr>
                <w:lang w:val="fr-BE"/>
              </w:rPr>
              <w:t>VNR 0,73</w:t>
            </w:r>
          </w:p>
          <w:p w:rsidR="00AF3705" w:rsidRPr="00587420" w:rsidRDefault="00F46E39" w:rsidP="00AF3705">
            <w:pPr>
              <w:rPr>
                <w:lang w:val="fr-BE"/>
              </w:rPr>
            </w:pPr>
            <w:r w:rsidRPr="00587420">
              <w:rPr>
                <w:lang w:val="fr-BE"/>
              </w:rPr>
              <w:t>Nombre de personne</w:t>
            </w:r>
            <w:r w:rsidRPr="00587420">
              <w:rPr>
                <w:lang w:val="fr-BE"/>
              </w:rPr>
              <w:t>s grièvement blessées et tuées/ (Mio km-t)</w:t>
            </w:r>
          </w:p>
        </w:tc>
        <w:tc>
          <w:tcPr>
            <w:tcW w:w="4731" w:type="dxa"/>
          </w:tcPr>
          <w:p w:rsidR="00AF3705" w:rsidRPr="00ED1F31" w:rsidRDefault="00F46E39" w:rsidP="00AF3705">
            <w:r w:rsidRPr="00ED1F31">
              <w:t>NRV 0.73</w:t>
            </w:r>
          </w:p>
          <w:p w:rsidR="00AF3705" w:rsidRPr="00ED1F31" w:rsidRDefault="00F46E39" w:rsidP="00AF3705">
            <w:r w:rsidRPr="00ED1F31">
              <w:t>Number of persons seriously injured or killed/(million train-km)</w:t>
            </w:r>
          </w:p>
        </w:tc>
      </w:tr>
      <w:tr w:rsidR="00BD7B71" w:rsidTr="00AF3705">
        <w:tc>
          <w:tcPr>
            <w:tcW w:w="4731" w:type="dxa"/>
          </w:tcPr>
          <w:p w:rsidR="00AF3705" w:rsidRPr="00587420" w:rsidRDefault="00F46E39" w:rsidP="00AF3705">
            <w:pPr>
              <w:rPr>
                <w:lang w:val="fr-BE"/>
              </w:rPr>
            </w:pPr>
            <w:r w:rsidRPr="00587420">
              <w:rPr>
                <w:lang w:val="fr-BE"/>
              </w:rPr>
              <w:t>Catégorie: Usagers des passages à niveau</w:t>
            </w:r>
          </w:p>
        </w:tc>
        <w:tc>
          <w:tcPr>
            <w:tcW w:w="4731" w:type="dxa"/>
          </w:tcPr>
          <w:p w:rsidR="00AF3705" w:rsidRPr="00ED1F31" w:rsidRDefault="00F46E39" w:rsidP="00AF3705">
            <w:r w:rsidRPr="00ED1F31">
              <w:t>Category: Users of level crossings</w:t>
            </w:r>
          </w:p>
        </w:tc>
      </w:tr>
      <w:tr w:rsidR="00BD7B71" w:rsidTr="00AF3705">
        <w:tc>
          <w:tcPr>
            <w:tcW w:w="4731" w:type="dxa"/>
          </w:tcPr>
          <w:p w:rsidR="00AF3705" w:rsidRPr="00ED1F31" w:rsidRDefault="00F46E39" w:rsidP="00AF3705">
            <w:r w:rsidRPr="00ED1F31">
              <w:t>OSC 0,71</w:t>
            </w:r>
          </w:p>
        </w:tc>
        <w:tc>
          <w:tcPr>
            <w:tcW w:w="4731" w:type="dxa"/>
          </w:tcPr>
          <w:p w:rsidR="00AF3705" w:rsidRPr="00ED1F31" w:rsidRDefault="00F46E39" w:rsidP="00AF3705">
            <w:r w:rsidRPr="00ED1F31">
              <w:t>CST 0.71</w:t>
            </w:r>
          </w:p>
        </w:tc>
      </w:tr>
      <w:tr w:rsidR="00BD7B71" w:rsidTr="00AF3705">
        <w:tc>
          <w:tcPr>
            <w:tcW w:w="4731" w:type="dxa"/>
          </w:tcPr>
          <w:p w:rsidR="00AF3705" w:rsidRPr="00ED1F31" w:rsidRDefault="00F46E39" w:rsidP="00AF3705">
            <w:r w:rsidRPr="00ED1F31">
              <w:t>VNR 0.1</w:t>
            </w:r>
          </w:p>
        </w:tc>
        <w:tc>
          <w:tcPr>
            <w:tcW w:w="4731" w:type="dxa"/>
          </w:tcPr>
          <w:p w:rsidR="00AF3705" w:rsidRPr="00ED1F31" w:rsidRDefault="00F46E39" w:rsidP="00AF3705">
            <w:r w:rsidRPr="00ED1F31">
              <w:t>NRV 0.1</w:t>
            </w:r>
          </w:p>
        </w:tc>
      </w:tr>
    </w:tbl>
    <w:p w:rsidR="00AF3705" w:rsidRPr="00ED1F31" w:rsidRDefault="00AF3705">
      <w:pPr>
        <w:spacing w:before="1"/>
        <w:rPr>
          <w:rFonts w:eastAsia="Calibri" w:cs="Calibri"/>
          <w:sz w:val="21"/>
          <w:szCs w:val="21"/>
        </w:rPr>
      </w:pPr>
    </w:p>
    <w:p w:rsidR="00AF3705" w:rsidRPr="00ED1F31" w:rsidRDefault="00AF3705">
      <w:pPr>
        <w:spacing w:before="1"/>
        <w:rPr>
          <w:rFonts w:eastAsia="Calibri" w:cs="Calibri"/>
          <w:sz w:val="21"/>
          <w:szCs w:val="21"/>
        </w:rPr>
      </w:pPr>
    </w:p>
    <w:p w:rsidR="00A113DC" w:rsidRPr="00ED1F31" w:rsidRDefault="00F46E39" w:rsidP="00E026B7">
      <w:pPr>
        <w:jc w:val="both"/>
      </w:pPr>
      <w:r w:rsidRPr="00ED1F31">
        <w:t xml:space="preserve">Since 2009, no serious </w:t>
      </w:r>
      <w:r w:rsidRPr="00ED1F31">
        <w:t>passenger accidents have been recorded. The same applies to the employee/subcontractor category for the 2010-2016 period.</w:t>
      </w:r>
    </w:p>
    <w:p w:rsidR="00A113DC" w:rsidRPr="00ED1F31" w:rsidRDefault="00F46E39" w:rsidP="005729A3">
      <w:pPr>
        <w:pStyle w:val="Heading2-1"/>
        <w:pageBreakBefore/>
        <w:spacing w:before="0"/>
      </w:pPr>
      <w:r w:rsidRPr="00ED1F31">
        <w:t>Indicators relating to dangerous goods</w:t>
      </w:r>
    </w:p>
    <w:p w:rsidR="00A113DC" w:rsidRPr="00ED1F31" w:rsidRDefault="00A113DC">
      <w:pPr>
        <w:spacing w:before="6"/>
        <w:rPr>
          <w:rFonts w:eastAsia="Calibri" w:cs="Calibri"/>
          <w:sz w:val="15"/>
          <w:szCs w:val="15"/>
        </w:rPr>
      </w:pPr>
    </w:p>
    <w:p w:rsidR="00A113DC" w:rsidRPr="00ED1F31" w:rsidRDefault="00F46E39" w:rsidP="00E026B7">
      <w:r w:rsidRPr="00ED1F31">
        <w:t xml:space="preserve">Total and relative number per million train-kilometres (million train-km) of accidents </w:t>
      </w:r>
      <w:r w:rsidRPr="00ED1F31">
        <w:t>relating to the transport of dangerous goods</w:t>
      </w:r>
    </w:p>
    <w:p w:rsidR="00A113DC" w:rsidRPr="00ED1F31" w:rsidRDefault="00A113DC">
      <w:pPr>
        <w:spacing w:before="11"/>
        <w:rPr>
          <w:rFonts w:eastAsia="Calibri" w:cs="Calibri"/>
          <w:sz w:val="25"/>
          <w:szCs w:val="25"/>
        </w:rPr>
      </w:pPr>
    </w:p>
    <w:tbl>
      <w:tblPr>
        <w:tblW w:w="0" w:type="auto"/>
        <w:tblInd w:w="115" w:type="dxa"/>
        <w:tblLayout w:type="fixed"/>
        <w:tblCellMar>
          <w:left w:w="0" w:type="dxa"/>
          <w:right w:w="0" w:type="dxa"/>
        </w:tblCellMar>
        <w:tblLook w:val="01E0" w:firstRow="1" w:lastRow="1" w:firstColumn="1" w:lastColumn="1" w:noHBand="0" w:noVBand="0"/>
      </w:tblPr>
      <w:tblGrid>
        <w:gridCol w:w="6379"/>
        <w:gridCol w:w="1277"/>
        <w:gridCol w:w="1699"/>
      </w:tblGrid>
      <w:tr w:rsidR="00BD7B71" w:rsidTr="00043FEB">
        <w:trPr>
          <w:trHeight w:hRule="exact" w:val="470"/>
        </w:trPr>
        <w:tc>
          <w:tcPr>
            <w:tcW w:w="6379"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278"/>
              <w:rPr>
                <w:rFonts w:ascii="Arial" w:eastAsia="Arial" w:hAnsi="Arial" w:cs="Arial"/>
                <w:sz w:val="20"/>
                <w:szCs w:val="20"/>
              </w:rPr>
            </w:pPr>
            <w:r w:rsidRPr="00ED1F31">
              <w:rPr>
                <w:rFonts w:ascii="Arial" w:hAnsi="Arial"/>
                <w:sz w:val="20"/>
              </w:rPr>
              <w:t>Accidents involving dangerous goods in 2015</w:t>
            </w:r>
          </w:p>
        </w:tc>
        <w:tc>
          <w:tcPr>
            <w:tcW w:w="1277"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134"/>
              <w:jc w:val="right"/>
              <w:rPr>
                <w:rFonts w:ascii="Arial" w:eastAsia="Arial" w:hAnsi="Arial" w:cs="Arial"/>
                <w:sz w:val="20"/>
                <w:szCs w:val="20"/>
              </w:rPr>
            </w:pPr>
            <w:r w:rsidRPr="00ED1F31">
              <w:rPr>
                <w:rFonts w:ascii="Arial" w:hAnsi="Arial"/>
                <w:sz w:val="20"/>
              </w:rPr>
              <w:t>Number</w:t>
            </w:r>
          </w:p>
        </w:tc>
        <w:tc>
          <w:tcPr>
            <w:tcW w:w="1699"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371" w:right="282" w:hanging="22"/>
              <w:rPr>
                <w:rFonts w:ascii="Arial" w:eastAsia="Arial" w:hAnsi="Arial" w:cs="Arial"/>
                <w:sz w:val="20"/>
                <w:szCs w:val="20"/>
              </w:rPr>
            </w:pPr>
            <w:r w:rsidRPr="00ED1F31">
              <w:rPr>
                <w:rFonts w:ascii="Arial" w:hAnsi="Arial"/>
                <w:sz w:val="20"/>
              </w:rPr>
              <w:t>Number per million train-km</w:t>
            </w:r>
          </w:p>
        </w:tc>
      </w:tr>
      <w:tr w:rsidR="00BD7B71" w:rsidTr="00043FEB">
        <w:trPr>
          <w:trHeight w:hRule="exact" w:val="468"/>
        </w:trPr>
        <w:tc>
          <w:tcPr>
            <w:tcW w:w="6379"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278" w:right="188"/>
              <w:rPr>
                <w:rFonts w:ascii="Arial" w:eastAsia="Arial" w:hAnsi="Arial" w:cs="Arial"/>
                <w:sz w:val="20"/>
                <w:szCs w:val="20"/>
              </w:rPr>
            </w:pPr>
            <w:r w:rsidRPr="00ED1F31">
              <w:rPr>
                <w:rFonts w:ascii="Arial" w:hAnsi="Arial"/>
                <w:sz w:val="20"/>
              </w:rPr>
              <w:t>Accidents in which at least one rail vehicle carrying dangerous goods was involved</w:t>
            </w:r>
          </w:p>
        </w:tc>
        <w:tc>
          <w:tcPr>
            <w:tcW w:w="1277"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136"/>
              <w:jc w:val="right"/>
              <w:rPr>
                <w:rFonts w:ascii="Arial" w:eastAsia="Arial" w:hAnsi="Arial" w:cs="Arial"/>
                <w:sz w:val="20"/>
                <w:szCs w:val="20"/>
              </w:rPr>
            </w:pPr>
            <w:r w:rsidRPr="00ED1F31">
              <w:rPr>
                <w:rFonts w:ascii="Arial" w:hAnsi="Arial"/>
                <w:sz w:val="20"/>
              </w:rPr>
              <w:t>0</w:t>
            </w:r>
          </w:p>
        </w:tc>
        <w:tc>
          <w:tcPr>
            <w:tcW w:w="1699"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5"/>
              <w:jc w:val="right"/>
              <w:rPr>
                <w:rFonts w:ascii="Arial" w:eastAsia="Arial" w:hAnsi="Arial" w:cs="Arial"/>
                <w:sz w:val="20"/>
                <w:szCs w:val="20"/>
              </w:rPr>
            </w:pPr>
            <w:r w:rsidRPr="00ED1F31">
              <w:rPr>
                <w:rFonts w:ascii="Arial" w:hAnsi="Arial"/>
                <w:sz w:val="20"/>
              </w:rPr>
              <w:t>0.00</w:t>
            </w:r>
          </w:p>
        </w:tc>
      </w:tr>
      <w:tr w:rsidR="00BD7B71" w:rsidTr="00043FEB">
        <w:trPr>
          <w:trHeight w:hRule="exact" w:val="470"/>
        </w:trPr>
        <w:tc>
          <w:tcPr>
            <w:tcW w:w="6379"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278" w:right="188"/>
              <w:rPr>
                <w:rFonts w:ascii="Arial" w:eastAsia="Arial" w:hAnsi="Arial" w:cs="Arial"/>
                <w:sz w:val="20"/>
                <w:szCs w:val="20"/>
              </w:rPr>
            </w:pPr>
            <w:r w:rsidRPr="00ED1F31">
              <w:rPr>
                <w:rFonts w:ascii="Arial" w:hAnsi="Arial"/>
                <w:sz w:val="20"/>
              </w:rPr>
              <w:t xml:space="preserve">Accidents of this type in which </w:t>
            </w:r>
            <w:r w:rsidRPr="00ED1F31">
              <w:rPr>
                <w:rFonts w:ascii="Arial" w:hAnsi="Arial"/>
                <w:sz w:val="20"/>
              </w:rPr>
              <w:t>hazardous substances were released</w:t>
            </w:r>
          </w:p>
        </w:tc>
        <w:tc>
          <w:tcPr>
            <w:tcW w:w="1277"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136"/>
              <w:jc w:val="right"/>
              <w:rPr>
                <w:rFonts w:ascii="Arial" w:eastAsia="Arial" w:hAnsi="Arial" w:cs="Arial"/>
                <w:sz w:val="20"/>
                <w:szCs w:val="20"/>
              </w:rPr>
            </w:pPr>
            <w:r w:rsidRPr="00ED1F31">
              <w:rPr>
                <w:rFonts w:ascii="Arial" w:hAnsi="Arial"/>
                <w:sz w:val="20"/>
              </w:rPr>
              <w:t>0</w:t>
            </w:r>
          </w:p>
        </w:tc>
        <w:tc>
          <w:tcPr>
            <w:tcW w:w="1699"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5"/>
              <w:jc w:val="right"/>
              <w:rPr>
                <w:rFonts w:ascii="Arial" w:eastAsia="Arial" w:hAnsi="Arial" w:cs="Arial"/>
                <w:sz w:val="20"/>
                <w:szCs w:val="20"/>
              </w:rPr>
            </w:pPr>
            <w:r w:rsidRPr="00ED1F31">
              <w:rPr>
                <w:rFonts w:ascii="Arial" w:hAnsi="Arial"/>
                <w:sz w:val="20"/>
              </w:rPr>
              <w:t>0.00</w:t>
            </w:r>
          </w:p>
        </w:tc>
      </w:tr>
      <w:tr w:rsidR="00BD7B71" w:rsidTr="00043FEB">
        <w:trPr>
          <w:trHeight w:hRule="exact" w:val="240"/>
        </w:trPr>
        <w:tc>
          <w:tcPr>
            <w:tcW w:w="637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113DC" w:rsidRPr="00ED1F31" w:rsidRDefault="00F46E39" w:rsidP="00043FEB">
            <w:pPr>
              <w:pStyle w:val="TableParagraph"/>
              <w:spacing w:line="227" w:lineRule="exact"/>
              <w:ind w:left="278"/>
              <w:rPr>
                <w:rFonts w:ascii="Arial" w:eastAsia="Arial" w:hAnsi="Arial" w:cs="Arial"/>
                <w:sz w:val="20"/>
                <w:szCs w:val="20"/>
              </w:rPr>
            </w:pPr>
            <w:r w:rsidRPr="00ED1F31">
              <w:rPr>
                <w:rFonts w:ascii="Arial" w:hAnsi="Arial"/>
                <w:sz w:val="20"/>
              </w:rPr>
              <w:t>Total</w:t>
            </w:r>
          </w:p>
        </w:tc>
        <w:tc>
          <w:tcPr>
            <w:tcW w:w="127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113DC" w:rsidRPr="00ED1F31" w:rsidRDefault="00F46E39" w:rsidP="00043FEB">
            <w:pPr>
              <w:pStyle w:val="TableParagraph"/>
              <w:spacing w:line="227" w:lineRule="exact"/>
              <w:ind w:right="136"/>
              <w:jc w:val="right"/>
              <w:rPr>
                <w:rFonts w:ascii="Arial" w:eastAsia="Arial" w:hAnsi="Arial" w:cs="Arial"/>
                <w:sz w:val="20"/>
                <w:szCs w:val="20"/>
              </w:rPr>
            </w:pPr>
            <w:r w:rsidRPr="00ED1F31">
              <w:rPr>
                <w:rFonts w:ascii="Arial" w:hAnsi="Arial"/>
                <w:sz w:val="20"/>
              </w:rPr>
              <w:t>0</w:t>
            </w:r>
          </w:p>
        </w:tc>
        <w:tc>
          <w:tcPr>
            <w:tcW w:w="169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113DC" w:rsidRPr="00ED1F31" w:rsidRDefault="00F46E39" w:rsidP="00043FEB">
            <w:pPr>
              <w:pStyle w:val="TableParagraph"/>
              <w:spacing w:line="227" w:lineRule="exact"/>
              <w:ind w:right="-5"/>
              <w:jc w:val="right"/>
              <w:rPr>
                <w:rFonts w:ascii="Arial" w:eastAsia="Arial" w:hAnsi="Arial" w:cs="Arial"/>
                <w:sz w:val="20"/>
                <w:szCs w:val="20"/>
              </w:rPr>
            </w:pPr>
            <w:r w:rsidRPr="00ED1F31">
              <w:rPr>
                <w:rFonts w:ascii="Arial" w:hAnsi="Arial"/>
                <w:sz w:val="20"/>
              </w:rPr>
              <w:t>0.00</w:t>
            </w:r>
          </w:p>
        </w:tc>
      </w:tr>
    </w:tbl>
    <w:p w:rsidR="00A113DC" w:rsidRPr="00ED1F31" w:rsidRDefault="00A113DC">
      <w:pPr>
        <w:spacing w:before="11"/>
        <w:rPr>
          <w:rFonts w:eastAsia="Calibri" w:cs="Calibri"/>
          <w:sz w:val="19"/>
          <w:szCs w:val="19"/>
        </w:rPr>
      </w:pPr>
    </w:p>
    <w:p w:rsidR="00A113DC" w:rsidRPr="00ED1F31" w:rsidRDefault="00F46E39" w:rsidP="00E026B7">
      <w:r w:rsidRPr="00ED1F31">
        <w:t>Since the first annual report was drawn up in 2009, there have been no accidents involving the carriage of dangerous goods.</w:t>
      </w:r>
    </w:p>
    <w:p w:rsidR="00A113DC" w:rsidRPr="00ED1F31" w:rsidRDefault="00A113DC">
      <w:pPr>
        <w:spacing w:before="2"/>
        <w:rPr>
          <w:rFonts w:eastAsia="Calibri" w:cs="Calibri"/>
          <w:szCs w:val="24"/>
        </w:rPr>
      </w:pPr>
    </w:p>
    <w:p w:rsidR="00A113DC" w:rsidRPr="00ED1F31" w:rsidRDefault="00F46E39" w:rsidP="00B135A8">
      <w:pPr>
        <w:pStyle w:val="Heading2-1"/>
      </w:pPr>
      <w:r w:rsidRPr="00ED1F31">
        <w:t>Indicators relating to suicides and suicide attempts</w:t>
      </w:r>
    </w:p>
    <w:p w:rsidR="00A113DC" w:rsidRPr="00ED1F31" w:rsidRDefault="00A113DC">
      <w:pPr>
        <w:spacing w:before="1"/>
        <w:rPr>
          <w:rFonts w:eastAsia="Calibri" w:cs="Calibri"/>
          <w:sz w:val="16"/>
          <w:szCs w:val="16"/>
        </w:rPr>
      </w:pPr>
    </w:p>
    <w:p w:rsidR="00A113DC" w:rsidRPr="00ED1F31" w:rsidRDefault="00F46E39" w:rsidP="00E026B7">
      <w:r w:rsidRPr="00ED1F31">
        <w:t xml:space="preserve">Total and relative </w:t>
      </w:r>
      <w:r w:rsidRPr="00ED1F31">
        <w:t>number of suicides and suicide attempts per million train-kilometres (million train-km)</w:t>
      </w:r>
    </w:p>
    <w:p w:rsidR="00A113DC" w:rsidRPr="00ED1F31" w:rsidRDefault="00A113DC" w:rsidP="003D636C">
      <w:pPr>
        <w:spacing w:before="1"/>
        <w:ind w:left="120"/>
        <w:rPr>
          <w:rFonts w:eastAsia="Calibri" w:cs="Calibri"/>
          <w:sz w:val="20"/>
          <w:szCs w:val="20"/>
        </w:rPr>
      </w:pPr>
    </w:p>
    <w:tbl>
      <w:tblPr>
        <w:tblW w:w="9139" w:type="dxa"/>
        <w:tblInd w:w="131" w:type="dxa"/>
        <w:tblLayout w:type="fixed"/>
        <w:tblCellMar>
          <w:left w:w="0" w:type="dxa"/>
          <w:right w:w="0" w:type="dxa"/>
        </w:tblCellMar>
        <w:tblLook w:val="01E0" w:firstRow="1" w:lastRow="1" w:firstColumn="1" w:lastColumn="1" w:noHBand="0" w:noVBand="0"/>
      </w:tblPr>
      <w:tblGrid>
        <w:gridCol w:w="6163"/>
        <w:gridCol w:w="1418"/>
        <w:gridCol w:w="1558"/>
      </w:tblGrid>
      <w:tr w:rsidR="00BD7B71" w:rsidTr="00043FEB">
        <w:trPr>
          <w:trHeight w:hRule="exact" w:val="533"/>
        </w:trPr>
        <w:tc>
          <w:tcPr>
            <w:tcW w:w="616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20"/>
              <w:rPr>
                <w:rFonts w:ascii="Arial" w:eastAsia="Arial" w:hAnsi="Arial" w:cs="Arial"/>
                <w:sz w:val="20"/>
                <w:szCs w:val="20"/>
              </w:rPr>
            </w:pPr>
            <w:r w:rsidRPr="00ED1F31">
              <w:rPr>
                <w:rFonts w:ascii="Arial" w:hAnsi="Arial"/>
                <w:sz w:val="20"/>
              </w:rPr>
              <w:t>Suicides in 2016</w:t>
            </w:r>
          </w:p>
        </w:tc>
        <w:tc>
          <w:tcPr>
            <w:tcW w:w="1418"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20" w:right="196"/>
              <w:jc w:val="right"/>
              <w:rPr>
                <w:rFonts w:ascii="Arial" w:eastAsia="Arial" w:hAnsi="Arial" w:cs="Arial"/>
                <w:sz w:val="20"/>
                <w:szCs w:val="20"/>
              </w:rPr>
            </w:pPr>
            <w:r w:rsidRPr="00ED1F31">
              <w:rPr>
                <w:rFonts w:ascii="Arial" w:hAnsi="Arial"/>
                <w:sz w:val="20"/>
              </w:rPr>
              <w:t>Number</w:t>
            </w:r>
          </w:p>
        </w:tc>
        <w:tc>
          <w:tcPr>
            <w:tcW w:w="1558"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20" w:right="136"/>
              <w:rPr>
                <w:rFonts w:ascii="Arial" w:eastAsia="Arial" w:hAnsi="Arial" w:cs="Arial"/>
                <w:sz w:val="20"/>
                <w:szCs w:val="20"/>
              </w:rPr>
            </w:pPr>
            <w:r w:rsidRPr="00ED1F31">
              <w:rPr>
                <w:rFonts w:ascii="Arial" w:hAnsi="Arial"/>
                <w:sz w:val="20"/>
              </w:rPr>
              <w:t>Number per million train-km</w:t>
            </w:r>
          </w:p>
        </w:tc>
      </w:tr>
      <w:tr w:rsidR="00BD7B71" w:rsidTr="00043FEB">
        <w:trPr>
          <w:trHeight w:hRule="exact" w:val="266"/>
        </w:trPr>
        <w:tc>
          <w:tcPr>
            <w:tcW w:w="6163" w:type="dxa"/>
            <w:tcBorders>
              <w:top w:val="single" w:sz="4" w:space="0" w:color="000000"/>
              <w:left w:val="single" w:sz="4" w:space="0" w:color="000000"/>
              <w:bottom w:val="single" w:sz="4" w:space="0" w:color="000000"/>
              <w:right w:val="single" w:sz="4" w:space="0" w:color="000000"/>
            </w:tcBorders>
            <w:shd w:val="clear" w:color="auto" w:fill="990000"/>
            <w:vAlign w:val="center"/>
          </w:tcPr>
          <w:p w:rsidR="00A113DC" w:rsidRPr="00ED1F31" w:rsidRDefault="00F46E39" w:rsidP="00043FEB">
            <w:pPr>
              <w:pStyle w:val="TableParagraph"/>
              <w:ind w:left="120"/>
              <w:rPr>
                <w:rFonts w:ascii="Arial" w:eastAsia="Arial" w:hAnsi="Arial" w:cs="Arial"/>
                <w:sz w:val="20"/>
                <w:szCs w:val="20"/>
              </w:rPr>
            </w:pPr>
            <w:r w:rsidRPr="00ED1F31">
              <w:rPr>
                <w:rFonts w:ascii="Arial" w:hAnsi="Arial"/>
                <w:color w:val="FFFFFF"/>
                <w:sz w:val="20"/>
              </w:rPr>
              <w:t>Total</w:t>
            </w:r>
          </w:p>
        </w:tc>
        <w:tc>
          <w:tcPr>
            <w:tcW w:w="1418" w:type="dxa"/>
            <w:tcBorders>
              <w:top w:val="single" w:sz="4" w:space="0" w:color="000000"/>
              <w:left w:val="single" w:sz="4" w:space="0" w:color="000000"/>
              <w:bottom w:val="single" w:sz="4" w:space="0" w:color="000000"/>
              <w:right w:val="single" w:sz="4" w:space="0" w:color="000000"/>
            </w:tcBorders>
            <w:shd w:val="clear" w:color="auto" w:fill="990000"/>
            <w:vAlign w:val="center"/>
          </w:tcPr>
          <w:p w:rsidR="00A113DC" w:rsidRPr="00ED1F31" w:rsidRDefault="00F46E39" w:rsidP="00043FEB">
            <w:pPr>
              <w:pStyle w:val="TableParagraph"/>
              <w:ind w:left="120" w:right="132"/>
              <w:jc w:val="right"/>
              <w:rPr>
                <w:rFonts w:ascii="Arial" w:eastAsia="Arial" w:hAnsi="Arial" w:cs="Arial"/>
                <w:sz w:val="20"/>
                <w:szCs w:val="20"/>
              </w:rPr>
            </w:pPr>
            <w:r w:rsidRPr="00ED1F31">
              <w:rPr>
                <w:rFonts w:ascii="Arial" w:hAnsi="Arial"/>
                <w:color w:val="FFFFFF"/>
                <w:sz w:val="20"/>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990000"/>
            <w:vAlign w:val="center"/>
          </w:tcPr>
          <w:p w:rsidR="00A113DC" w:rsidRPr="00ED1F31" w:rsidRDefault="00F46E39" w:rsidP="00043FEB">
            <w:pPr>
              <w:pStyle w:val="TableParagraph"/>
              <w:ind w:left="120" w:right="65"/>
              <w:jc w:val="right"/>
              <w:rPr>
                <w:rFonts w:ascii="Arial" w:eastAsia="Arial" w:hAnsi="Arial" w:cs="Arial"/>
                <w:sz w:val="20"/>
                <w:szCs w:val="20"/>
              </w:rPr>
            </w:pPr>
            <w:r w:rsidRPr="00ED1F31">
              <w:rPr>
                <w:rFonts w:ascii="Arial" w:hAnsi="Arial"/>
                <w:color w:val="FFFFFF"/>
                <w:sz w:val="20"/>
              </w:rPr>
              <w:t>0.33</w:t>
            </w:r>
          </w:p>
        </w:tc>
      </w:tr>
    </w:tbl>
    <w:p w:rsidR="00A113DC" w:rsidRPr="00ED1F31" w:rsidRDefault="00A113DC" w:rsidP="003D636C">
      <w:pPr>
        <w:spacing w:before="12"/>
        <w:ind w:left="120"/>
        <w:rPr>
          <w:rFonts w:eastAsia="Calibri" w:cs="Calibri"/>
          <w:sz w:val="23"/>
          <w:szCs w:val="23"/>
        </w:rPr>
      </w:pPr>
    </w:p>
    <w:tbl>
      <w:tblPr>
        <w:tblW w:w="9139" w:type="dxa"/>
        <w:tblInd w:w="131" w:type="dxa"/>
        <w:tblLayout w:type="fixed"/>
        <w:tblCellMar>
          <w:left w:w="0" w:type="dxa"/>
          <w:right w:w="0" w:type="dxa"/>
        </w:tblCellMar>
        <w:tblLook w:val="01E0" w:firstRow="1" w:lastRow="1" w:firstColumn="1" w:lastColumn="1" w:noHBand="0" w:noVBand="0"/>
      </w:tblPr>
      <w:tblGrid>
        <w:gridCol w:w="6163"/>
        <w:gridCol w:w="1418"/>
        <w:gridCol w:w="1558"/>
      </w:tblGrid>
      <w:tr w:rsidR="00BD7B71" w:rsidTr="00043FEB">
        <w:trPr>
          <w:trHeight w:hRule="exact" w:val="533"/>
        </w:trPr>
        <w:tc>
          <w:tcPr>
            <w:tcW w:w="616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20"/>
              <w:rPr>
                <w:rFonts w:ascii="Arial" w:eastAsia="Arial" w:hAnsi="Arial" w:cs="Arial"/>
                <w:sz w:val="20"/>
                <w:szCs w:val="20"/>
              </w:rPr>
            </w:pPr>
            <w:r w:rsidRPr="00ED1F31">
              <w:rPr>
                <w:rFonts w:ascii="Arial" w:hAnsi="Arial"/>
                <w:sz w:val="20"/>
              </w:rPr>
              <w:t>Suicide attempts in 2016</w:t>
            </w:r>
          </w:p>
        </w:tc>
        <w:tc>
          <w:tcPr>
            <w:tcW w:w="1418"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20" w:right="196"/>
              <w:jc w:val="right"/>
              <w:rPr>
                <w:rFonts w:ascii="Arial" w:eastAsia="Arial" w:hAnsi="Arial" w:cs="Arial"/>
                <w:sz w:val="20"/>
                <w:szCs w:val="20"/>
              </w:rPr>
            </w:pPr>
            <w:r w:rsidRPr="00ED1F31">
              <w:rPr>
                <w:rFonts w:ascii="Arial" w:hAnsi="Arial"/>
                <w:sz w:val="20"/>
              </w:rPr>
              <w:t>Number</w:t>
            </w:r>
          </w:p>
        </w:tc>
        <w:tc>
          <w:tcPr>
            <w:tcW w:w="1558"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20" w:right="136"/>
              <w:rPr>
                <w:rFonts w:ascii="Arial" w:eastAsia="Arial" w:hAnsi="Arial" w:cs="Arial"/>
                <w:sz w:val="20"/>
                <w:szCs w:val="20"/>
              </w:rPr>
            </w:pPr>
            <w:r w:rsidRPr="00ED1F31">
              <w:rPr>
                <w:rFonts w:ascii="Arial" w:hAnsi="Arial"/>
                <w:sz w:val="20"/>
              </w:rPr>
              <w:t>Number per million train-km</w:t>
            </w:r>
          </w:p>
        </w:tc>
      </w:tr>
      <w:tr w:rsidR="00BD7B71" w:rsidTr="00043FEB">
        <w:trPr>
          <w:trHeight w:hRule="exact" w:val="266"/>
        </w:trPr>
        <w:tc>
          <w:tcPr>
            <w:tcW w:w="6163"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A113DC" w:rsidRPr="00ED1F31" w:rsidRDefault="00F46E39" w:rsidP="00043FEB">
            <w:pPr>
              <w:pStyle w:val="TableParagraph"/>
              <w:ind w:left="175"/>
              <w:rPr>
                <w:rFonts w:ascii="Arial" w:eastAsia="Arial" w:hAnsi="Arial" w:cs="Arial"/>
                <w:sz w:val="20"/>
                <w:szCs w:val="20"/>
              </w:rPr>
            </w:pPr>
            <w:r w:rsidRPr="00ED1F31">
              <w:rPr>
                <w:rFonts w:ascii="Arial" w:hAnsi="Arial"/>
                <w:sz w:val="20"/>
              </w:rPr>
              <w:t>Total</w:t>
            </w:r>
          </w:p>
        </w:tc>
        <w:tc>
          <w:tcPr>
            <w:tcW w:w="1418"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A113DC" w:rsidRPr="00ED1F31" w:rsidRDefault="00F46E39" w:rsidP="00043FEB">
            <w:pPr>
              <w:pStyle w:val="TableParagraph"/>
              <w:ind w:right="136"/>
              <w:jc w:val="right"/>
              <w:rPr>
                <w:rFonts w:ascii="Arial" w:eastAsia="Arial" w:hAnsi="Arial" w:cs="Arial"/>
                <w:sz w:val="20"/>
                <w:szCs w:val="20"/>
              </w:rPr>
            </w:pPr>
            <w:r w:rsidRPr="00ED1F31">
              <w:rPr>
                <w:rFonts w:ascii="Arial" w:hAnsi="Arial"/>
                <w:sz w:val="20"/>
              </w:rPr>
              <w:t>1</w:t>
            </w:r>
          </w:p>
        </w:tc>
        <w:tc>
          <w:tcPr>
            <w:tcW w:w="1558"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0.11</w:t>
            </w:r>
          </w:p>
        </w:tc>
      </w:tr>
    </w:tbl>
    <w:p w:rsidR="003D636C" w:rsidRPr="00ED1F31" w:rsidRDefault="00F46E39" w:rsidP="00C62C14">
      <w:pPr>
        <w:spacing w:before="400"/>
        <w:ind w:left="90"/>
        <w:rPr>
          <w:rFonts w:eastAsia="Calibri" w:cs="Calibri"/>
          <w:sz w:val="20"/>
          <w:szCs w:val="20"/>
        </w:rPr>
      </w:pPr>
      <w:r w:rsidRPr="00ED1F31">
        <w:rPr>
          <w:rFonts w:eastAsia="Calibri" w:cs="Calibri"/>
          <w:noProof/>
          <w:sz w:val="20"/>
          <w:szCs w:val="20"/>
          <w:lang w:val="en-US" w:eastAsia="zh-CN" w:bidi="ar-SA"/>
        </w:rPr>
        <w:drawing>
          <wp:inline distT="0" distB="0" distL="0" distR="0">
            <wp:extent cx="2862580" cy="189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05434"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62580" cy="1892300"/>
                    </a:xfrm>
                    <a:prstGeom prst="rect">
                      <a:avLst/>
                    </a:prstGeom>
                    <a:noFill/>
                    <a:ln>
                      <a:noFill/>
                    </a:ln>
                  </pic:spPr>
                </pic:pic>
              </a:graphicData>
            </a:graphic>
          </wp:inline>
        </w:drawing>
      </w:r>
    </w:p>
    <w:p w:rsidR="003D636C" w:rsidRPr="00ED1F31" w:rsidRDefault="003D636C">
      <w:pPr>
        <w:ind w:left="221"/>
        <w:rPr>
          <w:rFonts w:eastAsia="Calibri" w:cs="Calibri"/>
          <w:sz w:val="20"/>
          <w:szCs w:val="20"/>
        </w:rPr>
      </w:pPr>
    </w:p>
    <w:tbl>
      <w:tblPr>
        <w:tblStyle w:val="TableGrid"/>
        <w:tblW w:w="9241" w:type="dxa"/>
        <w:tblInd w:w="221" w:type="dxa"/>
        <w:tblLook w:val="04A0" w:firstRow="1" w:lastRow="0" w:firstColumn="1" w:lastColumn="0" w:noHBand="0" w:noVBand="1"/>
      </w:tblPr>
      <w:tblGrid>
        <w:gridCol w:w="4638"/>
        <w:gridCol w:w="4603"/>
      </w:tblGrid>
      <w:tr w:rsidR="00BD7B71" w:rsidTr="003D636C">
        <w:tc>
          <w:tcPr>
            <w:tcW w:w="4638" w:type="dxa"/>
          </w:tcPr>
          <w:p w:rsidR="003D636C" w:rsidRPr="00587420" w:rsidRDefault="00F46E39" w:rsidP="003D636C">
            <w:pPr>
              <w:rPr>
                <w:lang w:val="fr-BE"/>
              </w:rPr>
            </w:pPr>
            <w:r w:rsidRPr="00587420">
              <w:rPr>
                <w:lang w:val="fr-BE"/>
              </w:rPr>
              <w:t>Nombre relatif</w:t>
            </w:r>
            <w:r w:rsidRPr="00587420">
              <w:rPr>
                <w:lang w:val="fr-BE"/>
              </w:rPr>
              <w:t xml:space="preserve"> de suicide et tentatives de suicides/(Mio km-train)</w:t>
            </w:r>
          </w:p>
        </w:tc>
        <w:tc>
          <w:tcPr>
            <w:tcW w:w="4603" w:type="dxa"/>
          </w:tcPr>
          <w:p w:rsidR="003D636C" w:rsidRPr="00ED1F31" w:rsidRDefault="00F46E39" w:rsidP="003D636C">
            <w:r w:rsidRPr="00ED1F31">
              <w:t>Relative number of suicides and suicide attempts/(million train-km)</w:t>
            </w:r>
          </w:p>
        </w:tc>
      </w:tr>
      <w:tr w:rsidR="00BD7B71" w:rsidTr="003D636C">
        <w:tc>
          <w:tcPr>
            <w:tcW w:w="4638" w:type="dxa"/>
          </w:tcPr>
          <w:p w:rsidR="003D636C" w:rsidRPr="00ED1F31" w:rsidRDefault="00F46E39" w:rsidP="003D636C">
            <w:r w:rsidRPr="00ED1F31">
              <w:t>Suicides</w:t>
            </w:r>
          </w:p>
        </w:tc>
        <w:tc>
          <w:tcPr>
            <w:tcW w:w="4603" w:type="dxa"/>
          </w:tcPr>
          <w:p w:rsidR="003D636C" w:rsidRPr="00ED1F31" w:rsidRDefault="00F46E39" w:rsidP="003D636C">
            <w:r w:rsidRPr="00ED1F31">
              <w:t>Suicides</w:t>
            </w:r>
          </w:p>
        </w:tc>
      </w:tr>
      <w:tr w:rsidR="00BD7B71" w:rsidTr="003D636C">
        <w:tc>
          <w:tcPr>
            <w:tcW w:w="4638" w:type="dxa"/>
          </w:tcPr>
          <w:p w:rsidR="003D636C" w:rsidRPr="00ED1F31" w:rsidRDefault="00F46E39" w:rsidP="003D636C">
            <w:r w:rsidRPr="00ED1F31">
              <w:t>Tentives</w:t>
            </w:r>
          </w:p>
        </w:tc>
        <w:tc>
          <w:tcPr>
            <w:tcW w:w="4603" w:type="dxa"/>
          </w:tcPr>
          <w:p w:rsidR="003D636C" w:rsidRPr="00ED1F31" w:rsidRDefault="00F46E39" w:rsidP="003D636C">
            <w:r w:rsidRPr="00ED1F31">
              <w:t>Attempts</w:t>
            </w:r>
          </w:p>
        </w:tc>
      </w:tr>
    </w:tbl>
    <w:p w:rsidR="003D636C" w:rsidRPr="00ED1F31" w:rsidRDefault="003D636C">
      <w:pPr>
        <w:ind w:left="221"/>
        <w:rPr>
          <w:rFonts w:eastAsia="Calibri" w:cs="Calibri"/>
          <w:sz w:val="20"/>
          <w:szCs w:val="20"/>
        </w:rPr>
      </w:pPr>
    </w:p>
    <w:p w:rsidR="00A113DC" w:rsidRPr="00ED1F31" w:rsidRDefault="00F46E39" w:rsidP="005729A3">
      <w:pPr>
        <w:pStyle w:val="Heading2-1"/>
        <w:pageBreakBefore/>
        <w:spacing w:before="0"/>
      </w:pPr>
      <w:r w:rsidRPr="00ED1F31">
        <w:t>Indicators relating to precursors to accidents</w:t>
      </w:r>
    </w:p>
    <w:p w:rsidR="00A113DC" w:rsidRPr="00ED1F31" w:rsidRDefault="00A113DC">
      <w:pPr>
        <w:spacing w:before="1"/>
        <w:rPr>
          <w:rFonts w:eastAsia="Calibri" w:cs="Calibri"/>
          <w:sz w:val="16"/>
          <w:szCs w:val="16"/>
        </w:rPr>
      </w:pPr>
    </w:p>
    <w:p w:rsidR="00A113DC" w:rsidRPr="00ED1F31" w:rsidRDefault="00F46E39" w:rsidP="00E026B7">
      <w:r w:rsidRPr="00ED1F31">
        <w:t xml:space="preserve">Total and relative number per million </w:t>
      </w:r>
      <w:r w:rsidRPr="00ED1F31">
        <w:t>train-kilometres (million train-km) by type of precursor</w:t>
      </w:r>
    </w:p>
    <w:p w:rsidR="00A113DC" w:rsidRPr="00ED1F31" w:rsidRDefault="00A113DC">
      <w:pPr>
        <w:spacing w:before="4"/>
        <w:rPr>
          <w:rFonts w:eastAsia="Calibri" w:cs="Calibri"/>
          <w:sz w:val="16"/>
          <w:szCs w:val="16"/>
        </w:rPr>
      </w:pPr>
    </w:p>
    <w:tbl>
      <w:tblPr>
        <w:tblW w:w="0" w:type="auto"/>
        <w:tblInd w:w="227" w:type="dxa"/>
        <w:tblLayout w:type="fixed"/>
        <w:tblCellMar>
          <w:left w:w="0" w:type="dxa"/>
          <w:right w:w="0" w:type="dxa"/>
        </w:tblCellMar>
        <w:tblLook w:val="01E0" w:firstRow="1" w:lastRow="1" w:firstColumn="1" w:lastColumn="1" w:noHBand="0" w:noVBand="0"/>
      </w:tblPr>
      <w:tblGrid>
        <w:gridCol w:w="6622"/>
        <w:gridCol w:w="1063"/>
        <w:gridCol w:w="1558"/>
      </w:tblGrid>
      <w:tr w:rsidR="00BD7B71" w:rsidTr="00043FEB">
        <w:trPr>
          <w:trHeight w:hRule="exact" w:val="521"/>
        </w:trPr>
        <w:tc>
          <w:tcPr>
            <w:tcW w:w="6622"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Standard precursors</w:t>
            </w:r>
          </w:p>
        </w:tc>
        <w:tc>
          <w:tcPr>
            <w:tcW w:w="106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w:t>
            </w:r>
          </w:p>
        </w:tc>
        <w:tc>
          <w:tcPr>
            <w:tcW w:w="1558"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268" w:right="244" w:hanging="22"/>
              <w:rPr>
                <w:rFonts w:ascii="Arial" w:eastAsia="Arial" w:hAnsi="Arial" w:cs="Arial"/>
                <w:sz w:val="20"/>
                <w:szCs w:val="20"/>
              </w:rPr>
            </w:pPr>
            <w:r w:rsidRPr="00ED1F31">
              <w:rPr>
                <w:rFonts w:ascii="Arial" w:hAnsi="Arial"/>
                <w:sz w:val="20"/>
              </w:rPr>
              <w:t>Number per million train-km</w:t>
            </w:r>
          </w:p>
        </w:tc>
      </w:tr>
      <w:tr w:rsidR="00BD7B71" w:rsidTr="00043FEB">
        <w:trPr>
          <w:trHeight w:hRule="exact" w:val="264"/>
        </w:trPr>
        <w:tc>
          <w:tcPr>
            <w:tcW w:w="662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Broken rails</w:t>
            </w:r>
          </w:p>
        </w:tc>
        <w:tc>
          <w:tcPr>
            <w:tcW w:w="106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1"/>
              <w:jc w:val="right"/>
              <w:rPr>
                <w:rFonts w:ascii="Arial" w:eastAsia="Arial" w:hAnsi="Arial" w:cs="Arial"/>
                <w:sz w:val="20"/>
                <w:szCs w:val="20"/>
              </w:rPr>
            </w:pPr>
            <w:r w:rsidRPr="00ED1F31">
              <w:rPr>
                <w:rFonts w:ascii="Arial" w:hAnsi="Arial"/>
                <w:sz w:val="20"/>
              </w:rPr>
              <w:t>0.11</w:t>
            </w:r>
          </w:p>
        </w:tc>
      </w:tr>
      <w:tr w:rsidR="00BD7B71" w:rsidTr="00043FEB">
        <w:trPr>
          <w:trHeight w:hRule="exact" w:val="266"/>
        </w:trPr>
        <w:tc>
          <w:tcPr>
            <w:tcW w:w="662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Track buckling</w:t>
            </w:r>
          </w:p>
        </w:tc>
        <w:tc>
          <w:tcPr>
            <w:tcW w:w="106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1"/>
              <w:jc w:val="right"/>
              <w:rPr>
                <w:rFonts w:ascii="Arial" w:eastAsia="Arial" w:hAnsi="Arial" w:cs="Arial"/>
                <w:sz w:val="20"/>
                <w:szCs w:val="20"/>
              </w:rPr>
            </w:pPr>
            <w:r w:rsidRPr="00ED1F31">
              <w:rPr>
                <w:rFonts w:ascii="Arial" w:hAnsi="Arial"/>
                <w:sz w:val="20"/>
              </w:rPr>
              <w:t>0.11</w:t>
            </w:r>
          </w:p>
        </w:tc>
      </w:tr>
      <w:tr w:rsidR="00BD7B71" w:rsidTr="00043FEB">
        <w:trPr>
          <w:trHeight w:hRule="exact" w:val="264"/>
        </w:trPr>
        <w:tc>
          <w:tcPr>
            <w:tcW w:w="662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Wrong-side signalling failures</w:t>
            </w:r>
          </w:p>
        </w:tc>
        <w:tc>
          <w:tcPr>
            <w:tcW w:w="106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98"/>
              <w:jc w:val="right"/>
              <w:rPr>
                <w:rFonts w:ascii="Arial" w:eastAsia="Arial" w:hAnsi="Arial" w:cs="Arial"/>
                <w:sz w:val="20"/>
                <w:szCs w:val="20"/>
              </w:rPr>
            </w:pPr>
            <w:r w:rsidRPr="00ED1F31">
              <w:rPr>
                <w:rFonts w:ascii="Arial" w:hAnsi="Arial"/>
                <w:sz w:val="20"/>
              </w:rPr>
              <w:t>0</w:t>
            </w:r>
          </w:p>
        </w:tc>
      </w:tr>
      <w:tr w:rsidR="00BD7B71" w:rsidTr="00043FEB">
        <w:trPr>
          <w:trHeight w:hRule="exact" w:val="266"/>
        </w:trPr>
        <w:tc>
          <w:tcPr>
            <w:tcW w:w="662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Signals passed at danger without authority (trains)</w:t>
            </w:r>
          </w:p>
        </w:tc>
        <w:tc>
          <w:tcPr>
            <w:tcW w:w="106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2</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1"/>
              <w:jc w:val="right"/>
              <w:rPr>
                <w:rFonts w:ascii="Arial" w:eastAsia="Arial" w:hAnsi="Arial" w:cs="Arial"/>
                <w:sz w:val="20"/>
                <w:szCs w:val="20"/>
              </w:rPr>
            </w:pPr>
            <w:r w:rsidRPr="00ED1F31">
              <w:rPr>
                <w:rFonts w:ascii="Arial" w:hAnsi="Arial"/>
                <w:sz w:val="20"/>
              </w:rPr>
              <w:t>0.22</w:t>
            </w:r>
          </w:p>
        </w:tc>
      </w:tr>
      <w:tr w:rsidR="00BD7B71" w:rsidTr="00043FEB">
        <w:trPr>
          <w:trHeight w:hRule="exact" w:val="264"/>
        </w:trPr>
        <w:tc>
          <w:tcPr>
            <w:tcW w:w="662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Broken wheels and axles on rolling stock in service</w:t>
            </w:r>
          </w:p>
        </w:tc>
        <w:tc>
          <w:tcPr>
            <w:tcW w:w="106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1"/>
              <w:jc w:val="right"/>
              <w:rPr>
                <w:rFonts w:ascii="Arial" w:eastAsia="Arial" w:hAnsi="Arial" w:cs="Arial"/>
                <w:sz w:val="20"/>
                <w:szCs w:val="20"/>
              </w:rPr>
            </w:pPr>
            <w:r w:rsidRPr="00ED1F31">
              <w:rPr>
                <w:rFonts w:ascii="Arial" w:hAnsi="Arial"/>
                <w:sz w:val="20"/>
              </w:rPr>
              <w:t>0.11</w:t>
            </w:r>
          </w:p>
        </w:tc>
      </w:tr>
      <w:tr w:rsidR="00BD7B71" w:rsidTr="00043FEB">
        <w:trPr>
          <w:trHeight w:hRule="exact" w:val="264"/>
        </w:trPr>
        <w:tc>
          <w:tcPr>
            <w:tcW w:w="6622"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Total</w:t>
            </w:r>
          </w:p>
        </w:tc>
        <w:tc>
          <w:tcPr>
            <w:tcW w:w="1063"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A113DC" w:rsidRPr="00ED1F31" w:rsidRDefault="00F46E39" w:rsidP="00043FEB">
            <w:pPr>
              <w:pStyle w:val="TableParagraph"/>
              <w:ind w:right="101"/>
              <w:jc w:val="right"/>
              <w:rPr>
                <w:rFonts w:ascii="Arial" w:eastAsia="Arial" w:hAnsi="Arial" w:cs="Arial"/>
                <w:sz w:val="20"/>
                <w:szCs w:val="20"/>
              </w:rPr>
            </w:pPr>
            <w:r w:rsidRPr="00ED1F31">
              <w:rPr>
                <w:rFonts w:ascii="Arial" w:hAnsi="Arial"/>
                <w:sz w:val="20"/>
              </w:rPr>
              <w:t>1.38</w:t>
            </w:r>
          </w:p>
        </w:tc>
      </w:tr>
      <w:tr w:rsidR="00BD7B71" w:rsidTr="00043FEB">
        <w:trPr>
          <w:trHeight w:hRule="exact" w:val="266"/>
        </w:trPr>
        <w:tc>
          <w:tcPr>
            <w:tcW w:w="6622"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Signals passed at danger without authority (shunting)*</w:t>
            </w:r>
          </w:p>
        </w:tc>
        <w:tc>
          <w:tcPr>
            <w:tcW w:w="106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8</w:t>
            </w:r>
          </w:p>
        </w:tc>
        <w:tc>
          <w:tcPr>
            <w:tcW w:w="155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1"/>
              <w:jc w:val="right"/>
              <w:rPr>
                <w:rFonts w:ascii="Arial" w:eastAsia="Arial" w:hAnsi="Arial" w:cs="Arial"/>
                <w:sz w:val="20"/>
                <w:szCs w:val="20"/>
              </w:rPr>
            </w:pPr>
            <w:r w:rsidRPr="00ED1F31">
              <w:rPr>
                <w:rFonts w:ascii="Arial" w:hAnsi="Arial"/>
                <w:sz w:val="20"/>
              </w:rPr>
              <w:t>0.92</w:t>
            </w:r>
          </w:p>
        </w:tc>
      </w:tr>
    </w:tbl>
    <w:p w:rsidR="00A113DC" w:rsidRPr="00ED1F31" w:rsidRDefault="00F46E39" w:rsidP="00C62C14">
      <w:pPr>
        <w:spacing w:before="68"/>
        <w:ind w:left="340" w:right="251"/>
        <w:rPr>
          <w:rFonts w:ascii="Arial" w:eastAsia="Arial" w:hAnsi="Arial" w:cs="Arial"/>
          <w:sz w:val="16"/>
          <w:szCs w:val="16"/>
        </w:rPr>
      </w:pPr>
      <w:r w:rsidRPr="00ED1F31">
        <w:rPr>
          <w:rFonts w:ascii="Arial" w:hAnsi="Arial"/>
          <w:sz w:val="16"/>
        </w:rPr>
        <w:t>*Not included in the data sent to ERA or the totals</w:t>
      </w:r>
    </w:p>
    <w:p w:rsidR="00C62C14" w:rsidRPr="00ED1F31" w:rsidRDefault="00F46E39" w:rsidP="00C62C14">
      <w:pPr>
        <w:spacing w:before="400"/>
        <w:ind w:left="180"/>
        <w:rPr>
          <w:rFonts w:ascii="Arial" w:eastAsia="Arial" w:hAnsi="Arial" w:cs="Arial"/>
          <w:sz w:val="20"/>
          <w:szCs w:val="20"/>
        </w:rPr>
      </w:pPr>
      <w:r w:rsidRPr="00ED1F31">
        <w:rPr>
          <w:rFonts w:ascii="Arial" w:eastAsia="Arial" w:hAnsi="Arial" w:cs="Arial"/>
          <w:noProof/>
          <w:sz w:val="20"/>
          <w:szCs w:val="20"/>
          <w:lang w:val="en-US" w:eastAsia="zh-CN" w:bidi="ar-SA"/>
        </w:rPr>
        <w:drawing>
          <wp:inline distT="0" distB="0" distL="0" distR="0">
            <wp:extent cx="5367020" cy="585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35446" name="Picture 10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67020" cy="5852160"/>
                    </a:xfrm>
                    <a:prstGeom prst="rect">
                      <a:avLst/>
                    </a:prstGeom>
                    <a:noFill/>
                    <a:ln>
                      <a:noFill/>
                    </a:ln>
                  </pic:spPr>
                </pic:pic>
              </a:graphicData>
            </a:graphic>
          </wp:inline>
        </w:drawing>
      </w:r>
    </w:p>
    <w:p w:rsidR="00C62C14" w:rsidRPr="00ED1F31" w:rsidRDefault="00C62C14">
      <w:pPr>
        <w:rPr>
          <w:rFonts w:ascii="Arial" w:eastAsia="Arial" w:hAnsi="Arial" w:cs="Arial"/>
          <w:sz w:val="20"/>
          <w:szCs w:val="20"/>
        </w:rPr>
      </w:pPr>
    </w:p>
    <w:tbl>
      <w:tblPr>
        <w:tblStyle w:val="TableGrid"/>
        <w:tblW w:w="9462" w:type="dxa"/>
        <w:tblLook w:val="04A0" w:firstRow="1" w:lastRow="0" w:firstColumn="1" w:lastColumn="0" w:noHBand="0" w:noVBand="1"/>
      </w:tblPr>
      <w:tblGrid>
        <w:gridCol w:w="4731"/>
        <w:gridCol w:w="4731"/>
      </w:tblGrid>
      <w:tr w:rsidR="00BD7B71" w:rsidTr="00C62C14">
        <w:tc>
          <w:tcPr>
            <w:tcW w:w="4731" w:type="dxa"/>
          </w:tcPr>
          <w:p w:rsidR="00C62C14" w:rsidRPr="00587420" w:rsidRDefault="00F46E39" w:rsidP="00C62C14">
            <w:pPr>
              <w:rPr>
                <w:lang w:val="fr-BE"/>
              </w:rPr>
            </w:pPr>
            <w:r w:rsidRPr="00587420">
              <w:rPr>
                <w:lang w:val="fr-BE"/>
              </w:rPr>
              <w:t>Nombre total des précurseurs d'accidents/(Mio km-train)</w:t>
            </w:r>
          </w:p>
        </w:tc>
        <w:tc>
          <w:tcPr>
            <w:tcW w:w="4731" w:type="dxa"/>
          </w:tcPr>
          <w:p w:rsidR="00C62C14" w:rsidRPr="00ED1F31" w:rsidRDefault="00F46E39" w:rsidP="00C62C14">
            <w:r w:rsidRPr="00ED1F31">
              <w:t xml:space="preserve">Total </w:t>
            </w:r>
            <w:r w:rsidRPr="00ED1F31">
              <w:t>number of precursors to accidents/(million train-km)</w:t>
            </w:r>
          </w:p>
        </w:tc>
      </w:tr>
      <w:tr w:rsidR="00BD7B71" w:rsidTr="00C62C14">
        <w:tc>
          <w:tcPr>
            <w:tcW w:w="4731" w:type="dxa"/>
          </w:tcPr>
          <w:p w:rsidR="00C62C14" w:rsidRPr="00587420" w:rsidRDefault="00F46E39" w:rsidP="00C62C14">
            <w:pPr>
              <w:rPr>
                <w:lang w:val="fr-BE"/>
              </w:rPr>
            </w:pPr>
            <w:r w:rsidRPr="00587420">
              <w:rPr>
                <w:lang w:val="fr-BE"/>
              </w:rPr>
              <w:t>Nombre de ruptures de rail/(Mio km-train)</w:t>
            </w:r>
          </w:p>
        </w:tc>
        <w:tc>
          <w:tcPr>
            <w:tcW w:w="4731" w:type="dxa"/>
          </w:tcPr>
          <w:p w:rsidR="00C62C14" w:rsidRPr="00ED1F31" w:rsidRDefault="00F46E39" w:rsidP="00C62C14">
            <w:r w:rsidRPr="00ED1F31">
              <w:t>Number of broken rails/(million train-km)</w:t>
            </w:r>
          </w:p>
        </w:tc>
      </w:tr>
      <w:tr w:rsidR="00BD7B71" w:rsidTr="00C62C14">
        <w:tc>
          <w:tcPr>
            <w:tcW w:w="4731" w:type="dxa"/>
          </w:tcPr>
          <w:p w:rsidR="00C62C14" w:rsidRPr="00587420" w:rsidRDefault="00F46E39" w:rsidP="00C62C14">
            <w:pPr>
              <w:rPr>
                <w:lang w:val="fr-BE"/>
              </w:rPr>
            </w:pPr>
            <w:r w:rsidRPr="00587420">
              <w:rPr>
                <w:lang w:val="fr-BE"/>
              </w:rPr>
              <w:t>Nombre de pannes de signalisation contraires à la sécurité/(Mio km-train)</w:t>
            </w:r>
          </w:p>
        </w:tc>
        <w:tc>
          <w:tcPr>
            <w:tcW w:w="4731" w:type="dxa"/>
          </w:tcPr>
          <w:p w:rsidR="00C62C14" w:rsidRPr="00ED1F31" w:rsidRDefault="00F46E39" w:rsidP="00C62C14">
            <w:r w:rsidRPr="00ED1F31">
              <w:t>Number of wrong-side signalling failures/(m</w:t>
            </w:r>
            <w:r w:rsidRPr="00ED1F31">
              <w:t>illion train-km)</w:t>
            </w:r>
          </w:p>
        </w:tc>
      </w:tr>
      <w:tr w:rsidR="00BD7B71" w:rsidTr="00C62C14">
        <w:tc>
          <w:tcPr>
            <w:tcW w:w="4731" w:type="dxa"/>
          </w:tcPr>
          <w:p w:rsidR="00C62C14" w:rsidRPr="00587420" w:rsidRDefault="00F46E39" w:rsidP="00C62C14">
            <w:pPr>
              <w:rPr>
                <w:lang w:val="fr-BE"/>
              </w:rPr>
            </w:pPr>
            <w:r w:rsidRPr="00587420">
              <w:rPr>
                <w:lang w:val="fr-BE"/>
              </w:rPr>
              <w:t>Nombre de gauchissements de la voie/(Mio km-train)</w:t>
            </w:r>
          </w:p>
        </w:tc>
        <w:tc>
          <w:tcPr>
            <w:tcW w:w="4731" w:type="dxa"/>
          </w:tcPr>
          <w:p w:rsidR="00C62C14" w:rsidRPr="00ED1F31" w:rsidRDefault="00F46E39" w:rsidP="00C62C14">
            <w:r w:rsidRPr="00ED1F31">
              <w:t>Number of track buckles/(million train-km)</w:t>
            </w:r>
          </w:p>
        </w:tc>
      </w:tr>
      <w:tr w:rsidR="00BD7B71" w:rsidTr="00C62C14">
        <w:tc>
          <w:tcPr>
            <w:tcW w:w="4731" w:type="dxa"/>
          </w:tcPr>
          <w:p w:rsidR="00C62C14" w:rsidRPr="00587420" w:rsidRDefault="00F46E39" w:rsidP="00C62C14">
            <w:pPr>
              <w:rPr>
                <w:lang w:val="fr-BE"/>
              </w:rPr>
            </w:pPr>
            <w:r w:rsidRPr="00587420">
              <w:rPr>
                <w:lang w:val="fr-BE"/>
              </w:rPr>
              <w:t>Signaux fermés franchis sans autorisations</w:t>
            </w:r>
          </w:p>
        </w:tc>
        <w:tc>
          <w:tcPr>
            <w:tcW w:w="4731" w:type="dxa"/>
          </w:tcPr>
          <w:p w:rsidR="00C62C14" w:rsidRPr="00ED1F31" w:rsidRDefault="00F46E39" w:rsidP="00C62C14">
            <w:r w:rsidRPr="00ED1F31">
              <w:t>Signals passed at danger without authority</w:t>
            </w:r>
          </w:p>
        </w:tc>
      </w:tr>
      <w:tr w:rsidR="00BD7B71" w:rsidTr="00C62C14">
        <w:tc>
          <w:tcPr>
            <w:tcW w:w="4731" w:type="dxa"/>
          </w:tcPr>
          <w:p w:rsidR="00C62C14" w:rsidRPr="00ED1F31" w:rsidRDefault="00F46E39" w:rsidP="00C62C14">
            <w:r w:rsidRPr="00ED1F31">
              <w:t>Train</w:t>
            </w:r>
          </w:p>
        </w:tc>
        <w:tc>
          <w:tcPr>
            <w:tcW w:w="4731" w:type="dxa"/>
          </w:tcPr>
          <w:p w:rsidR="00C62C14" w:rsidRPr="00ED1F31" w:rsidRDefault="00F46E39" w:rsidP="00C62C14">
            <w:r w:rsidRPr="00ED1F31">
              <w:t>Train</w:t>
            </w:r>
          </w:p>
        </w:tc>
      </w:tr>
      <w:tr w:rsidR="00BD7B71" w:rsidTr="00C62C14">
        <w:tc>
          <w:tcPr>
            <w:tcW w:w="4731" w:type="dxa"/>
          </w:tcPr>
          <w:p w:rsidR="00C62C14" w:rsidRPr="00ED1F31" w:rsidRDefault="00F46E39" w:rsidP="00C62C14">
            <w:r w:rsidRPr="00ED1F31">
              <w:t>Manoeuvre</w:t>
            </w:r>
          </w:p>
        </w:tc>
        <w:tc>
          <w:tcPr>
            <w:tcW w:w="4731" w:type="dxa"/>
          </w:tcPr>
          <w:p w:rsidR="00C62C14" w:rsidRPr="00ED1F31" w:rsidRDefault="00F46E39" w:rsidP="00C62C14">
            <w:r w:rsidRPr="00ED1F31">
              <w:t>Shunting</w:t>
            </w:r>
          </w:p>
        </w:tc>
      </w:tr>
    </w:tbl>
    <w:p w:rsidR="00C62C14" w:rsidRPr="00ED1F31" w:rsidRDefault="00C62C14">
      <w:pPr>
        <w:rPr>
          <w:rFonts w:ascii="Arial" w:eastAsia="Arial" w:hAnsi="Arial" w:cs="Arial"/>
          <w:sz w:val="20"/>
          <w:szCs w:val="20"/>
        </w:rPr>
      </w:pPr>
    </w:p>
    <w:p w:rsidR="00A113DC" w:rsidRPr="00ED1F31" w:rsidRDefault="00F46E39" w:rsidP="005729A3">
      <w:pPr>
        <w:pStyle w:val="Heading2-1"/>
        <w:pageBreakBefore/>
        <w:spacing w:before="0"/>
      </w:pPr>
      <w:r w:rsidRPr="00ED1F31">
        <w:t>Indicators relating to</w:t>
      </w:r>
      <w:r w:rsidRPr="00ED1F31">
        <w:t xml:space="preserve"> the economic impact of accidents</w:t>
      </w:r>
    </w:p>
    <w:p w:rsidR="00A113DC" w:rsidRPr="00ED1F31" w:rsidRDefault="00A113DC">
      <w:pPr>
        <w:spacing w:before="1"/>
        <w:rPr>
          <w:rFonts w:eastAsia="Calibri" w:cs="Calibri"/>
          <w:sz w:val="16"/>
          <w:szCs w:val="16"/>
        </w:rPr>
      </w:pPr>
    </w:p>
    <w:p w:rsidR="00A113DC" w:rsidRPr="00ED1F31" w:rsidRDefault="00F46E39" w:rsidP="00E026B7">
      <w:r w:rsidRPr="00ED1F31">
        <w:t>Total and relative costs per million train-kilometres (million train-km) in euros and by cost type.</w:t>
      </w:r>
    </w:p>
    <w:p w:rsidR="00A113DC" w:rsidRPr="00ED1F31" w:rsidRDefault="00A113DC">
      <w:pPr>
        <w:spacing w:before="12"/>
        <w:rPr>
          <w:rFonts w:eastAsia="Calibri" w:cs="Calibri"/>
          <w:sz w:val="19"/>
          <w:szCs w:val="19"/>
        </w:rPr>
      </w:pPr>
    </w:p>
    <w:tbl>
      <w:tblPr>
        <w:tblW w:w="0" w:type="auto"/>
        <w:tblInd w:w="115" w:type="dxa"/>
        <w:tblLayout w:type="fixed"/>
        <w:tblCellMar>
          <w:left w:w="0" w:type="dxa"/>
          <w:right w:w="0" w:type="dxa"/>
        </w:tblCellMar>
        <w:tblLook w:val="01E0" w:firstRow="1" w:lastRow="1" w:firstColumn="1" w:lastColumn="1" w:noHBand="0" w:noVBand="0"/>
      </w:tblPr>
      <w:tblGrid>
        <w:gridCol w:w="6238"/>
        <w:gridCol w:w="1193"/>
        <w:gridCol w:w="1200"/>
      </w:tblGrid>
      <w:tr w:rsidR="00BD7B71" w:rsidTr="00043FEB">
        <w:trPr>
          <w:trHeight w:hRule="exact" w:val="774"/>
        </w:trPr>
        <w:tc>
          <w:tcPr>
            <w:tcW w:w="6238"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Cost type</w:t>
            </w:r>
          </w:p>
        </w:tc>
        <w:tc>
          <w:tcPr>
            <w:tcW w:w="119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Thousands of €</w:t>
            </w:r>
          </w:p>
        </w:tc>
        <w:tc>
          <w:tcPr>
            <w:tcW w:w="120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12" w:right="99"/>
              <w:jc w:val="center"/>
              <w:rPr>
                <w:rFonts w:ascii="Arial" w:eastAsia="Arial" w:hAnsi="Arial" w:cs="Arial"/>
                <w:sz w:val="20"/>
                <w:szCs w:val="20"/>
              </w:rPr>
            </w:pPr>
            <w:r w:rsidRPr="00ED1F31">
              <w:rPr>
                <w:rFonts w:ascii="Arial" w:hAnsi="Arial"/>
                <w:sz w:val="20"/>
              </w:rPr>
              <w:t>Thousands of € per million train-km</w:t>
            </w:r>
          </w:p>
        </w:tc>
      </w:tr>
      <w:tr w:rsidR="00BD7B71" w:rsidTr="00043FEB">
        <w:trPr>
          <w:trHeight w:hRule="exact" w:val="521"/>
        </w:trPr>
        <w:tc>
          <w:tcPr>
            <w:tcW w:w="623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ight="505"/>
              <w:rPr>
                <w:rFonts w:ascii="Arial" w:eastAsia="Arial" w:hAnsi="Arial" w:cs="Arial"/>
                <w:sz w:val="20"/>
                <w:szCs w:val="20"/>
              </w:rPr>
            </w:pPr>
            <w:r w:rsidRPr="00ED1F31">
              <w:rPr>
                <w:rFonts w:ascii="Arial" w:hAnsi="Arial"/>
                <w:sz w:val="20"/>
              </w:rPr>
              <w:t xml:space="preserve">Number of deaths and serious injuries multiplied by the </w:t>
            </w:r>
            <w:r w:rsidRPr="00ED1F31">
              <w:rPr>
                <w:rFonts w:ascii="Arial" w:hAnsi="Arial"/>
                <w:sz w:val="20"/>
              </w:rPr>
              <w:t>value of preventing a death or serious injury.</w:t>
            </w:r>
          </w:p>
        </w:tc>
        <w:tc>
          <w:tcPr>
            <w:tcW w:w="1193"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0.0</w:t>
            </w:r>
          </w:p>
        </w:tc>
        <w:tc>
          <w:tcPr>
            <w:tcW w:w="1200"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565</w:t>
            </w:r>
          </w:p>
        </w:tc>
      </w:tr>
      <w:tr w:rsidR="00BD7B71" w:rsidTr="00043FEB">
        <w:trPr>
          <w:trHeight w:hRule="exact" w:val="264"/>
        </w:trPr>
        <w:tc>
          <w:tcPr>
            <w:tcW w:w="623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Cost of damage caused to the environment</w:t>
            </w:r>
          </w:p>
        </w:tc>
        <w:tc>
          <w:tcPr>
            <w:tcW w:w="119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0.0</w:t>
            </w:r>
          </w:p>
        </w:tc>
        <w:tc>
          <w:tcPr>
            <w:tcW w:w="120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2"/>
              <w:jc w:val="right"/>
              <w:rPr>
                <w:rFonts w:ascii="Arial" w:eastAsia="Arial" w:hAnsi="Arial" w:cs="Arial"/>
                <w:sz w:val="20"/>
                <w:szCs w:val="20"/>
              </w:rPr>
            </w:pPr>
            <w:r w:rsidRPr="00ED1F31">
              <w:rPr>
                <w:rFonts w:ascii="Arial" w:hAnsi="Arial"/>
                <w:sz w:val="20"/>
              </w:rPr>
              <w:t>0</w:t>
            </w:r>
          </w:p>
        </w:tc>
      </w:tr>
      <w:tr w:rsidR="00BD7B71" w:rsidTr="00043FEB">
        <w:trPr>
          <w:trHeight w:hRule="exact" w:val="521"/>
        </w:trPr>
        <w:tc>
          <w:tcPr>
            <w:tcW w:w="623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ight="505"/>
              <w:rPr>
                <w:rFonts w:ascii="Arial" w:eastAsia="Arial" w:hAnsi="Arial" w:cs="Arial"/>
                <w:sz w:val="20"/>
                <w:szCs w:val="20"/>
              </w:rPr>
            </w:pPr>
            <w:r w:rsidRPr="00ED1F31">
              <w:rPr>
                <w:rFonts w:ascii="Arial" w:hAnsi="Arial"/>
                <w:sz w:val="20"/>
              </w:rPr>
              <w:t>Cost of damage caused to rolling stock or infrastructure</w:t>
            </w:r>
          </w:p>
        </w:tc>
        <w:tc>
          <w:tcPr>
            <w:tcW w:w="1193"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0.0</w:t>
            </w:r>
          </w:p>
        </w:tc>
        <w:tc>
          <w:tcPr>
            <w:tcW w:w="1200"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877</w:t>
            </w:r>
          </w:p>
        </w:tc>
      </w:tr>
      <w:tr w:rsidR="00BD7B71" w:rsidTr="00043FEB">
        <w:trPr>
          <w:trHeight w:hRule="exact" w:val="266"/>
        </w:trPr>
        <w:tc>
          <w:tcPr>
            <w:tcW w:w="623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Signals passed at danger without authority</w:t>
            </w:r>
          </w:p>
        </w:tc>
        <w:tc>
          <w:tcPr>
            <w:tcW w:w="119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0.0</w:t>
            </w:r>
          </w:p>
        </w:tc>
        <w:tc>
          <w:tcPr>
            <w:tcW w:w="120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2"/>
              <w:jc w:val="right"/>
              <w:rPr>
                <w:rFonts w:ascii="Arial" w:eastAsia="Arial" w:hAnsi="Arial" w:cs="Arial"/>
                <w:sz w:val="20"/>
                <w:szCs w:val="20"/>
              </w:rPr>
            </w:pPr>
            <w:r w:rsidRPr="00ED1F31">
              <w:rPr>
                <w:rFonts w:ascii="Arial" w:hAnsi="Arial"/>
                <w:sz w:val="20"/>
              </w:rPr>
              <w:t>0</w:t>
            </w:r>
          </w:p>
        </w:tc>
      </w:tr>
      <w:tr w:rsidR="00BD7B71" w:rsidTr="00043FEB">
        <w:trPr>
          <w:trHeight w:hRule="exact" w:val="264"/>
        </w:trPr>
        <w:tc>
          <w:tcPr>
            <w:tcW w:w="6238"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Cost of delays following an accident</w:t>
            </w:r>
          </w:p>
        </w:tc>
        <w:tc>
          <w:tcPr>
            <w:tcW w:w="119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0.0</w:t>
            </w:r>
          </w:p>
        </w:tc>
        <w:tc>
          <w:tcPr>
            <w:tcW w:w="120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398</w:t>
            </w:r>
          </w:p>
        </w:tc>
      </w:tr>
      <w:tr w:rsidR="00BD7B71" w:rsidTr="00043FEB">
        <w:trPr>
          <w:trHeight w:hRule="exact" w:val="265"/>
        </w:trPr>
        <w:tc>
          <w:tcPr>
            <w:tcW w:w="6238"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Total</w:t>
            </w:r>
          </w:p>
        </w:tc>
        <w:tc>
          <w:tcPr>
            <w:tcW w:w="1193"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1841</w:t>
            </w:r>
          </w:p>
        </w:tc>
      </w:tr>
    </w:tbl>
    <w:p w:rsidR="00C62C14" w:rsidRPr="00ED1F31" w:rsidRDefault="00F46E39" w:rsidP="00205240">
      <w:pPr>
        <w:spacing w:before="400"/>
        <w:ind w:left="90"/>
        <w:rPr>
          <w:rFonts w:eastAsia="Calibri" w:cs="Calibri"/>
          <w:sz w:val="21"/>
          <w:szCs w:val="21"/>
        </w:rPr>
      </w:pPr>
      <w:r w:rsidRPr="00ED1F31">
        <w:rPr>
          <w:rFonts w:eastAsia="Calibri" w:cs="Calibri"/>
          <w:noProof/>
          <w:sz w:val="21"/>
          <w:szCs w:val="21"/>
          <w:lang w:val="en-US" w:eastAsia="zh-CN" w:bidi="ar-SA"/>
        </w:rPr>
        <w:drawing>
          <wp:inline distT="0" distB="0" distL="0" distR="0">
            <wp:extent cx="5446395" cy="3903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96390" name="Picture 10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46395" cy="3903980"/>
                    </a:xfrm>
                    <a:prstGeom prst="rect">
                      <a:avLst/>
                    </a:prstGeom>
                    <a:noFill/>
                    <a:ln>
                      <a:noFill/>
                    </a:ln>
                  </pic:spPr>
                </pic:pic>
              </a:graphicData>
            </a:graphic>
          </wp:inline>
        </w:drawing>
      </w:r>
    </w:p>
    <w:tbl>
      <w:tblPr>
        <w:tblStyle w:val="TableGrid"/>
        <w:tblW w:w="9462" w:type="dxa"/>
        <w:tblLook w:val="04A0" w:firstRow="1" w:lastRow="0" w:firstColumn="1" w:lastColumn="0" w:noHBand="0" w:noVBand="1"/>
      </w:tblPr>
      <w:tblGrid>
        <w:gridCol w:w="4731"/>
        <w:gridCol w:w="4731"/>
      </w:tblGrid>
      <w:tr w:rsidR="00BD7B71" w:rsidTr="00C62C14">
        <w:tc>
          <w:tcPr>
            <w:tcW w:w="4731" w:type="dxa"/>
          </w:tcPr>
          <w:p w:rsidR="00C62C14" w:rsidRPr="00587420" w:rsidRDefault="00F46E39" w:rsidP="00C62C14">
            <w:pPr>
              <w:rPr>
                <w:lang w:val="fr-BE"/>
              </w:rPr>
            </w:pPr>
            <w:r w:rsidRPr="00587420">
              <w:rPr>
                <w:lang w:val="fr-BE"/>
              </w:rPr>
              <w:t>Coût total des accidents significatifs en milliers € /(Mio km-train)</w:t>
            </w:r>
          </w:p>
        </w:tc>
        <w:tc>
          <w:tcPr>
            <w:tcW w:w="4731" w:type="dxa"/>
          </w:tcPr>
          <w:p w:rsidR="00C62C14" w:rsidRPr="00ED1F31" w:rsidRDefault="00F46E39" w:rsidP="00C62C14">
            <w:r w:rsidRPr="00ED1F31">
              <w:t>Total cost of significant accidents in thousands of €/(million train-km)</w:t>
            </w:r>
          </w:p>
        </w:tc>
      </w:tr>
      <w:tr w:rsidR="00BD7B71" w:rsidTr="00C62C14">
        <w:tc>
          <w:tcPr>
            <w:tcW w:w="4731" w:type="dxa"/>
          </w:tcPr>
          <w:p w:rsidR="00C62C14" w:rsidRPr="00587420" w:rsidRDefault="00F46E39" w:rsidP="00C62C14">
            <w:pPr>
              <w:rPr>
                <w:lang w:val="fr-BE"/>
              </w:rPr>
            </w:pPr>
            <w:r w:rsidRPr="00587420">
              <w:rPr>
                <w:lang w:val="fr-BE"/>
              </w:rPr>
              <w:t>Coût des décès et blesses en milliers € /(Mio km-train)</w:t>
            </w:r>
          </w:p>
        </w:tc>
        <w:tc>
          <w:tcPr>
            <w:tcW w:w="4731" w:type="dxa"/>
          </w:tcPr>
          <w:p w:rsidR="00C62C14" w:rsidRPr="00ED1F31" w:rsidRDefault="00F46E39" w:rsidP="00C62C14">
            <w:r w:rsidRPr="00ED1F31">
              <w:t xml:space="preserve">Cost of deaths and injuries </w:t>
            </w:r>
            <w:r w:rsidRPr="00ED1F31">
              <w:t>in thousands of €/(million train-km)</w:t>
            </w:r>
          </w:p>
        </w:tc>
      </w:tr>
      <w:tr w:rsidR="00BD7B71" w:rsidTr="00C62C14">
        <w:tc>
          <w:tcPr>
            <w:tcW w:w="4731" w:type="dxa"/>
          </w:tcPr>
          <w:p w:rsidR="00C62C14" w:rsidRPr="00587420" w:rsidRDefault="00F46E39" w:rsidP="00C62C14">
            <w:pPr>
              <w:rPr>
                <w:lang w:val="fr-BE"/>
              </w:rPr>
            </w:pPr>
            <w:r w:rsidRPr="00587420">
              <w:rPr>
                <w:lang w:val="fr-BE"/>
              </w:rPr>
              <w:t>Coût des dommages matériels causés au matériel roulant ou à l'infrastruc. en milliers € /(Mio km-train)</w:t>
            </w:r>
          </w:p>
        </w:tc>
        <w:tc>
          <w:tcPr>
            <w:tcW w:w="4731" w:type="dxa"/>
          </w:tcPr>
          <w:p w:rsidR="00C62C14" w:rsidRPr="00ED1F31" w:rsidRDefault="00F46E39" w:rsidP="00C62C14">
            <w:r w:rsidRPr="00ED1F31">
              <w:t>Cost of material damage to rolling stock or infrastructure in thousands of €/(million train-km)</w:t>
            </w:r>
          </w:p>
        </w:tc>
      </w:tr>
      <w:tr w:rsidR="00BD7B71" w:rsidTr="00C62C14">
        <w:tc>
          <w:tcPr>
            <w:tcW w:w="4731" w:type="dxa"/>
          </w:tcPr>
          <w:p w:rsidR="00C62C14" w:rsidRPr="00587420" w:rsidRDefault="00F46E39" w:rsidP="00C62C14">
            <w:pPr>
              <w:rPr>
                <w:lang w:val="fr-BE"/>
              </w:rPr>
            </w:pPr>
            <w:r w:rsidRPr="00587420">
              <w:rPr>
                <w:lang w:val="fr-BE"/>
              </w:rPr>
              <w:t xml:space="preserve">Coût des retards </w:t>
            </w:r>
            <w:r w:rsidRPr="00587420">
              <w:rPr>
                <w:lang w:val="fr-BE"/>
              </w:rPr>
              <w:t>à la suite d'un accident en milliers € /(Mio km-train)</w:t>
            </w:r>
          </w:p>
        </w:tc>
        <w:tc>
          <w:tcPr>
            <w:tcW w:w="4731" w:type="dxa"/>
          </w:tcPr>
          <w:p w:rsidR="00C62C14" w:rsidRPr="00ED1F31" w:rsidRDefault="00F46E39" w:rsidP="00C62C14">
            <w:r w:rsidRPr="00ED1F31">
              <w:t>Cost of delays following an accident in thousands of €/(million train-km)</w:t>
            </w:r>
          </w:p>
        </w:tc>
      </w:tr>
    </w:tbl>
    <w:p w:rsidR="00C62C14" w:rsidRPr="00ED1F31" w:rsidRDefault="00C62C14" w:rsidP="005729A3">
      <w:pPr>
        <w:ind w:left="0"/>
        <w:rPr>
          <w:rFonts w:eastAsia="Calibri" w:cs="Calibri"/>
          <w:sz w:val="20"/>
          <w:szCs w:val="20"/>
        </w:rPr>
      </w:pPr>
    </w:p>
    <w:p w:rsidR="005977C3" w:rsidRPr="00ED1F31" w:rsidRDefault="00F46E39" w:rsidP="00205240">
      <w:pPr>
        <w:ind w:left="120" w:right="296"/>
        <w:jc w:val="both"/>
        <w:rPr>
          <w:i/>
          <w:sz w:val="20"/>
        </w:rPr>
      </w:pPr>
      <w:r w:rsidRPr="00ED1F31">
        <w:rPr>
          <w:i/>
          <w:sz w:val="20"/>
          <w:u w:val="single" w:color="000000"/>
        </w:rPr>
        <w:t>Note:</w:t>
      </w:r>
      <w:r w:rsidRPr="00ED1F31">
        <w:rPr>
          <w:i/>
          <w:sz w:val="20"/>
          <w:u w:color="000000"/>
        </w:rPr>
        <w:t xml:space="preserve"> </w:t>
      </w:r>
      <w:r w:rsidRPr="00ED1F31">
        <w:rPr>
          <w:i/>
          <w:sz w:val="20"/>
        </w:rPr>
        <w:t xml:space="preserve">the distribution rates were taken over the entire day by applying a rate of 70% for workers and 30% for non-workers. </w:t>
      </w:r>
      <w:r w:rsidRPr="00ED1F31">
        <w:rPr>
          <w:i/>
          <w:sz w:val="20"/>
        </w:rPr>
        <w:t>Students travelling by rail have been counted as workers.</w:t>
      </w:r>
    </w:p>
    <w:p w:rsidR="00A113DC" w:rsidRPr="00ED1F31" w:rsidRDefault="00F46E39" w:rsidP="005729A3">
      <w:pPr>
        <w:pStyle w:val="Heading2-1"/>
        <w:pageBreakBefore/>
        <w:spacing w:before="0"/>
        <w:ind w:left="965" w:hanging="850"/>
      </w:pPr>
      <w:r w:rsidRPr="00ED1F31">
        <w:t>Indicators relating to the technical safety of the infrastructure and its restoration</w:t>
      </w:r>
    </w:p>
    <w:p w:rsidR="00A113DC" w:rsidRPr="00ED1F31" w:rsidRDefault="00F46E39" w:rsidP="00B135A8">
      <w:pPr>
        <w:pStyle w:val="Heading3-1"/>
        <w:rPr>
          <w:rFonts w:eastAsia="Calibri" w:cs="Calibri"/>
          <w:szCs w:val="24"/>
        </w:rPr>
      </w:pPr>
      <w:r w:rsidRPr="00ED1F31">
        <w:t>Automatic Train Protection (ATP) system</w:t>
      </w:r>
    </w:p>
    <w:p w:rsidR="00A113DC" w:rsidRPr="00ED1F31" w:rsidRDefault="00A113DC">
      <w:pPr>
        <w:rPr>
          <w:rFonts w:eastAsia="Calibri" w:cs="Calibri"/>
          <w:sz w:val="20"/>
          <w:szCs w:val="20"/>
        </w:rPr>
      </w:pPr>
    </w:p>
    <w:p w:rsidR="00A113DC" w:rsidRPr="00ED1F31" w:rsidRDefault="00A113DC">
      <w:pPr>
        <w:spacing w:before="11"/>
        <w:rPr>
          <w:rFonts w:eastAsia="Calibri" w:cs="Calibri"/>
          <w:sz w:val="12"/>
          <w:szCs w:val="12"/>
        </w:rPr>
      </w:pPr>
    </w:p>
    <w:tbl>
      <w:tblPr>
        <w:tblW w:w="0" w:type="auto"/>
        <w:tblInd w:w="169" w:type="dxa"/>
        <w:tblLayout w:type="fixed"/>
        <w:tblCellMar>
          <w:left w:w="0" w:type="dxa"/>
          <w:right w:w="0" w:type="dxa"/>
        </w:tblCellMar>
        <w:tblLook w:val="01E0" w:firstRow="1" w:lastRow="1" w:firstColumn="1" w:lastColumn="1" w:noHBand="0" w:noVBand="0"/>
      </w:tblPr>
      <w:tblGrid>
        <w:gridCol w:w="6050"/>
        <w:gridCol w:w="1440"/>
        <w:gridCol w:w="1260"/>
      </w:tblGrid>
      <w:tr w:rsidR="00BD7B71" w:rsidTr="00043FEB">
        <w:trPr>
          <w:trHeight w:hRule="exact" w:val="266"/>
        </w:trPr>
        <w:tc>
          <w:tcPr>
            <w:tcW w:w="605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2015 indicators</w:t>
            </w:r>
          </w:p>
        </w:tc>
        <w:tc>
          <w:tcPr>
            <w:tcW w:w="144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MEMOR II+</w:t>
            </w:r>
          </w:p>
        </w:tc>
        <w:tc>
          <w:tcPr>
            <w:tcW w:w="1260" w:type="dxa"/>
            <w:tcBorders>
              <w:top w:val="single" w:sz="4" w:space="0" w:color="000000"/>
              <w:left w:val="single" w:sz="4" w:space="0" w:color="000000"/>
              <w:bottom w:val="single" w:sz="4" w:space="0" w:color="000000"/>
              <w:right w:val="single" w:sz="4" w:space="0" w:color="000000"/>
            </w:tcBorders>
            <w:shd w:val="clear" w:color="auto" w:fill="AFDF49"/>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ETCS</w:t>
            </w:r>
          </w:p>
        </w:tc>
      </w:tr>
      <w:tr w:rsidR="00BD7B71" w:rsidTr="00043FEB">
        <w:trPr>
          <w:trHeight w:hRule="exact" w:val="264"/>
        </w:trPr>
        <w:tc>
          <w:tcPr>
            <w:tcW w:w="60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Percentage of track fitted with an ATP</w:t>
            </w:r>
            <w:r w:rsidRPr="00ED1F31">
              <w:rPr>
                <w:rFonts w:ascii="Arial" w:hAnsi="Arial"/>
                <w:sz w:val="20"/>
              </w:rPr>
              <w:t xml:space="preserve"> system</w:t>
            </w:r>
          </w:p>
        </w:tc>
        <w:tc>
          <w:tcPr>
            <w:tcW w:w="144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113DC" w:rsidRPr="00ED1F31" w:rsidRDefault="00F46E39" w:rsidP="00043FEB">
            <w:pPr>
              <w:pStyle w:val="TableParagraph"/>
              <w:ind w:right="66"/>
              <w:jc w:val="right"/>
              <w:rPr>
                <w:rFonts w:ascii="Arial" w:eastAsia="Arial" w:hAnsi="Arial" w:cs="Arial"/>
                <w:sz w:val="20"/>
                <w:szCs w:val="20"/>
              </w:rPr>
            </w:pPr>
            <w:r w:rsidRPr="00ED1F31">
              <w:rPr>
                <w:rFonts w:ascii="Arial" w:hAnsi="Arial"/>
                <w:sz w:val="20"/>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AFDF49"/>
            <w:vAlign w:val="center"/>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100%</w:t>
            </w:r>
          </w:p>
        </w:tc>
      </w:tr>
      <w:tr w:rsidR="00BD7B71" w:rsidTr="00043FEB">
        <w:trPr>
          <w:trHeight w:hRule="exact" w:val="521"/>
        </w:trPr>
        <w:tc>
          <w:tcPr>
            <w:tcW w:w="60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ight="255"/>
              <w:rPr>
                <w:rFonts w:ascii="Arial" w:eastAsia="Arial" w:hAnsi="Arial" w:cs="Arial"/>
                <w:sz w:val="20"/>
                <w:szCs w:val="20"/>
              </w:rPr>
            </w:pPr>
            <w:r w:rsidRPr="00ED1F31">
              <w:rPr>
                <w:rFonts w:ascii="Arial" w:hAnsi="Arial"/>
                <w:sz w:val="20"/>
              </w:rPr>
              <w:t>Percentage of main fixed signals and advanced fixed signals fitted with an ATP system in service</w:t>
            </w:r>
          </w:p>
        </w:tc>
        <w:tc>
          <w:tcPr>
            <w:tcW w:w="1440" w:type="dxa"/>
            <w:tcBorders>
              <w:top w:val="single" w:sz="4" w:space="0" w:color="000000"/>
              <w:left w:val="single" w:sz="4" w:space="0" w:color="000000"/>
              <w:bottom w:val="single" w:sz="4" w:space="0" w:color="000000"/>
              <w:right w:val="single" w:sz="4" w:space="0" w:color="000000"/>
            </w:tcBorders>
            <w:shd w:val="clear" w:color="auto" w:fill="95B3D7"/>
            <w:vAlign w:val="bottom"/>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98.7*</w:t>
            </w:r>
          </w:p>
        </w:tc>
        <w:tc>
          <w:tcPr>
            <w:tcW w:w="1260" w:type="dxa"/>
            <w:tcBorders>
              <w:top w:val="single" w:sz="4" w:space="0" w:color="000000"/>
              <w:left w:val="single" w:sz="4" w:space="0" w:color="000000"/>
              <w:bottom w:val="single" w:sz="4" w:space="0" w:color="000000"/>
              <w:right w:val="single" w:sz="4" w:space="0" w:color="000000"/>
            </w:tcBorders>
            <w:shd w:val="clear" w:color="auto" w:fill="AFDF49"/>
            <w:vAlign w:val="bottom"/>
          </w:tcPr>
          <w:p w:rsidR="00A113DC" w:rsidRPr="00ED1F31" w:rsidRDefault="00F46E39" w:rsidP="00043FEB">
            <w:pPr>
              <w:pStyle w:val="TableParagraph"/>
              <w:ind w:right="64"/>
              <w:jc w:val="right"/>
              <w:rPr>
                <w:rFonts w:ascii="Arial" w:eastAsia="Arial" w:hAnsi="Arial" w:cs="Arial"/>
                <w:sz w:val="20"/>
                <w:szCs w:val="20"/>
              </w:rPr>
            </w:pPr>
            <w:r w:rsidRPr="00ED1F31">
              <w:rPr>
                <w:rFonts w:ascii="Arial" w:hAnsi="Arial"/>
                <w:sz w:val="20"/>
              </w:rPr>
              <w:t>98.7*</w:t>
            </w:r>
          </w:p>
        </w:tc>
      </w:tr>
      <w:tr w:rsidR="00BD7B71" w:rsidTr="00043FEB">
        <w:trPr>
          <w:trHeight w:hRule="exact" w:val="518"/>
        </w:trPr>
        <w:tc>
          <w:tcPr>
            <w:tcW w:w="605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ight="375"/>
              <w:rPr>
                <w:rFonts w:ascii="Arial" w:eastAsia="Arial" w:hAnsi="Arial" w:cs="Arial"/>
                <w:sz w:val="20"/>
                <w:szCs w:val="20"/>
              </w:rPr>
            </w:pPr>
            <w:r w:rsidRPr="00ED1F31">
              <w:rPr>
                <w:rFonts w:ascii="Arial" w:hAnsi="Arial"/>
                <w:sz w:val="20"/>
              </w:rPr>
              <w:t>Percentage of train-kilometres covered by operational ATP systems (estimate)</w:t>
            </w:r>
          </w:p>
        </w:tc>
        <w:tc>
          <w:tcPr>
            <w:tcW w:w="1440" w:type="dxa"/>
            <w:tcBorders>
              <w:top w:val="single" w:sz="4" w:space="0" w:color="000000"/>
              <w:left w:val="single" w:sz="4" w:space="0" w:color="000000"/>
              <w:bottom w:val="single" w:sz="4" w:space="0" w:color="000000"/>
              <w:right w:val="single" w:sz="4" w:space="0" w:color="000000"/>
            </w:tcBorders>
            <w:shd w:val="clear" w:color="auto" w:fill="95B3D7"/>
            <w:vAlign w:val="bottom"/>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60%</w:t>
            </w:r>
          </w:p>
        </w:tc>
        <w:tc>
          <w:tcPr>
            <w:tcW w:w="1260" w:type="dxa"/>
            <w:tcBorders>
              <w:top w:val="single" w:sz="4" w:space="0" w:color="000000"/>
              <w:left w:val="single" w:sz="4" w:space="0" w:color="000000"/>
              <w:bottom w:val="single" w:sz="4" w:space="0" w:color="000000"/>
              <w:right w:val="single" w:sz="4" w:space="0" w:color="000000"/>
            </w:tcBorders>
            <w:shd w:val="clear" w:color="auto" w:fill="AFDF49"/>
            <w:vAlign w:val="bottom"/>
          </w:tcPr>
          <w:p w:rsidR="00A113DC" w:rsidRPr="00ED1F31" w:rsidRDefault="00F46E39" w:rsidP="00043FEB">
            <w:pPr>
              <w:pStyle w:val="TableParagraph"/>
              <w:ind w:right="65"/>
              <w:jc w:val="right"/>
              <w:rPr>
                <w:rFonts w:ascii="Arial" w:eastAsia="Arial" w:hAnsi="Arial" w:cs="Arial"/>
                <w:sz w:val="20"/>
                <w:szCs w:val="20"/>
              </w:rPr>
            </w:pPr>
            <w:r w:rsidRPr="00ED1F31">
              <w:rPr>
                <w:rFonts w:ascii="Arial" w:hAnsi="Arial"/>
                <w:sz w:val="20"/>
              </w:rPr>
              <w:t>40%</w:t>
            </w:r>
          </w:p>
        </w:tc>
      </w:tr>
    </w:tbl>
    <w:p w:rsidR="00A113DC" w:rsidRPr="00ED1F31" w:rsidRDefault="00F46E39" w:rsidP="00E026B7">
      <w:pPr>
        <w:pStyle w:val="Quote"/>
        <w:ind w:left="142"/>
      </w:pPr>
      <w:r w:rsidRPr="00ED1F31">
        <w:t>* The main fixed signals (SFP) at the new</w:t>
      </w:r>
      <w:r w:rsidRPr="00ED1F31">
        <w:t xml:space="preserve"> intermodal terminals are not equipped with either ETCS or MEMOR II+. In view of their location, the main fixed signals (SFP) will be replaced by fixed barred track signals (SFvb) which, depending on the principles applied by the IM, do not require a train</w:t>
      </w:r>
      <w:r w:rsidRPr="00ED1F31">
        <w:t xml:space="preserve"> protection system.</w:t>
      </w:r>
    </w:p>
    <w:p w:rsidR="00A113DC" w:rsidRPr="00ED1F31" w:rsidRDefault="00F46E39" w:rsidP="00E026B7">
      <w:pPr>
        <w:pStyle w:val="Quote"/>
        <w:ind w:left="142"/>
      </w:pPr>
      <w:r w:rsidRPr="00ED1F31">
        <w:t>In principle, only barred track signals for flank protection towards line tracks and signals installed on station tracks for reception on occupied tracks are equipped with ETCS. The majority of fixed barred track signals installed at ma</w:t>
      </w:r>
      <w:r w:rsidRPr="00ED1F31">
        <w:t>rshalling yards, sidings, junctions, etc. thus do not have ETCS or MEMOR II+ installed on the ground.</w:t>
      </w:r>
    </w:p>
    <w:p w:rsidR="00A113DC" w:rsidRPr="00ED1F31" w:rsidRDefault="00F46E39" w:rsidP="00E026B7">
      <w:pPr>
        <w:pStyle w:val="Quote"/>
        <w:ind w:left="142"/>
      </w:pPr>
      <w:r w:rsidRPr="00ED1F31">
        <w:t>However, it should be noted that for barred track signals without ETCS/MEMOR II+, the train travelling speed is very low compared to the maximum permissib</w:t>
      </w:r>
      <w:r w:rsidRPr="00ED1F31">
        <w:t>le speeds on the main line, so the risk of a serious accident/incident is greatly reduced.</w:t>
      </w:r>
    </w:p>
    <w:p w:rsidR="00A113DC" w:rsidRPr="00ED1F31" w:rsidRDefault="00F46E39" w:rsidP="005977C3">
      <w:pPr>
        <w:spacing w:before="400"/>
        <w:ind w:left="180"/>
        <w:rPr>
          <w:rFonts w:eastAsia="Calibri" w:cs="Calibri"/>
          <w:sz w:val="21"/>
          <w:szCs w:val="21"/>
        </w:rPr>
      </w:pPr>
      <w:r w:rsidRPr="00ED1F31">
        <w:rPr>
          <w:rFonts w:eastAsia="Calibri" w:cs="Calibri"/>
          <w:noProof/>
          <w:sz w:val="21"/>
          <w:szCs w:val="21"/>
          <w:lang w:val="en-US" w:eastAsia="zh-CN" w:bidi="ar-SA"/>
        </w:rPr>
        <w:drawing>
          <wp:inline distT="0" distB="0" distL="0" distR="0">
            <wp:extent cx="3402965" cy="2329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045"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402965" cy="2329815"/>
                    </a:xfrm>
                    <a:prstGeom prst="rect">
                      <a:avLst/>
                    </a:prstGeom>
                    <a:noFill/>
                    <a:ln>
                      <a:noFill/>
                    </a:ln>
                  </pic:spPr>
                </pic:pic>
              </a:graphicData>
            </a:graphic>
          </wp:inline>
        </w:drawing>
      </w:r>
    </w:p>
    <w:p w:rsidR="00A113DC" w:rsidRPr="00ED1F31" w:rsidRDefault="00A113DC">
      <w:pPr>
        <w:rPr>
          <w:rFonts w:eastAsia="Calibri" w:cs="Calibri"/>
          <w:sz w:val="20"/>
          <w:szCs w:val="20"/>
        </w:rPr>
      </w:pPr>
    </w:p>
    <w:p w:rsidR="005977C3" w:rsidRPr="00ED1F31" w:rsidRDefault="005977C3">
      <w:pPr>
        <w:rPr>
          <w:rFonts w:eastAsia="Calibri" w:cs="Calibri"/>
          <w:sz w:val="20"/>
          <w:szCs w:val="20"/>
        </w:rPr>
      </w:pPr>
    </w:p>
    <w:tbl>
      <w:tblPr>
        <w:tblStyle w:val="TableGrid"/>
        <w:tblW w:w="9462" w:type="dxa"/>
        <w:tblLook w:val="04A0" w:firstRow="1" w:lastRow="0" w:firstColumn="1" w:lastColumn="0" w:noHBand="0" w:noVBand="1"/>
      </w:tblPr>
      <w:tblGrid>
        <w:gridCol w:w="4731"/>
        <w:gridCol w:w="4731"/>
      </w:tblGrid>
      <w:tr w:rsidR="00BD7B71" w:rsidTr="005977C3">
        <w:tc>
          <w:tcPr>
            <w:tcW w:w="4731" w:type="dxa"/>
          </w:tcPr>
          <w:p w:rsidR="005977C3" w:rsidRPr="00587420" w:rsidRDefault="00F46E39" w:rsidP="005977C3">
            <w:pPr>
              <w:rPr>
                <w:lang w:val="fr-BE"/>
              </w:rPr>
            </w:pPr>
            <w:r w:rsidRPr="00587420">
              <w:rPr>
                <w:lang w:val="fr-BE"/>
              </w:rPr>
              <w:t>Pourcentage des kilomètres-train parcouru avec systèmes PAT opérationnels (estimation)</w:t>
            </w:r>
          </w:p>
        </w:tc>
        <w:tc>
          <w:tcPr>
            <w:tcW w:w="4731" w:type="dxa"/>
          </w:tcPr>
          <w:p w:rsidR="005977C3" w:rsidRPr="00ED1F31" w:rsidRDefault="00F46E39" w:rsidP="005977C3">
            <w:r w:rsidRPr="00ED1F31">
              <w:t xml:space="preserve">Percentage of train-kilometres covered by operational ATP systems </w:t>
            </w:r>
            <w:r w:rsidRPr="00ED1F31">
              <w:t>(estimate)</w:t>
            </w:r>
          </w:p>
        </w:tc>
      </w:tr>
      <w:tr w:rsidR="00BD7B71" w:rsidTr="005977C3">
        <w:tc>
          <w:tcPr>
            <w:tcW w:w="4731" w:type="dxa"/>
          </w:tcPr>
          <w:p w:rsidR="005977C3" w:rsidRPr="00ED1F31" w:rsidRDefault="00F46E39" w:rsidP="005977C3">
            <w:r w:rsidRPr="00ED1F31">
              <w:t>MEMOR II+</w:t>
            </w:r>
          </w:p>
        </w:tc>
        <w:tc>
          <w:tcPr>
            <w:tcW w:w="4731" w:type="dxa"/>
          </w:tcPr>
          <w:p w:rsidR="005977C3" w:rsidRPr="00ED1F31" w:rsidRDefault="00F46E39" w:rsidP="005977C3">
            <w:r w:rsidRPr="00ED1F31">
              <w:t>MEMOR II+</w:t>
            </w:r>
          </w:p>
        </w:tc>
      </w:tr>
      <w:tr w:rsidR="00BD7B71" w:rsidTr="005977C3">
        <w:tc>
          <w:tcPr>
            <w:tcW w:w="4731" w:type="dxa"/>
          </w:tcPr>
          <w:p w:rsidR="005977C3" w:rsidRPr="00ED1F31" w:rsidRDefault="00F46E39" w:rsidP="005977C3">
            <w:r w:rsidRPr="00ED1F31">
              <w:t>ETCS</w:t>
            </w:r>
          </w:p>
        </w:tc>
        <w:tc>
          <w:tcPr>
            <w:tcW w:w="4731" w:type="dxa"/>
          </w:tcPr>
          <w:p w:rsidR="005977C3" w:rsidRPr="00ED1F31" w:rsidRDefault="00F46E39" w:rsidP="005977C3">
            <w:r w:rsidRPr="00ED1F31">
              <w:t>ETCS</w:t>
            </w:r>
          </w:p>
        </w:tc>
      </w:tr>
    </w:tbl>
    <w:p w:rsidR="005977C3" w:rsidRPr="00ED1F31" w:rsidRDefault="005977C3">
      <w:pPr>
        <w:rPr>
          <w:rFonts w:eastAsia="Calibri" w:cs="Calibri"/>
          <w:sz w:val="20"/>
          <w:szCs w:val="20"/>
        </w:rPr>
      </w:pPr>
    </w:p>
    <w:p w:rsidR="005977C3" w:rsidRPr="00ED1F31" w:rsidRDefault="005977C3">
      <w:pPr>
        <w:rPr>
          <w:rFonts w:eastAsia="Calibri" w:cs="Calibri"/>
          <w:sz w:val="20"/>
          <w:szCs w:val="20"/>
        </w:rPr>
      </w:pPr>
    </w:p>
    <w:p w:rsidR="005977C3" w:rsidRPr="00ED1F31" w:rsidRDefault="005977C3">
      <w:pPr>
        <w:rPr>
          <w:rFonts w:eastAsia="Calibri" w:cs="Calibri"/>
          <w:sz w:val="20"/>
          <w:szCs w:val="20"/>
        </w:rPr>
      </w:pPr>
    </w:p>
    <w:p w:rsidR="00A113DC" w:rsidRPr="00ED1F31" w:rsidRDefault="00F46E39" w:rsidP="005729A3">
      <w:pPr>
        <w:pStyle w:val="Heading3-1"/>
        <w:pageBreakBefore/>
        <w:spacing w:before="0"/>
        <w:rPr>
          <w:rFonts w:eastAsia="Calibri" w:cs="Calibri"/>
          <w:szCs w:val="24"/>
        </w:rPr>
      </w:pPr>
      <w:r w:rsidRPr="00ED1F31">
        <w:t>Number of level crossings (total, per line-kilometre and per track-kilometre) and by type of level crossing</w:t>
      </w:r>
    </w:p>
    <w:p w:rsidR="00A113DC" w:rsidRPr="00ED1F31" w:rsidRDefault="00A113DC">
      <w:pPr>
        <w:rPr>
          <w:rFonts w:eastAsia="Calibri" w:cs="Calibri"/>
          <w:sz w:val="20"/>
          <w:szCs w:val="20"/>
        </w:rPr>
      </w:pPr>
    </w:p>
    <w:p w:rsidR="00A113DC" w:rsidRPr="00ED1F31" w:rsidRDefault="00A113DC">
      <w:pPr>
        <w:spacing w:before="1"/>
        <w:rPr>
          <w:rFonts w:eastAsia="Calibri" w:cs="Calibri"/>
          <w:sz w:val="13"/>
          <w:szCs w:val="13"/>
        </w:rPr>
      </w:pPr>
    </w:p>
    <w:tbl>
      <w:tblPr>
        <w:tblW w:w="0" w:type="auto"/>
        <w:tblInd w:w="207" w:type="dxa"/>
        <w:tblLayout w:type="fixed"/>
        <w:tblCellMar>
          <w:left w:w="0" w:type="dxa"/>
          <w:right w:w="0" w:type="dxa"/>
        </w:tblCellMar>
        <w:tblLook w:val="01E0" w:firstRow="1" w:lastRow="1" w:firstColumn="1" w:lastColumn="1" w:noHBand="0" w:noVBand="0"/>
      </w:tblPr>
      <w:tblGrid>
        <w:gridCol w:w="5780"/>
        <w:gridCol w:w="991"/>
        <w:gridCol w:w="1135"/>
        <w:gridCol w:w="1134"/>
      </w:tblGrid>
      <w:tr w:rsidR="00BD7B71" w:rsidTr="00043FEB">
        <w:trPr>
          <w:trHeight w:hRule="exact" w:val="778"/>
        </w:trPr>
        <w:tc>
          <w:tcPr>
            <w:tcW w:w="578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a) Actively protected level crossings by type</w:t>
            </w:r>
          </w:p>
        </w:tc>
        <w:tc>
          <w:tcPr>
            <w:tcW w:w="991"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w:t>
            </w:r>
          </w:p>
        </w:tc>
        <w:tc>
          <w:tcPr>
            <w:tcW w:w="1135"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per km of line (275 km)</w:t>
            </w:r>
          </w:p>
        </w:tc>
        <w:tc>
          <w:tcPr>
            <w:tcW w:w="113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 xml:space="preserve">per km of track </w:t>
            </w:r>
            <w:r w:rsidRPr="00ED1F31">
              <w:rPr>
                <w:rFonts w:ascii="Arial" w:hAnsi="Arial"/>
                <w:sz w:val="20"/>
              </w:rPr>
              <w:t>(621 km)</w:t>
            </w:r>
          </w:p>
        </w:tc>
      </w:tr>
      <w:tr w:rsidR="00BD7B71" w:rsidTr="00043FEB">
        <w:trPr>
          <w:trHeight w:hRule="exact" w:val="264"/>
        </w:trPr>
        <w:tc>
          <w:tcPr>
            <w:tcW w:w="57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tabs>
                <w:tab w:val="left" w:pos="391"/>
              </w:tabs>
              <w:ind w:left="103"/>
              <w:rPr>
                <w:rFonts w:ascii="Arial" w:eastAsia="Arial" w:hAnsi="Arial" w:cs="Arial"/>
                <w:sz w:val="20"/>
                <w:szCs w:val="20"/>
              </w:rPr>
            </w:pPr>
            <w:r w:rsidRPr="00ED1F31">
              <w:rPr>
                <w:rFonts w:ascii="Arial" w:hAnsi="Arial"/>
                <w:sz w:val="20"/>
              </w:rPr>
              <w:t>i)</w:t>
            </w:r>
            <w:r w:rsidRPr="00ED1F31">
              <w:tab/>
            </w:r>
            <w:r w:rsidRPr="00ED1F31">
              <w:rPr>
                <w:rFonts w:ascii="Arial" w:hAnsi="Arial"/>
                <w:sz w:val="20"/>
              </w:rPr>
              <w:t>Manual</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20</w:t>
            </w:r>
          </w:p>
        </w:tc>
        <w:tc>
          <w:tcPr>
            <w:tcW w:w="1135"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5"/>
              <w:jc w:val="right"/>
              <w:rPr>
                <w:rFonts w:ascii="Arial" w:eastAsia="Arial" w:hAnsi="Arial" w:cs="Arial"/>
                <w:sz w:val="20"/>
                <w:szCs w:val="20"/>
              </w:rPr>
            </w:pPr>
            <w:r w:rsidRPr="00ED1F31">
              <w:rPr>
                <w:rFonts w:ascii="Arial" w:hAnsi="Arial"/>
                <w:sz w:val="20"/>
              </w:rPr>
              <w:t>0.072</w:t>
            </w:r>
          </w:p>
        </w:tc>
        <w:tc>
          <w:tcPr>
            <w:tcW w:w="113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4"/>
              <w:jc w:val="right"/>
              <w:rPr>
                <w:rFonts w:ascii="Arial" w:eastAsia="Arial" w:hAnsi="Arial" w:cs="Arial"/>
                <w:sz w:val="20"/>
                <w:szCs w:val="20"/>
              </w:rPr>
            </w:pPr>
            <w:r w:rsidRPr="00ED1F31">
              <w:rPr>
                <w:rFonts w:ascii="Arial" w:hAnsi="Arial"/>
                <w:sz w:val="20"/>
              </w:rPr>
              <w:t>0.032</w:t>
            </w:r>
          </w:p>
        </w:tc>
      </w:tr>
      <w:tr w:rsidR="00BD7B71" w:rsidTr="00043FEB">
        <w:trPr>
          <w:trHeight w:hRule="exact" w:val="266"/>
        </w:trPr>
        <w:tc>
          <w:tcPr>
            <w:tcW w:w="57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tabs>
                <w:tab w:val="left" w:pos="391"/>
              </w:tabs>
              <w:ind w:left="103"/>
              <w:rPr>
                <w:rFonts w:ascii="Arial" w:eastAsia="Arial" w:hAnsi="Arial" w:cs="Arial"/>
                <w:sz w:val="20"/>
                <w:szCs w:val="20"/>
              </w:rPr>
            </w:pPr>
            <w:r w:rsidRPr="00ED1F31">
              <w:rPr>
                <w:rFonts w:ascii="Arial" w:hAnsi="Arial"/>
                <w:sz w:val="20"/>
              </w:rPr>
              <w:t>ii)</w:t>
            </w:r>
            <w:r w:rsidRPr="00ED1F31">
              <w:tab/>
            </w:r>
            <w:r w:rsidRPr="00ED1F31">
              <w:rPr>
                <w:rFonts w:ascii="Arial" w:hAnsi="Arial"/>
                <w:sz w:val="20"/>
              </w:rPr>
              <w:t>Automatic with warning on user side</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0"/>
              <w:jc w:val="right"/>
              <w:rPr>
                <w:rFonts w:ascii="Arial" w:eastAsia="Arial" w:hAnsi="Arial" w:cs="Arial"/>
                <w:sz w:val="20"/>
                <w:szCs w:val="20"/>
              </w:rPr>
            </w:pPr>
            <w:r w:rsidRPr="00ED1F31">
              <w:rPr>
                <w:rFonts w:ascii="Arial" w:hAnsi="Arial"/>
                <w:sz w:val="20"/>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5"/>
              <w:jc w:val="right"/>
              <w:rPr>
                <w:rFonts w:ascii="Arial" w:eastAsia="Arial" w:hAnsi="Arial" w:cs="Arial"/>
                <w:sz w:val="20"/>
                <w:szCs w:val="20"/>
              </w:rPr>
            </w:pPr>
            <w:r w:rsidRPr="00ED1F31">
              <w:rPr>
                <w:rFonts w:ascii="Arial" w:hAnsi="Arial"/>
                <w:sz w:val="20"/>
              </w:rPr>
              <w:t>0.007</w:t>
            </w:r>
          </w:p>
        </w:tc>
        <w:tc>
          <w:tcPr>
            <w:tcW w:w="113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right="106"/>
              <w:jc w:val="right"/>
              <w:rPr>
                <w:rFonts w:ascii="Arial" w:eastAsia="Arial" w:hAnsi="Arial" w:cs="Arial"/>
                <w:sz w:val="20"/>
                <w:szCs w:val="20"/>
              </w:rPr>
            </w:pPr>
            <w:r w:rsidRPr="00ED1F31">
              <w:rPr>
                <w:rFonts w:ascii="Arial" w:hAnsi="Arial"/>
                <w:sz w:val="20"/>
              </w:rPr>
              <w:t>0.003</w:t>
            </w:r>
          </w:p>
        </w:tc>
      </w:tr>
      <w:tr w:rsidR="00BD7B71" w:rsidTr="00043FEB">
        <w:trPr>
          <w:trHeight w:hRule="exact" w:val="470"/>
        </w:trPr>
        <w:tc>
          <w:tcPr>
            <w:tcW w:w="57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tabs>
                <w:tab w:val="left" w:pos="391"/>
              </w:tabs>
              <w:ind w:left="383" w:right="609" w:hanging="281"/>
              <w:rPr>
                <w:rFonts w:ascii="Arial" w:eastAsia="Arial" w:hAnsi="Arial" w:cs="Arial"/>
                <w:sz w:val="20"/>
                <w:szCs w:val="20"/>
              </w:rPr>
            </w:pPr>
            <w:r w:rsidRPr="00ED1F31">
              <w:rPr>
                <w:rFonts w:ascii="Arial" w:hAnsi="Arial"/>
                <w:sz w:val="20"/>
              </w:rPr>
              <w:t>iii)</w:t>
            </w:r>
            <w:r w:rsidRPr="00ED1F31">
              <w:tab/>
            </w:r>
            <w:r w:rsidRPr="00ED1F31">
              <w:rPr>
                <w:rFonts w:ascii="Arial" w:hAnsi="Arial"/>
                <w:sz w:val="20"/>
              </w:rPr>
              <w:t>Automatic with user protection (including level crossings with warning and protection)</w:t>
            </w:r>
          </w:p>
        </w:tc>
        <w:tc>
          <w:tcPr>
            <w:tcW w:w="991"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78</w:t>
            </w:r>
          </w:p>
        </w:tc>
        <w:tc>
          <w:tcPr>
            <w:tcW w:w="1135"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105"/>
              <w:jc w:val="right"/>
              <w:rPr>
                <w:rFonts w:ascii="Arial" w:eastAsia="Arial" w:hAnsi="Arial" w:cs="Arial"/>
                <w:sz w:val="20"/>
                <w:szCs w:val="20"/>
              </w:rPr>
            </w:pPr>
            <w:r w:rsidRPr="00ED1F31">
              <w:rPr>
                <w:rFonts w:ascii="Arial" w:hAnsi="Arial"/>
                <w:sz w:val="20"/>
              </w:rPr>
              <w:t>0.280</w:t>
            </w:r>
          </w:p>
        </w:tc>
        <w:tc>
          <w:tcPr>
            <w:tcW w:w="1133" w:type="dxa"/>
            <w:tcBorders>
              <w:top w:val="single" w:sz="4" w:space="0" w:color="000000"/>
              <w:left w:val="single" w:sz="4" w:space="0" w:color="000000"/>
              <w:bottom w:val="single" w:sz="4" w:space="0" w:color="000000"/>
              <w:right w:val="single" w:sz="4" w:space="0" w:color="000000"/>
            </w:tcBorders>
            <w:vAlign w:val="bottom"/>
          </w:tcPr>
          <w:p w:rsidR="00A113DC" w:rsidRPr="00ED1F31" w:rsidRDefault="00F46E39" w:rsidP="00043FEB">
            <w:pPr>
              <w:pStyle w:val="TableParagraph"/>
              <w:ind w:right="106"/>
              <w:jc w:val="right"/>
              <w:rPr>
                <w:rFonts w:ascii="Arial" w:eastAsia="Arial" w:hAnsi="Arial" w:cs="Arial"/>
                <w:sz w:val="20"/>
                <w:szCs w:val="20"/>
              </w:rPr>
            </w:pPr>
            <w:r w:rsidRPr="00ED1F31">
              <w:rPr>
                <w:rFonts w:ascii="Arial" w:hAnsi="Arial"/>
                <w:sz w:val="20"/>
              </w:rPr>
              <w:t>0.124</w:t>
            </w:r>
          </w:p>
        </w:tc>
      </w:tr>
      <w:tr w:rsidR="00BD7B71" w:rsidTr="00043FEB">
        <w:trPr>
          <w:trHeight w:hRule="exact" w:val="240"/>
        </w:trPr>
        <w:tc>
          <w:tcPr>
            <w:tcW w:w="578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tabs>
                <w:tab w:val="left" w:pos="391"/>
              </w:tabs>
              <w:spacing w:line="227" w:lineRule="exact"/>
              <w:ind w:left="103"/>
              <w:rPr>
                <w:rFonts w:ascii="Arial" w:eastAsia="Arial" w:hAnsi="Arial" w:cs="Arial"/>
                <w:sz w:val="20"/>
                <w:szCs w:val="20"/>
              </w:rPr>
            </w:pPr>
            <w:r w:rsidRPr="00ED1F31">
              <w:rPr>
                <w:rFonts w:ascii="Arial" w:hAnsi="Arial"/>
                <w:sz w:val="20"/>
              </w:rPr>
              <w:t>iv)</w:t>
            </w:r>
            <w:r w:rsidRPr="00ED1F31">
              <w:tab/>
            </w:r>
            <w:r w:rsidRPr="00ED1F31">
              <w:rPr>
                <w:rFonts w:ascii="Arial" w:hAnsi="Arial"/>
                <w:sz w:val="20"/>
              </w:rPr>
              <w:t>Rail-side protection</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right="100"/>
              <w:jc w:val="right"/>
              <w:rPr>
                <w:rFonts w:ascii="Arial" w:eastAsia="Arial" w:hAnsi="Arial" w:cs="Arial"/>
                <w:sz w:val="20"/>
                <w:szCs w:val="20"/>
              </w:rPr>
            </w:pPr>
            <w:r w:rsidRPr="00ED1F31">
              <w:rPr>
                <w:rFonts w:ascii="Arial" w:hAnsi="Arial"/>
                <w:sz w:val="20"/>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right="105"/>
              <w:jc w:val="right"/>
              <w:rPr>
                <w:rFonts w:ascii="Arial" w:eastAsia="Arial" w:hAnsi="Arial" w:cs="Arial"/>
                <w:sz w:val="20"/>
                <w:szCs w:val="20"/>
              </w:rPr>
            </w:pPr>
            <w:r w:rsidRPr="00ED1F31">
              <w:rPr>
                <w:rFonts w:ascii="Arial" w:hAnsi="Arial"/>
                <w:sz w:val="20"/>
              </w:rPr>
              <w:t>0.000</w:t>
            </w:r>
          </w:p>
        </w:tc>
        <w:tc>
          <w:tcPr>
            <w:tcW w:w="1133"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right="106"/>
              <w:jc w:val="right"/>
              <w:rPr>
                <w:rFonts w:ascii="Arial" w:eastAsia="Arial" w:hAnsi="Arial" w:cs="Arial"/>
                <w:sz w:val="20"/>
                <w:szCs w:val="20"/>
              </w:rPr>
            </w:pPr>
            <w:r w:rsidRPr="00ED1F31">
              <w:rPr>
                <w:rFonts w:ascii="Arial" w:hAnsi="Arial"/>
                <w:sz w:val="20"/>
              </w:rPr>
              <w:t>0.000</w:t>
            </w:r>
          </w:p>
        </w:tc>
      </w:tr>
      <w:tr w:rsidR="00BD7B71" w:rsidTr="00043FEB">
        <w:trPr>
          <w:trHeight w:hRule="exact" w:val="264"/>
        </w:trPr>
        <w:tc>
          <w:tcPr>
            <w:tcW w:w="578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Total</w:t>
            </w:r>
          </w:p>
        </w:tc>
        <w:tc>
          <w:tcPr>
            <w:tcW w:w="99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A113DC" w:rsidRPr="00ED1F31" w:rsidRDefault="00F46E39" w:rsidP="00043FEB">
            <w:pPr>
              <w:pStyle w:val="TableParagraph"/>
              <w:ind w:right="105"/>
              <w:jc w:val="right"/>
              <w:rPr>
                <w:rFonts w:ascii="Arial" w:eastAsia="Arial" w:hAnsi="Arial" w:cs="Arial"/>
                <w:sz w:val="20"/>
                <w:szCs w:val="20"/>
              </w:rPr>
            </w:pPr>
            <w:r w:rsidRPr="00ED1F31">
              <w:rPr>
                <w:rFonts w:ascii="Arial" w:hAnsi="Arial"/>
                <w:sz w:val="20"/>
              </w:rPr>
              <w:t>0.360</w:t>
            </w:r>
          </w:p>
        </w:tc>
        <w:tc>
          <w:tcPr>
            <w:tcW w:w="113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A113DC" w:rsidRPr="00ED1F31" w:rsidRDefault="00F46E39" w:rsidP="00043FEB">
            <w:pPr>
              <w:pStyle w:val="TableParagraph"/>
              <w:ind w:right="104"/>
              <w:jc w:val="right"/>
              <w:rPr>
                <w:rFonts w:ascii="Arial" w:eastAsia="Arial" w:hAnsi="Arial" w:cs="Arial"/>
                <w:sz w:val="20"/>
                <w:szCs w:val="20"/>
              </w:rPr>
            </w:pPr>
            <w:r w:rsidRPr="00ED1F31">
              <w:rPr>
                <w:rFonts w:ascii="Arial" w:hAnsi="Arial"/>
                <w:sz w:val="20"/>
              </w:rPr>
              <w:t>0.159</w:t>
            </w:r>
          </w:p>
        </w:tc>
      </w:tr>
      <w:tr w:rsidR="00BD7B71">
        <w:trPr>
          <w:trHeight w:hRule="exact" w:val="265"/>
        </w:trPr>
        <w:tc>
          <w:tcPr>
            <w:tcW w:w="9040" w:type="dxa"/>
            <w:gridSpan w:val="4"/>
            <w:tcBorders>
              <w:top w:val="single" w:sz="4" w:space="0" w:color="000000"/>
              <w:left w:val="nil"/>
              <w:bottom w:val="single" w:sz="4" w:space="0" w:color="000000"/>
              <w:right w:val="nil"/>
            </w:tcBorders>
          </w:tcPr>
          <w:p w:rsidR="00A113DC" w:rsidRPr="00ED1F31" w:rsidRDefault="00A113DC"/>
        </w:tc>
      </w:tr>
      <w:tr w:rsidR="00BD7B71" w:rsidTr="00043FEB">
        <w:trPr>
          <w:trHeight w:hRule="exact" w:val="774"/>
        </w:trPr>
        <w:tc>
          <w:tcPr>
            <w:tcW w:w="578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b) Passively protected level crossings</w:t>
            </w:r>
          </w:p>
        </w:tc>
        <w:tc>
          <w:tcPr>
            <w:tcW w:w="991"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w:t>
            </w:r>
          </w:p>
        </w:tc>
        <w:tc>
          <w:tcPr>
            <w:tcW w:w="1135"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per km of line (275 km)</w:t>
            </w:r>
          </w:p>
        </w:tc>
        <w:tc>
          <w:tcPr>
            <w:tcW w:w="113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per km of track (621 km)</w:t>
            </w:r>
          </w:p>
        </w:tc>
      </w:tr>
      <w:tr w:rsidR="00BD7B71" w:rsidTr="00043FEB">
        <w:trPr>
          <w:trHeight w:hRule="exact" w:val="266"/>
        </w:trPr>
        <w:tc>
          <w:tcPr>
            <w:tcW w:w="5780" w:type="dxa"/>
            <w:tcBorders>
              <w:top w:val="single" w:sz="4" w:space="0" w:color="000000"/>
              <w:left w:val="single" w:sz="4" w:space="0" w:color="000000"/>
              <w:bottom w:val="single" w:sz="4" w:space="0" w:color="000000"/>
              <w:right w:val="single" w:sz="4" w:space="0" w:color="000000"/>
            </w:tcBorders>
            <w:shd w:val="clear" w:color="auto" w:fill="FF7C80"/>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Total</w:t>
            </w:r>
          </w:p>
        </w:tc>
        <w:tc>
          <w:tcPr>
            <w:tcW w:w="991" w:type="dxa"/>
            <w:tcBorders>
              <w:top w:val="single" w:sz="4" w:space="0" w:color="000000"/>
              <w:left w:val="single" w:sz="4" w:space="0" w:color="000000"/>
              <w:bottom w:val="single" w:sz="4" w:space="0" w:color="000000"/>
              <w:right w:val="single" w:sz="4" w:space="0" w:color="000000"/>
            </w:tcBorders>
            <w:shd w:val="clear" w:color="auto" w:fill="FF7C80"/>
            <w:vAlign w:val="center"/>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24</w:t>
            </w:r>
          </w:p>
        </w:tc>
        <w:tc>
          <w:tcPr>
            <w:tcW w:w="1135" w:type="dxa"/>
            <w:tcBorders>
              <w:top w:val="single" w:sz="4" w:space="0" w:color="000000"/>
              <w:left w:val="single" w:sz="4" w:space="0" w:color="000000"/>
              <w:bottom w:val="single" w:sz="4" w:space="0" w:color="000000"/>
              <w:right w:val="single" w:sz="4" w:space="0" w:color="000000"/>
            </w:tcBorders>
            <w:shd w:val="clear" w:color="auto" w:fill="FF7C80"/>
            <w:vAlign w:val="center"/>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0.091</w:t>
            </w:r>
          </w:p>
        </w:tc>
        <w:tc>
          <w:tcPr>
            <w:tcW w:w="1133" w:type="dxa"/>
            <w:tcBorders>
              <w:top w:val="single" w:sz="4" w:space="0" w:color="000000"/>
              <w:left w:val="single" w:sz="4" w:space="0" w:color="000000"/>
              <w:bottom w:val="single" w:sz="4" w:space="0" w:color="000000"/>
              <w:right w:val="single" w:sz="4" w:space="0" w:color="000000"/>
            </w:tcBorders>
            <w:shd w:val="clear" w:color="auto" w:fill="FF7C80"/>
            <w:vAlign w:val="center"/>
          </w:tcPr>
          <w:p w:rsidR="00A113DC" w:rsidRPr="00ED1F31" w:rsidRDefault="00F46E39" w:rsidP="00043FEB">
            <w:pPr>
              <w:pStyle w:val="TableParagraph"/>
              <w:ind w:right="104"/>
              <w:jc w:val="right"/>
              <w:rPr>
                <w:rFonts w:ascii="Arial" w:eastAsia="Arial" w:hAnsi="Arial" w:cs="Arial"/>
                <w:sz w:val="20"/>
                <w:szCs w:val="20"/>
              </w:rPr>
            </w:pPr>
            <w:r w:rsidRPr="00ED1F31">
              <w:rPr>
                <w:rFonts w:ascii="Arial" w:hAnsi="Arial"/>
                <w:sz w:val="20"/>
              </w:rPr>
              <w:t>0.040</w:t>
            </w:r>
          </w:p>
        </w:tc>
      </w:tr>
      <w:tr w:rsidR="00BD7B71">
        <w:trPr>
          <w:trHeight w:hRule="exact" w:val="264"/>
        </w:trPr>
        <w:tc>
          <w:tcPr>
            <w:tcW w:w="9040" w:type="dxa"/>
            <w:gridSpan w:val="4"/>
            <w:tcBorders>
              <w:top w:val="single" w:sz="4" w:space="0" w:color="000000"/>
              <w:left w:val="nil"/>
              <w:bottom w:val="single" w:sz="4" w:space="0" w:color="000000"/>
              <w:right w:val="nil"/>
            </w:tcBorders>
          </w:tcPr>
          <w:p w:rsidR="00A113DC" w:rsidRPr="00ED1F31" w:rsidRDefault="00A113DC"/>
        </w:tc>
      </w:tr>
      <w:tr w:rsidR="00BD7B71" w:rsidTr="00043FEB">
        <w:trPr>
          <w:trHeight w:hRule="exact" w:val="775"/>
        </w:trPr>
        <w:tc>
          <w:tcPr>
            <w:tcW w:w="578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c) Actively and passively protected level crossings</w:t>
            </w:r>
          </w:p>
        </w:tc>
        <w:tc>
          <w:tcPr>
            <w:tcW w:w="991"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Number</w:t>
            </w:r>
          </w:p>
        </w:tc>
        <w:tc>
          <w:tcPr>
            <w:tcW w:w="1135"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per km of line (275 km)</w:t>
            </w:r>
          </w:p>
        </w:tc>
        <w:tc>
          <w:tcPr>
            <w:tcW w:w="1133"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per km of track (621 km)</w:t>
            </w:r>
          </w:p>
        </w:tc>
      </w:tr>
      <w:tr w:rsidR="00BD7B71" w:rsidTr="00043FEB">
        <w:trPr>
          <w:trHeight w:hRule="exact" w:val="268"/>
        </w:trPr>
        <w:tc>
          <w:tcPr>
            <w:tcW w:w="5780"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A113DC" w:rsidRPr="00ED1F31" w:rsidRDefault="00F46E39" w:rsidP="00043FEB">
            <w:pPr>
              <w:pStyle w:val="TableParagraph"/>
              <w:ind w:left="103"/>
              <w:rPr>
                <w:rFonts w:ascii="Arial" w:eastAsia="Arial" w:hAnsi="Arial" w:cs="Arial"/>
                <w:sz w:val="20"/>
                <w:szCs w:val="20"/>
              </w:rPr>
            </w:pPr>
            <w:r w:rsidRPr="00ED1F31">
              <w:rPr>
                <w:rFonts w:ascii="Arial" w:hAnsi="Arial"/>
                <w:sz w:val="20"/>
              </w:rPr>
              <w:t>Total</w:t>
            </w:r>
          </w:p>
        </w:tc>
        <w:tc>
          <w:tcPr>
            <w:tcW w:w="991"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124</w:t>
            </w:r>
          </w:p>
        </w:tc>
        <w:tc>
          <w:tcPr>
            <w:tcW w:w="11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A113DC" w:rsidRPr="00ED1F31" w:rsidRDefault="00F46E39" w:rsidP="00043FEB">
            <w:pPr>
              <w:pStyle w:val="TableParagraph"/>
              <w:ind w:right="103"/>
              <w:jc w:val="right"/>
              <w:rPr>
                <w:rFonts w:ascii="Arial" w:eastAsia="Arial" w:hAnsi="Arial" w:cs="Arial"/>
                <w:sz w:val="20"/>
                <w:szCs w:val="20"/>
              </w:rPr>
            </w:pPr>
            <w:r w:rsidRPr="00ED1F31">
              <w:rPr>
                <w:rFonts w:ascii="Arial" w:hAnsi="Arial"/>
                <w:sz w:val="20"/>
              </w:rPr>
              <w:t>0.451</w:t>
            </w:r>
          </w:p>
        </w:tc>
        <w:tc>
          <w:tcPr>
            <w:tcW w:w="113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A113DC" w:rsidRPr="00ED1F31" w:rsidRDefault="00F46E39" w:rsidP="00043FEB">
            <w:pPr>
              <w:pStyle w:val="TableParagraph"/>
              <w:ind w:right="106"/>
              <w:jc w:val="right"/>
              <w:rPr>
                <w:rFonts w:ascii="Arial" w:eastAsia="Arial" w:hAnsi="Arial" w:cs="Arial"/>
                <w:sz w:val="20"/>
                <w:szCs w:val="20"/>
              </w:rPr>
            </w:pPr>
            <w:r w:rsidRPr="00ED1F31">
              <w:rPr>
                <w:rFonts w:ascii="Arial" w:hAnsi="Arial"/>
                <w:sz w:val="20"/>
              </w:rPr>
              <w:t>0.200</w:t>
            </w:r>
          </w:p>
        </w:tc>
      </w:tr>
    </w:tbl>
    <w:p w:rsidR="00A113DC" w:rsidRPr="00ED1F31" w:rsidRDefault="00F46E39" w:rsidP="005977C3">
      <w:pPr>
        <w:spacing w:before="400"/>
        <w:ind w:left="180"/>
        <w:rPr>
          <w:rFonts w:eastAsia="Calibri" w:cs="Calibri"/>
          <w:sz w:val="20"/>
          <w:szCs w:val="20"/>
        </w:rPr>
      </w:pPr>
      <w:r w:rsidRPr="00ED1F31">
        <w:rPr>
          <w:rFonts w:eastAsia="Calibri" w:cs="Calibri"/>
          <w:noProof/>
          <w:sz w:val="20"/>
          <w:szCs w:val="20"/>
          <w:lang w:val="en-US" w:eastAsia="zh-CN" w:bidi="ar-SA"/>
        </w:rPr>
        <w:drawing>
          <wp:inline distT="0" distB="0" distL="0" distR="0">
            <wp:extent cx="5382895" cy="3975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2743"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82895" cy="3975735"/>
                    </a:xfrm>
                    <a:prstGeom prst="rect">
                      <a:avLst/>
                    </a:prstGeom>
                    <a:noFill/>
                    <a:ln>
                      <a:noFill/>
                    </a:ln>
                  </pic:spPr>
                </pic:pic>
              </a:graphicData>
            </a:graphic>
          </wp:inline>
        </w:drawing>
      </w:r>
    </w:p>
    <w:tbl>
      <w:tblPr>
        <w:tblStyle w:val="TableGrid"/>
        <w:tblW w:w="9462" w:type="dxa"/>
        <w:tblLook w:val="04A0" w:firstRow="1" w:lastRow="0" w:firstColumn="1" w:lastColumn="0" w:noHBand="0" w:noVBand="1"/>
      </w:tblPr>
      <w:tblGrid>
        <w:gridCol w:w="4731"/>
        <w:gridCol w:w="4731"/>
      </w:tblGrid>
      <w:tr w:rsidR="00BD7B71" w:rsidTr="005977C3">
        <w:tc>
          <w:tcPr>
            <w:tcW w:w="4731" w:type="dxa"/>
          </w:tcPr>
          <w:p w:rsidR="005977C3" w:rsidRPr="00587420" w:rsidRDefault="00F46E39" w:rsidP="005977C3">
            <w:pPr>
              <w:rPr>
                <w:lang w:val="fr-BE"/>
              </w:rPr>
            </w:pPr>
            <w:r w:rsidRPr="00587420">
              <w:rPr>
                <w:lang w:val="fr-BE"/>
              </w:rPr>
              <w:t>Nombre total de passages à niveau</w:t>
            </w:r>
          </w:p>
        </w:tc>
        <w:tc>
          <w:tcPr>
            <w:tcW w:w="4731" w:type="dxa"/>
          </w:tcPr>
          <w:p w:rsidR="005977C3" w:rsidRPr="00ED1F31" w:rsidRDefault="00F46E39" w:rsidP="005977C3">
            <w:r w:rsidRPr="00ED1F31">
              <w:t>Total number of level crossings</w:t>
            </w:r>
          </w:p>
        </w:tc>
      </w:tr>
      <w:tr w:rsidR="00BD7B71" w:rsidTr="005977C3">
        <w:tc>
          <w:tcPr>
            <w:tcW w:w="4731" w:type="dxa"/>
          </w:tcPr>
          <w:p w:rsidR="005977C3" w:rsidRPr="00587420" w:rsidRDefault="00F46E39" w:rsidP="005977C3">
            <w:pPr>
              <w:rPr>
                <w:lang w:val="fr-BE"/>
              </w:rPr>
            </w:pPr>
            <w:r w:rsidRPr="00587420">
              <w:rPr>
                <w:lang w:val="fr-BE"/>
              </w:rPr>
              <w:t>Nombre total de passages à niveau actifs</w:t>
            </w:r>
          </w:p>
        </w:tc>
        <w:tc>
          <w:tcPr>
            <w:tcW w:w="4731" w:type="dxa"/>
          </w:tcPr>
          <w:p w:rsidR="005977C3" w:rsidRPr="00ED1F31" w:rsidRDefault="00F46E39" w:rsidP="005977C3">
            <w:r w:rsidRPr="00ED1F31">
              <w:t>Total number of actively protected level crossings</w:t>
            </w:r>
          </w:p>
        </w:tc>
      </w:tr>
      <w:tr w:rsidR="00BD7B71" w:rsidTr="005977C3">
        <w:tc>
          <w:tcPr>
            <w:tcW w:w="4731" w:type="dxa"/>
          </w:tcPr>
          <w:p w:rsidR="005977C3" w:rsidRPr="00587420" w:rsidRDefault="00F46E39" w:rsidP="005977C3">
            <w:pPr>
              <w:rPr>
                <w:lang w:val="fr-BE"/>
              </w:rPr>
            </w:pPr>
            <w:r w:rsidRPr="00587420">
              <w:rPr>
                <w:lang w:val="fr-BE"/>
              </w:rPr>
              <w:t>Nombre total de passages à niveau passifs</w:t>
            </w:r>
          </w:p>
        </w:tc>
        <w:tc>
          <w:tcPr>
            <w:tcW w:w="4731" w:type="dxa"/>
          </w:tcPr>
          <w:p w:rsidR="005977C3" w:rsidRPr="00ED1F31" w:rsidRDefault="00F46E39" w:rsidP="005977C3">
            <w:r w:rsidRPr="00ED1F31">
              <w:t xml:space="preserve">Total number of passively protected level </w:t>
            </w:r>
            <w:r w:rsidRPr="00ED1F31">
              <w:t>crossings</w:t>
            </w:r>
          </w:p>
        </w:tc>
      </w:tr>
      <w:tr w:rsidR="00BD7B71" w:rsidTr="005977C3">
        <w:tc>
          <w:tcPr>
            <w:tcW w:w="4731" w:type="dxa"/>
          </w:tcPr>
          <w:p w:rsidR="005977C3" w:rsidRPr="00587420" w:rsidRDefault="00F46E39" w:rsidP="005977C3">
            <w:pPr>
              <w:rPr>
                <w:lang w:val="fr-BE"/>
              </w:rPr>
            </w:pPr>
            <w:r w:rsidRPr="00587420">
              <w:rPr>
                <w:lang w:val="fr-BE"/>
              </w:rPr>
              <w:t>Pourcentage 2015 passages à niveau actifs / passifs</w:t>
            </w:r>
          </w:p>
        </w:tc>
        <w:tc>
          <w:tcPr>
            <w:tcW w:w="4731" w:type="dxa"/>
          </w:tcPr>
          <w:p w:rsidR="005977C3" w:rsidRPr="00ED1F31" w:rsidRDefault="00F46E39" w:rsidP="005977C3">
            <w:r w:rsidRPr="00ED1F31">
              <w:t>Percentage of actively and passively protected level crossings in 2015</w:t>
            </w:r>
          </w:p>
        </w:tc>
      </w:tr>
      <w:tr w:rsidR="00BD7B71" w:rsidTr="005977C3">
        <w:tc>
          <w:tcPr>
            <w:tcW w:w="4731" w:type="dxa"/>
          </w:tcPr>
          <w:p w:rsidR="005977C3" w:rsidRPr="00ED1F31" w:rsidRDefault="00F46E39" w:rsidP="005977C3">
            <w:r w:rsidRPr="00ED1F31">
              <w:t>PN passif 20,2%</w:t>
            </w:r>
          </w:p>
        </w:tc>
        <w:tc>
          <w:tcPr>
            <w:tcW w:w="4731" w:type="dxa"/>
          </w:tcPr>
          <w:p w:rsidR="005977C3" w:rsidRPr="00ED1F31" w:rsidRDefault="00F46E39" w:rsidP="005977C3">
            <w:r w:rsidRPr="00ED1F31">
              <w:t>Passively protected LCs 20.2%</w:t>
            </w:r>
          </w:p>
        </w:tc>
      </w:tr>
      <w:tr w:rsidR="00BD7B71" w:rsidTr="005977C3">
        <w:tc>
          <w:tcPr>
            <w:tcW w:w="4731" w:type="dxa"/>
          </w:tcPr>
          <w:p w:rsidR="005977C3" w:rsidRPr="00ED1F31" w:rsidRDefault="00F46E39" w:rsidP="005977C3">
            <w:r w:rsidRPr="00ED1F31">
              <w:t>PN actif; 79,8%</w:t>
            </w:r>
          </w:p>
        </w:tc>
        <w:tc>
          <w:tcPr>
            <w:tcW w:w="4731" w:type="dxa"/>
          </w:tcPr>
          <w:p w:rsidR="005977C3" w:rsidRPr="00ED1F31" w:rsidRDefault="00F46E39" w:rsidP="005977C3">
            <w:r w:rsidRPr="00ED1F31">
              <w:t>Actively protected LCs 79.8%</w:t>
            </w:r>
          </w:p>
        </w:tc>
      </w:tr>
    </w:tbl>
    <w:p w:rsidR="00A113DC" w:rsidRPr="00ED1F31" w:rsidRDefault="00F46E39" w:rsidP="005729A3">
      <w:pPr>
        <w:pStyle w:val="Heading2-1"/>
        <w:pageBreakBefore/>
        <w:spacing w:before="0"/>
      </w:pPr>
      <w:r w:rsidRPr="00ED1F31">
        <w:t xml:space="preserve">Indicators relating to </w:t>
      </w:r>
      <w:r w:rsidRPr="00ED1F31">
        <w:t>safety management</w:t>
      </w:r>
    </w:p>
    <w:p w:rsidR="00A113DC" w:rsidRPr="00ED1F31" w:rsidRDefault="00A113DC">
      <w:pPr>
        <w:spacing w:before="1"/>
        <w:rPr>
          <w:rFonts w:eastAsia="Calibri" w:cs="Calibri"/>
          <w:sz w:val="16"/>
          <w:szCs w:val="16"/>
        </w:rPr>
      </w:pPr>
    </w:p>
    <w:p w:rsidR="00A113DC" w:rsidRPr="00ED1F31" w:rsidRDefault="00F46E39" w:rsidP="004701B0">
      <w:pPr>
        <w:pStyle w:val="BodyText"/>
      </w:pPr>
      <w:r w:rsidRPr="00ED1F31">
        <w:t>Internal audits performed by infrastructure managers and railway undertakings, as defined in the safety management system documentation. Total number of audits performed and percentage with respect to the audits required (and/or planned)</w:t>
      </w:r>
      <w:r w:rsidRPr="00ED1F31">
        <w:t>.</w:t>
      </w:r>
    </w:p>
    <w:p w:rsidR="00A113DC" w:rsidRPr="00ED1F31" w:rsidRDefault="00A113DC">
      <w:pPr>
        <w:rPr>
          <w:rFonts w:eastAsia="Calibri" w:cs="Calibri"/>
          <w:sz w:val="20"/>
          <w:szCs w:val="20"/>
        </w:rPr>
      </w:pPr>
    </w:p>
    <w:p w:rsidR="00A113DC" w:rsidRPr="00ED1F31" w:rsidRDefault="00A113DC">
      <w:pPr>
        <w:spacing w:before="7"/>
        <w:rPr>
          <w:rFonts w:eastAsia="Calibri" w:cs="Calibri"/>
          <w:sz w:val="12"/>
          <w:szCs w:val="12"/>
        </w:rPr>
      </w:pPr>
    </w:p>
    <w:tbl>
      <w:tblPr>
        <w:tblW w:w="0" w:type="auto"/>
        <w:tblInd w:w="575" w:type="dxa"/>
        <w:tblLayout w:type="fixed"/>
        <w:tblCellMar>
          <w:left w:w="0" w:type="dxa"/>
          <w:right w:w="0" w:type="dxa"/>
        </w:tblCellMar>
        <w:tblLook w:val="01E0" w:firstRow="1" w:lastRow="1" w:firstColumn="1" w:lastColumn="1" w:noHBand="0" w:noVBand="0"/>
      </w:tblPr>
      <w:tblGrid>
        <w:gridCol w:w="2520"/>
        <w:gridCol w:w="1020"/>
        <w:gridCol w:w="991"/>
        <w:gridCol w:w="1135"/>
        <w:gridCol w:w="991"/>
        <w:gridCol w:w="994"/>
        <w:gridCol w:w="991"/>
      </w:tblGrid>
      <w:tr w:rsidR="00BD7B71" w:rsidTr="00043FEB">
        <w:trPr>
          <w:trHeight w:hRule="exact" w:val="265"/>
        </w:trPr>
        <w:tc>
          <w:tcPr>
            <w:tcW w:w="252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Internal audits in 2015</w:t>
            </w:r>
          </w:p>
        </w:tc>
        <w:tc>
          <w:tcPr>
            <w:tcW w:w="1020"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CFL infrastructure manager</w:t>
            </w:r>
          </w:p>
        </w:tc>
        <w:tc>
          <w:tcPr>
            <w:tcW w:w="991"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CFL railway undertaking</w:t>
            </w:r>
          </w:p>
        </w:tc>
        <w:tc>
          <w:tcPr>
            <w:tcW w:w="1135"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CFLcargo</w:t>
            </w:r>
          </w:p>
        </w:tc>
        <w:tc>
          <w:tcPr>
            <w:tcW w:w="991"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spacing w:line="228" w:lineRule="exact"/>
              <w:ind w:left="0" w:right="0"/>
              <w:jc w:val="center"/>
              <w:rPr>
                <w:rFonts w:ascii="Arial" w:eastAsia="Arial" w:hAnsi="Arial" w:cs="Arial"/>
                <w:sz w:val="20"/>
                <w:szCs w:val="20"/>
              </w:rPr>
            </w:pPr>
            <w:r w:rsidRPr="00ED1F31">
              <w:rPr>
                <w:rFonts w:ascii="Arial" w:hAnsi="Arial"/>
                <w:sz w:val="20"/>
              </w:rPr>
              <w:t>LINEAS</w:t>
            </w:r>
          </w:p>
        </w:tc>
        <w:tc>
          <w:tcPr>
            <w:tcW w:w="994"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spacing w:line="228" w:lineRule="exact"/>
              <w:ind w:left="0" w:right="0"/>
              <w:jc w:val="center"/>
              <w:rPr>
                <w:rFonts w:ascii="Arial" w:eastAsia="Arial" w:hAnsi="Arial" w:cs="Arial"/>
                <w:sz w:val="20"/>
                <w:szCs w:val="20"/>
              </w:rPr>
            </w:pPr>
            <w:r w:rsidRPr="00ED1F31">
              <w:rPr>
                <w:rFonts w:ascii="Arial" w:hAnsi="Arial"/>
                <w:sz w:val="20"/>
              </w:rPr>
              <w:t>SNCF</w:t>
            </w:r>
          </w:p>
        </w:tc>
        <w:tc>
          <w:tcPr>
            <w:tcW w:w="991" w:type="dxa"/>
            <w:tcBorders>
              <w:top w:val="single" w:sz="4" w:space="0" w:color="000000"/>
              <w:left w:val="single" w:sz="4" w:space="0" w:color="000000"/>
              <w:bottom w:val="single" w:sz="4" w:space="0" w:color="000000"/>
              <w:right w:val="single" w:sz="4" w:space="0" w:color="000000"/>
            </w:tcBorders>
            <w:shd w:val="clear" w:color="auto" w:fill="C1C1C1"/>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Total</w:t>
            </w:r>
          </w:p>
        </w:tc>
      </w:tr>
      <w:tr w:rsidR="00BD7B71" w:rsidTr="00043FEB">
        <w:trPr>
          <w:trHeight w:hRule="exact" w:val="264"/>
        </w:trPr>
        <w:tc>
          <w:tcPr>
            <w:tcW w:w="25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Number planned</w:t>
            </w:r>
          </w:p>
        </w:tc>
        <w:tc>
          <w:tcPr>
            <w:tcW w:w="10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30</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192</w:t>
            </w:r>
          </w:p>
        </w:tc>
        <w:tc>
          <w:tcPr>
            <w:tcW w:w="1135"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24</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left="0" w:right="0"/>
              <w:jc w:val="center"/>
              <w:rPr>
                <w:rFonts w:ascii="Arial" w:eastAsia="Arial" w:hAnsi="Arial" w:cs="Arial"/>
                <w:sz w:val="20"/>
                <w:szCs w:val="20"/>
              </w:rPr>
            </w:pPr>
            <w:r w:rsidRPr="00ED1F31">
              <w:rPr>
                <w:rFonts w:ascii="Arial" w:hAnsi="Arial"/>
                <w:sz w:val="20"/>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left="0" w:right="0"/>
              <w:jc w:val="center"/>
              <w:rPr>
                <w:rFonts w:ascii="Arial" w:eastAsia="Arial" w:hAnsi="Arial" w:cs="Arial"/>
                <w:sz w:val="20"/>
                <w:szCs w:val="20"/>
              </w:rPr>
            </w:pPr>
            <w:r w:rsidRPr="00ED1F31">
              <w:rPr>
                <w:rFonts w:ascii="Arial" w:hAnsi="Arial"/>
                <w:sz w:val="20"/>
              </w:rPr>
              <w:t>0</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246</w:t>
            </w:r>
          </w:p>
        </w:tc>
      </w:tr>
      <w:tr w:rsidR="00BD7B71" w:rsidTr="00043FEB">
        <w:trPr>
          <w:trHeight w:hRule="exact" w:val="266"/>
        </w:trPr>
        <w:tc>
          <w:tcPr>
            <w:tcW w:w="25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Number performed</w:t>
            </w:r>
          </w:p>
        </w:tc>
        <w:tc>
          <w:tcPr>
            <w:tcW w:w="1020"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53</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237</w:t>
            </w:r>
          </w:p>
        </w:tc>
        <w:tc>
          <w:tcPr>
            <w:tcW w:w="1135"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24</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left="0" w:right="0"/>
              <w:jc w:val="center"/>
              <w:rPr>
                <w:rFonts w:ascii="Arial" w:eastAsia="Arial" w:hAnsi="Arial" w:cs="Arial"/>
                <w:sz w:val="20"/>
                <w:szCs w:val="20"/>
              </w:rPr>
            </w:pPr>
            <w:r w:rsidRPr="00ED1F31">
              <w:rPr>
                <w:rFonts w:ascii="Arial" w:hAnsi="Arial"/>
                <w:sz w:val="20"/>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spacing w:line="227" w:lineRule="exact"/>
              <w:ind w:left="0" w:right="0"/>
              <w:jc w:val="center"/>
              <w:rPr>
                <w:rFonts w:ascii="Arial" w:eastAsia="Arial" w:hAnsi="Arial" w:cs="Arial"/>
                <w:sz w:val="20"/>
                <w:szCs w:val="20"/>
              </w:rPr>
            </w:pPr>
            <w:r w:rsidRPr="00ED1F31">
              <w:rPr>
                <w:rFonts w:ascii="Arial" w:hAnsi="Arial"/>
                <w:sz w:val="20"/>
              </w:rPr>
              <w:t>0</w:t>
            </w:r>
          </w:p>
        </w:tc>
        <w:tc>
          <w:tcPr>
            <w:tcW w:w="991" w:type="dxa"/>
            <w:tcBorders>
              <w:top w:val="single" w:sz="4" w:space="0" w:color="000000"/>
              <w:left w:val="single" w:sz="4" w:space="0" w:color="000000"/>
              <w:bottom w:val="single" w:sz="4" w:space="0" w:color="000000"/>
              <w:right w:val="single" w:sz="4" w:space="0" w:color="000000"/>
            </w:tcBorders>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314</w:t>
            </w:r>
          </w:p>
        </w:tc>
      </w:tr>
      <w:tr w:rsidR="00BD7B71" w:rsidTr="00043FEB">
        <w:trPr>
          <w:trHeight w:hRule="exact" w:val="264"/>
        </w:trPr>
        <w:tc>
          <w:tcPr>
            <w:tcW w:w="2520"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F46E39" w:rsidP="00043FEB">
            <w:pPr>
              <w:pStyle w:val="TableParagraph"/>
              <w:ind w:left="64"/>
              <w:rPr>
                <w:rFonts w:ascii="Arial" w:eastAsia="Arial" w:hAnsi="Arial" w:cs="Arial"/>
                <w:sz w:val="20"/>
                <w:szCs w:val="20"/>
              </w:rPr>
            </w:pPr>
            <w:r w:rsidRPr="00ED1F31">
              <w:rPr>
                <w:rFonts w:ascii="Arial" w:hAnsi="Arial"/>
                <w:sz w:val="20"/>
              </w:rPr>
              <w:t>Percentage performed</w:t>
            </w:r>
          </w:p>
        </w:tc>
        <w:tc>
          <w:tcPr>
            <w:tcW w:w="1020"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176%</w:t>
            </w:r>
          </w:p>
        </w:tc>
        <w:tc>
          <w:tcPr>
            <w:tcW w:w="991"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123%</w:t>
            </w:r>
          </w:p>
        </w:tc>
        <w:tc>
          <w:tcPr>
            <w:tcW w:w="1135"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100%</w:t>
            </w:r>
          </w:p>
        </w:tc>
        <w:tc>
          <w:tcPr>
            <w:tcW w:w="991"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A113DC" w:rsidP="00043FEB">
            <w:pPr>
              <w:ind w:left="0" w:right="0"/>
              <w:jc w:val="center"/>
              <w:rPr>
                <w:rFonts w:hAnsi="Arial"/>
              </w:rPr>
            </w:pPr>
          </w:p>
        </w:tc>
        <w:tc>
          <w:tcPr>
            <w:tcW w:w="994"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A113DC" w:rsidP="00043FEB">
            <w:pPr>
              <w:ind w:left="0" w:right="0"/>
              <w:jc w:val="center"/>
              <w:rPr>
                <w:rFonts w:hAnsi="Arial"/>
              </w:rPr>
            </w:pPr>
          </w:p>
        </w:tc>
        <w:tc>
          <w:tcPr>
            <w:tcW w:w="991" w:type="dxa"/>
            <w:tcBorders>
              <w:top w:val="single" w:sz="4" w:space="0" w:color="000000"/>
              <w:left w:val="single" w:sz="4" w:space="0" w:color="000000"/>
              <w:bottom w:val="single" w:sz="4" w:space="0" w:color="000000"/>
              <w:right w:val="single" w:sz="4" w:space="0" w:color="000000"/>
            </w:tcBorders>
            <w:shd w:val="clear" w:color="auto" w:fill="8CAF47"/>
            <w:vAlign w:val="center"/>
          </w:tcPr>
          <w:p w:rsidR="00A113DC" w:rsidRPr="00ED1F31" w:rsidRDefault="00F46E39" w:rsidP="00043FEB">
            <w:pPr>
              <w:pStyle w:val="TableParagraph"/>
              <w:ind w:left="0" w:right="0"/>
              <w:jc w:val="center"/>
              <w:rPr>
                <w:rFonts w:ascii="Arial" w:eastAsia="Arial" w:hAnsi="Arial" w:cs="Arial"/>
                <w:sz w:val="20"/>
                <w:szCs w:val="20"/>
              </w:rPr>
            </w:pPr>
            <w:r w:rsidRPr="00ED1F31">
              <w:rPr>
                <w:rFonts w:ascii="Arial" w:hAnsi="Arial"/>
                <w:sz w:val="20"/>
              </w:rPr>
              <w:t>120%</w:t>
            </w:r>
          </w:p>
        </w:tc>
      </w:tr>
    </w:tbl>
    <w:p w:rsidR="00A113DC" w:rsidRPr="00ED1F31" w:rsidRDefault="00F46E39" w:rsidP="005977C3">
      <w:pPr>
        <w:spacing w:before="400"/>
        <w:ind w:left="540"/>
        <w:rPr>
          <w:rFonts w:eastAsia="Calibri" w:cs="Calibri"/>
          <w:sz w:val="21"/>
          <w:szCs w:val="21"/>
        </w:rPr>
      </w:pPr>
      <w:r w:rsidRPr="00ED1F31">
        <w:rPr>
          <w:rFonts w:eastAsia="Calibri" w:cs="Calibri"/>
          <w:noProof/>
          <w:sz w:val="21"/>
          <w:szCs w:val="21"/>
          <w:lang w:val="en-US" w:eastAsia="zh-CN" w:bidi="ar-SA"/>
        </w:rPr>
        <w:drawing>
          <wp:inline distT="0" distB="0" distL="0" distR="0">
            <wp:extent cx="2894330" cy="1979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20713" name="Picture 1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4330" cy="1979930"/>
                    </a:xfrm>
                    <a:prstGeom prst="rect">
                      <a:avLst/>
                    </a:prstGeom>
                    <a:noFill/>
                    <a:ln>
                      <a:noFill/>
                    </a:ln>
                  </pic:spPr>
                </pic:pic>
              </a:graphicData>
            </a:graphic>
          </wp:inline>
        </w:drawing>
      </w:r>
    </w:p>
    <w:p w:rsidR="005977C3" w:rsidRPr="00ED1F31" w:rsidRDefault="005977C3" w:rsidP="005977C3">
      <w:pPr>
        <w:ind w:left="540"/>
        <w:rPr>
          <w:rFonts w:eastAsia="Calibri" w:cs="Calibri"/>
          <w:sz w:val="21"/>
          <w:szCs w:val="21"/>
        </w:rPr>
      </w:pPr>
    </w:p>
    <w:tbl>
      <w:tblPr>
        <w:tblStyle w:val="TableGrid"/>
        <w:tblW w:w="9462" w:type="dxa"/>
        <w:tblLook w:val="04A0" w:firstRow="1" w:lastRow="0" w:firstColumn="1" w:lastColumn="0" w:noHBand="0" w:noVBand="1"/>
      </w:tblPr>
      <w:tblGrid>
        <w:gridCol w:w="4731"/>
        <w:gridCol w:w="4731"/>
      </w:tblGrid>
      <w:tr w:rsidR="00BD7B71" w:rsidTr="005977C3">
        <w:tc>
          <w:tcPr>
            <w:tcW w:w="4731" w:type="dxa"/>
          </w:tcPr>
          <w:p w:rsidR="005977C3" w:rsidRPr="00587420" w:rsidRDefault="00F46E39" w:rsidP="005977C3">
            <w:pPr>
              <w:rPr>
                <w:lang w:val="fr-BE"/>
              </w:rPr>
            </w:pPr>
            <w:r w:rsidRPr="00587420">
              <w:rPr>
                <w:lang w:val="fr-BE"/>
              </w:rPr>
              <w:t>Pourcentage réalisé</w:t>
            </w:r>
            <w:r w:rsidRPr="00587420">
              <w:rPr>
                <w:lang w:val="fr-BE"/>
              </w:rPr>
              <w:t xml:space="preserve"> par rapport au prévu</w:t>
            </w:r>
          </w:p>
        </w:tc>
        <w:tc>
          <w:tcPr>
            <w:tcW w:w="4731" w:type="dxa"/>
          </w:tcPr>
          <w:p w:rsidR="005977C3" w:rsidRPr="00ED1F31" w:rsidRDefault="00F46E39" w:rsidP="005977C3">
            <w:r w:rsidRPr="00ED1F31">
              <w:t>Percentage of planned audits performed</w:t>
            </w:r>
          </w:p>
        </w:tc>
      </w:tr>
    </w:tbl>
    <w:p w:rsidR="00A113DC" w:rsidRPr="00ED1F31" w:rsidRDefault="00A113DC">
      <w:pPr>
        <w:rPr>
          <w:rFonts w:eastAsia="Calibri" w:cs="Calibri"/>
          <w:sz w:val="20"/>
          <w:szCs w:val="20"/>
        </w:rPr>
      </w:pPr>
    </w:p>
    <w:p w:rsidR="005977C3" w:rsidRPr="00ED1F31" w:rsidRDefault="005977C3">
      <w:pPr>
        <w:rPr>
          <w:rFonts w:eastAsia="Calibri" w:cs="Calibri"/>
          <w:sz w:val="20"/>
          <w:szCs w:val="20"/>
        </w:rPr>
      </w:pPr>
    </w:p>
    <w:p w:rsidR="005977C3" w:rsidRPr="00ED1F31" w:rsidRDefault="005977C3">
      <w:pPr>
        <w:rPr>
          <w:rFonts w:eastAsia="Calibri" w:cs="Calibri"/>
          <w:sz w:val="20"/>
          <w:szCs w:val="20"/>
        </w:rPr>
        <w:sectPr w:rsidR="005977C3" w:rsidRPr="00ED1F31" w:rsidSect="00205240">
          <w:pgSz w:w="11910" w:h="16840"/>
          <w:pgMar w:top="1397" w:right="1325" w:bottom="734" w:left="1339" w:header="0" w:footer="546" w:gutter="0"/>
          <w:cols w:space="720"/>
        </w:sectPr>
      </w:pPr>
    </w:p>
    <w:p w:rsidR="00A113DC" w:rsidRPr="00ED1F31" w:rsidRDefault="00F46E39" w:rsidP="00B25BB5">
      <w:pPr>
        <w:pStyle w:val="Heading1"/>
      </w:pPr>
      <w:bookmarkStart w:id="136" w:name="ANNEXE_B"/>
      <w:bookmarkStart w:id="137" w:name="_bookmark34"/>
      <w:bookmarkStart w:id="138" w:name="_Toc500406964"/>
      <w:bookmarkStart w:id="139" w:name="_Toc505328217"/>
      <w:bookmarkEnd w:id="136"/>
      <w:bookmarkEnd w:id="137"/>
      <w:r w:rsidRPr="00ED1F31">
        <w:t>ANNEX B</w:t>
      </w:r>
      <w:bookmarkEnd w:id="138"/>
      <w:bookmarkEnd w:id="139"/>
    </w:p>
    <w:p w:rsidR="00A113DC" w:rsidRPr="00ED1F31" w:rsidRDefault="00F46E39" w:rsidP="00205240">
      <w:pPr>
        <w:pStyle w:val="Heading2"/>
        <w:rPr>
          <w:b w:val="0"/>
          <w:color w:val="auto"/>
        </w:rPr>
      </w:pPr>
      <w:bookmarkStart w:id="140" w:name="_bookmark35"/>
      <w:bookmarkStart w:id="141" w:name="_Toc500406965"/>
      <w:bookmarkStart w:id="142" w:name="_Toc505328218"/>
      <w:bookmarkEnd w:id="140"/>
      <w:r w:rsidRPr="00ED1F31">
        <w:rPr>
          <w:b w:val="0"/>
          <w:color w:val="auto"/>
        </w:rPr>
        <w:t>CHANGES TO LEGISLATION AND REGULATIONS – Table 1</w:t>
      </w:r>
      <w:bookmarkEnd w:id="141"/>
      <w:bookmarkEnd w:id="142"/>
    </w:p>
    <w:p w:rsidR="00A113DC" w:rsidRPr="00ED1F31" w:rsidRDefault="00A113DC">
      <w:pPr>
        <w:spacing w:before="5"/>
        <w:rPr>
          <w:rFonts w:eastAsia="Calibri" w:cs="Calibri"/>
          <w:sz w:val="20"/>
          <w:szCs w:val="20"/>
        </w:rPr>
      </w:pPr>
    </w:p>
    <w:tbl>
      <w:tblPr>
        <w:tblW w:w="1428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2"/>
        <w:gridCol w:w="1560"/>
        <w:gridCol w:w="6946"/>
        <w:gridCol w:w="2834"/>
      </w:tblGrid>
      <w:tr w:rsidR="00BD7B71" w:rsidTr="00B25BB5">
        <w:trPr>
          <w:trHeight w:hRule="exact" w:val="883"/>
        </w:trPr>
        <w:tc>
          <w:tcPr>
            <w:tcW w:w="2942" w:type="dxa"/>
            <w:vAlign w:val="center"/>
          </w:tcPr>
          <w:p w:rsidR="00A113DC" w:rsidRPr="00ED1F31" w:rsidRDefault="00F46E39" w:rsidP="00043FEB">
            <w:pPr>
              <w:pStyle w:val="TableParagraph"/>
              <w:ind w:left="103" w:right="173"/>
              <w:rPr>
                <w:rFonts w:eastAsia="Calibri" w:cs="Calibri"/>
                <w:szCs w:val="24"/>
              </w:rPr>
            </w:pPr>
            <w:r w:rsidRPr="00ED1F31">
              <w:rPr>
                <w:b/>
              </w:rPr>
              <w:t>AMENDMENTS TO THE RSD</w:t>
            </w:r>
          </w:p>
        </w:tc>
        <w:tc>
          <w:tcPr>
            <w:tcW w:w="1560" w:type="dxa"/>
            <w:vAlign w:val="center"/>
          </w:tcPr>
          <w:p w:rsidR="00A113DC" w:rsidRPr="00ED1F31" w:rsidRDefault="00F46E39" w:rsidP="00043FEB">
            <w:pPr>
              <w:pStyle w:val="TableParagraph"/>
              <w:spacing w:line="278" w:lineRule="auto"/>
              <w:ind w:left="103" w:right="421"/>
              <w:rPr>
                <w:rFonts w:eastAsia="Calibri" w:cs="Calibri"/>
                <w:szCs w:val="24"/>
              </w:rPr>
            </w:pPr>
            <w:r w:rsidRPr="00ED1F31">
              <w:rPr>
                <w:b/>
              </w:rPr>
              <w:t>Transposed (Y/N)</w:t>
            </w:r>
          </w:p>
        </w:tc>
        <w:tc>
          <w:tcPr>
            <w:tcW w:w="6946" w:type="dxa"/>
            <w:vAlign w:val="center"/>
          </w:tcPr>
          <w:p w:rsidR="00A113DC" w:rsidRPr="00ED1F31" w:rsidRDefault="00F46E39" w:rsidP="00043FEB">
            <w:pPr>
              <w:pStyle w:val="TableParagraph"/>
              <w:ind w:left="103"/>
              <w:rPr>
                <w:rFonts w:eastAsia="Calibri" w:cs="Calibri"/>
                <w:szCs w:val="24"/>
              </w:rPr>
            </w:pPr>
            <w:r w:rsidRPr="00ED1F31">
              <w:rPr>
                <w:b/>
              </w:rPr>
              <w:t>Legal reference</w:t>
            </w:r>
          </w:p>
        </w:tc>
        <w:tc>
          <w:tcPr>
            <w:tcW w:w="2834" w:type="dxa"/>
            <w:vAlign w:val="center"/>
          </w:tcPr>
          <w:p w:rsidR="00A113DC" w:rsidRPr="00ED1F31" w:rsidRDefault="00F46E39" w:rsidP="00043FEB">
            <w:pPr>
              <w:pStyle w:val="TableParagraph"/>
              <w:ind w:left="103" w:right="170"/>
              <w:rPr>
                <w:rFonts w:eastAsia="Calibri" w:cs="Calibri"/>
                <w:szCs w:val="24"/>
              </w:rPr>
            </w:pPr>
            <w:r w:rsidRPr="00ED1F31">
              <w:rPr>
                <w:b/>
              </w:rPr>
              <w:t>Date of entry into force</w:t>
            </w:r>
          </w:p>
        </w:tc>
      </w:tr>
      <w:tr w:rsidR="00BD7B71" w:rsidTr="00B25BB5">
        <w:trPr>
          <w:trHeight w:hRule="exact" w:val="2573"/>
        </w:trPr>
        <w:tc>
          <w:tcPr>
            <w:tcW w:w="2942" w:type="dxa"/>
          </w:tcPr>
          <w:p w:rsidR="00A113DC" w:rsidRPr="00ED1F31" w:rsidRDefault="00F46E39">
            <w:pPr>
              <w:pStyle w:val="TableParagraph"/>
              <w:spacing w:before="1"/>
              <w:ind w:left="103"/>
              <w:rPr>
                <w:rFonts w:eastAsia="Calibri" w:cs="Calibri"/>
              </w:rPr>
            </w:pPr>
            <w:r w:rsidRPr="00ED1F31">
              <w:rPr>
                <w:sz w:val="22"/>
              </w:rPr>
              <w:t>Directive 2008/57/EC</w:t>
            </w:r>
          </w:p>
        </w:tc>
        <w:tc>
          <w:tcPr>
            <w:tcW w:w="1560" w:type="dxa"/>
          </w:tcPr>
          <w:p w:rsidR="00A113DC" w:rsidRPr="00ED1F31" w:rsidRDefault="00F46E39">
            <w:pPr>
              <w:pStyle w:val="TableParagraph"/>
              <w:spacing w:before="1"/>
              <w:ind w:left="103"/>
              <w:rPr>
                <w:rFonts w:eastAsia="Calibri" w:cs="Calibri"/>
              </w:rPr>
            </w:pPr>
            <w:r w:rsidRPr="00ED1F31">
              <w:rPr>
                <w:sz w:val="22"/>
              </w:rPr>
              <w:t>Y</w:t>
            </w:r>
          </w:p>
        </w:tc>
        <w:tc>
          <w:tcPr>
            <w:tcW w:w="6946" w:type="dxa"/>
          </w:tcPr>
          <w:p w:rsidR="00A113DC" w:rsidRPr="00ED1F31" w:rsidRDefault="00F46E39" w:rsidP="00F9329B">
            <w:pPr>
              <w:pStyle w:val="TableParagraph"/>
              <w:spacing w:line="276" w:lineRule="auto"/>
              <w:ind w:left="103" w:right="130"/>
              <w:rPr>
                <w:rFonts w:eastAsia="Calibri" w:cs="Calibri"/>
              </w:rPr>
            </w:pPr>
            <w:r w:rsidRPr="00ED1F31">
              <w:rPr>
                <w:sz w:val="22"/>
              </w:rPr>
              <w:t xml:space="preserve">Act of </w:t>
            </w:r>
            <w:r w:rsidRPr="00ED1F31">
              <w:rPr>
                <w:sz w:val="22"/>
              </w:rPr>
              <w:t>22 July 2009 on safety on the Community’s railways (Railway Safety Directive)</w:t>
            </w:r>
          </w:p>
          <w:p w:rsidR="00A113DC" w:rsidRPr="00ED1F31" w:rsidRDefault="00F46E39" w:rsidP="00F9329B">
            <w:pPr>
              <w:pStyle w:val="TableParagraph"/>
              <w:spacing w:before="197" w:line="276" w:lineRule="auto"/>
              <w:ind w:left="103" w:right="130"/>
              <w:jc w:val="both"/>
              <w:rPr>
                <w:rFonts w:eastAsia="Calibri" w:cs="Calibri"/>
              </w:rPr>
            </w:pPr>
            <w:r w:rsidRPr="00ED1F31">
              <w:rPr>
                <w:sz w:val="22"/>
              </w:rPr>
              <w:t>As the transposition of Directive 2004/49/EC was effective from 27 July 2009 (date of publication in Mémorial A No 269 of the law of 22 July 2009 on railway safety), the transpos</w:t>
            </w:r>
            <w:r w:rsidRPr="00ED1F31">
              <w:rPr>
                <w:sz w:val="22"/>
              </w:rPr>
              <w:t>ition took account of Article 40 of the Interoperability Directive, repealing Article 14 of Directive 2004/49/EC.</w:t>
            </w:r>
          </w:p>
        </w:tc>
        <w:tc>
          <w:tcPr>
            <w:tcW w:w="2834" w:type="dxa"/>
          </w:tcPr>
          <w:p w:rsidR="00A113DC" w:rsidRPr="00ED1F31" w:rsidRDefault="00F46E39" w:rsidP="00E81E51">
            <w:pPr>
              <w:pStyle w:val="TableParagraph"/>
              <w:tabs>
                <w:tab w:val="left" w:pos="2834"/>
              </w:tabs>
              <w:spacing w:line="276" w:lineRule="auto"/>
              <w:ind w:left="103" w:right="-12"/>
              <w:rPr>
                <w:rFonts w:eastAsia="Calibri" w:cs="Calibri"/>
              </w:rPr>
            </w:pPr>
            <w:r w:rsidRPr="00ED1F31">
              <w:rPr>
                <w:sz w:val="22"/>
              </w:rPr>
              <w:t>Publication in the Official Gazette – Mémorial A No 269 of 27 July 2009</w:t>
            </w:r>
          </w:p>
        </w:tc>
      </w:tr>
      <w:tr w:rsidR="00BD7B71" w:rsidTr="00B25BB5">
        <w:trPr>
          <w:trHeight w:hRule="exact" w:val="1445"/>
        </w:trPr>
        <w:tc>
          <w:tcPr>
            <w:tcW w:w="2942" w:type="dxa"/>
          </w:tcPr>
          <w:p w:rsidR="00A113DC" w:rsidRPr="00ED1F31" w:rsidRDefault="00F46E39">
            <w:pPr>
              <w:pStyle w:val="TableParagraph"/>
              <w:spacing w:line="268" w:lineRule="exact"/>
              <w:ind w:left="103"/>
              <w:rPr>
                <w:rFonts w:eastAsia="Calibri" w:cs="Calibri"/>
              </w:rPr>
            </w:pPr>
            <w:r w:rsidRPr="00ED1F31">
              <w:rPr>
                <w:sz w:val="22"/>
              </w:rPr>
              <w:t>Directive 2008/110/EC</w:t>
            </w:r>
          </w:p>
        </w:tc>
        <w:tc>
          <w:tcPr>
            <w:tcW w:w="1560" w:type="dxa"/>
          </w:tcPr>
          <w:p w:rsidR="00A113DC" w:rsidRPr="00ED1F31" w:rsidRDefault="00F46E39">
            <w:pPr>
              <w:pStyle w:val="TableParagraph"/>
              <w:spacing w:line="268" w:lineRule="exact"/>
              <w:ind w:left="103"/>
              <w:rPr>
                <w:rFonts w:eastAsia="Calibri" w:cs="Calibri"/>
              </w:rPr>
            </w:pPr>
            <w:r w:rsidRPr="00ED1F31">
              <w:rPr>
                <w:sz w:val="22"/>
              </w:rPr>
              <w:t>Y</w:t>
            </w:r>
          </w:p>
        </w:tc>
        <w:tc>
          <w:tcPr>
            <w:tcW w:w="6946" w:type="dxa"/>
          </w:tcPr>
          <w:p w:rsidR="00A113DC" w:rsidRPr="00ED1F31" w:rsidRDefault="00F46E39" w:rsidP="00F9329B">
            <w:pPr>
              <w:pStyle w:val="TableParagraph"/>
              <w:spacing w:line="276" w:lineRule="auto"/>
              <w:ind w:left="103" w:right="130"/>
              <w:jc w:val="both"/>
              <w:rPr>
                <w:rFonts w:eastAsia="Calibri" w:cs="Calibri"/>
              </w:rPr>
            </w:pPr>
            <w:r w:rsidRPr="00ED1F31">
              <w:rPr>
                <w:sz w:val="22"/>
              </w:rPr>
              <w:t xml:space="preserve">Law of 14 December 2011 transposing </w:t>
            </w:r>
            <w:r w:rsidRPr="00ED1F31">
              <w:rPr>
                <w:sz w:val="22"/>
              </w:rPr>
              <w:t>Directive 2008/110/EC of the European Parliament and of the Council of 16 December 2008 amending Directive 2004/49/EC on safety on the Community’s railways</w:t>
            </w:r>
          </w:p>
        </w:tc>
        <w:tc>
          <w:tcPr>
            <w:tcW w:w="2834" w:type="dxa"/>
          </w:tcPr>
          <w:p w:rsidR="00A113DC" w:rsidRPr="00ED1F31" w:rsidRDefault="00F46E39" w:rsidP="00E81E51">
            <w:pPr>
              <w:pStyle w:val="TableParagraph"/>
              <w:tabs>
                <w:tab w:val="left" w:pos="2834"/>
              </w:tabs>
              <w:spacing w:line="278" w:lineRule="auto"/>
              <w:ind w:left="103" w:right="-12"/>
              <w:rPr>
                <w:rFonts w:eastAsia="Calibri" w:cs="Calibri"/>
              </w:rPr>
            </w:pPr>
            <w:r w:rsidRPr="00ED1F31">
              <w:rPr>
                <w:sz w:val="22"/>
              </w:rPr>
              <w:t>Publication in the Official Gazette – Mémorial A No 273 of 27 December 2011</w:t>
            </w:r>
          </w:p>
        </w:tc>
      </w:tr>
      <w:tr w:rsidR="00BD7B71" w:rsidTr="00B25BB5">
        <w:trPr>
          <w:trHeight w:hRule="exact" w:val="2356"/>
        </w:trPr>
        <w:tc>
          <w:tcPr>
            <w:tcW w:w="2942" w:type="dxa"/>
          </w:tcPr>
          <w:p w:rsidR="00A113DC" w:rsidRPr="00ED1F31" w:rsidRDefault="00F46E39" w:rsidP="00E81E51">
            <w:pPr>
              <w:pStyle w:val="TableParagraph"/>
              <w:spacing w:line="278" w:lineRule="auto"/>
              <w:ind w:left="103" w:right="413"/>
              <w:rPr>
                <w:rFonts w:eastAsia="Calibri" w:cs="Calibri"/>
              </w:rPr>
            </w:pPr>
            <w:r w:rsidRPr="00ED1F31">
              <w:rPr>
                <w:sz w:val="22"/>
              </w:rPr>
              <w:t xml:space="preserve">Commission </w:t>
            </w:r>
            <w:r w:rsidRPr="00ED1F31">
              <w:rPr>
                <w:sz w:val="22"/>
              </w:rPr>
              <w:t>Directive 2009/149/EC</w:t>
            </w:r>
          </w:p>
        </w:tc>
        <w:tc>
          <w:tcPr>
            <w:tcW w:w="1560" w:type="dxa"/>
          </w:tcPr>
          <w:p w:rsidR="00A113DC" w:rsidRPr="00ED1F31" w:rsidRDefault="00F46E39">
            <w:pPr>
              <w:pStyle w:val="TableParagraph"/>
              <w:spacing w:line="268" w:lineRule="exact"/>
              <w:ind w:left="103"/>
              <w:rPr>
                <w:rFonts w:eastAsia="Calibri" w:cs="Calibri"/>
              </w:rPr>
            </w:pPr>
            <w:r w:rsidRPr="00ED1F31">
              <w:rPr>
                <w:sz w:val="22"/>
              </w:rPr>
              <w:t>Y</w:t>
            </w:r>
          </w:p>
        </w:tc>
        <w:tc>
          <w:tcPr>
            <w:tcW w:w="6946" w:type="dxa"/>
          </w:tcPr>
          <w:p w:rsidR="00A113DC" w:rsidRPr="00ED1F31" w:rsidRDefault="00F46E39" w:rsidP="00F9329B">
            <w:pPr>
              <w:pStyle w:val="TableParagraph"/>
              <w:spacing w:line="276" w:lineRule="auto"/>
              <w:ind w:left="103" w:right="130"/>
              <w:jc w:val="both"/>
              <w:rPr>
                <w:rFonts w:eastAsia="Calibri" w:cs="Calibri"/>
              </w:rPr>
            </w:pPr>
            <w:r w:rsidRPr="00ED1F31">
              <w:rPr>
                <w:sz w:val="22"/>
              </w:rPr>
              <w:t xml:space="preserve">This Directive amends the annex and its appendix concerning the common safety indicators and the common methods for calculating the cost of accidents. Since Luxembourg’s transposition of the basic text just refers to the annexes of </w:t>
            </w:r>
            <w:r w:rsidRPr="00ED1F31">
              <w:rPr>
                <w:sz w:val="22"/>
              </w:rPr>
              <w:t>the Directive, without including them in the actual text, these amendments will apply automatically in Luxembourg once Directive 2009/149/EC comes into force.</w:t>
            </w:r>
          </w:p>
        </w:tc>
        <w:tc>
          <w:tcPr>
            <w:tcW w:w="2834" w:type="dxa"/>
          </w:tcPr>
          <w:p w:rsidR="00A113DC" w:rsidRPr="00ED1F31" w:rsidRDefault="00F46E39" w:rsidP="00360386">
            <w:pPr>
              <w:pStyle w:val="TableParagraph"/>
              <w:spacing w:line="278" w:lineRule="auto"/>
              <w:ind w:left="103" w:right="-12"/>
              <w:rPr>
                <w:rFonts w:eastAsia="Calibri" w:cs="Calibri"/>
              </w:rPr>
            </w:pPr>
            <w:r w:rsidRPr="00ED1F31">
              <w:rPr>
                <w:sz w:val="22"/>
              </w:rPr>
              <w:t>The same as the Directive</w:t>
            </w:r>
          </w:p>
        </w:tc>
      </w:tr>
    </w:tbl>
    <w:p w:rsidR="00A113DC" w:rsidRPr="00ED1F31" w:rsidRDefault="00A113DC">
      <w:pPr>
        <w:spacing w:line="278" w:lineRule="auto"/>
        <w:rPr>
          <w:rFonts w:eastAsia="Calibri" w:cs="Calibri"/>
        </w:rPr>
        <w:sectPr w:rsidR="00A113DC" w:rsidRPr="00ED1F31" w:rsidSect="00AE790E">
          <w:pgSz w:w="16840" w:h="11910" w:orient="landscape"/>
          <w:pgMar w:top="1397" w:right="1325" w:bottom="734" w:left="1339" w:header="0" w:footer="546" w:gutter="0"/>
          <w:cols w:space="720"/>
        </w:sectPr>
      </w:pPr>
    </w:p>
    <w:p w:rsidR="00A113DC" w:rsidRPr="00ED1F31" w:rsidRDefault="00F46E39" w:rsidP="00205240">
      <w:pPr>
        <w:rPr>
          <w:rFonts w:eastAsia="Calibri" w:cs="Calibri"/>
          <w:sz w:val="28"/>
          <w:szCs w:val="28"/>
        </w:rPr>
      </w:pPr>
      <w:r w:rsidRPr="00ED1F31">
        <w:rPr>
          <w:b/>
          <w:color w:val="365F91"/>
          <w:sz w:val="28"/>
        </w:rPr>
        <w:t>ANNEX B</w:t>
      </w:r>
    </w:p>
    <w:p w:rsidR="00A113DC" w:rsidRPr="00ED1F31" w:rsidRDefault="00F46E39" w:rsidP="00EA52A7">
      <w:pPr>
        <w:spacing w:before="200"/>
        <w:rPr>
          <w:sz w:val="28"/>
          <w:szCs w:val="28"/>
        </w:rPr>
      </w:pPr>
      <w:r w:rsidRPr="00ED1F31">
        <w:rPr>
          <w:sz w:val="28"/>
        </w:rPr>
        <w:t xml:space="preserve">CHANGES TO LEGISLATION AND REGULATIONS </w:t>
      </w:r>
      <w:r w:rsidRPr="00ED1F31">
        <w:rPr>
          <w:sz w:val="28"/>
        </w:rPr>
        <w:t>– Table 1 (continued)</w:t>
      </w:r>
    </w:p>
    <w:p w:rsidR="00A113DC" w:rsidRPr="00ED1F31" w:rsidRDefault="00A113DC">
      <w:pPr>
        <w:spacing w:before="5"/>
        <w:rPr>
          <w:rFonts w:eastAsia="Calibri" w:cs="Calibri"/>
          <w:sz w:val="20"/>
          <w:szCs w:val="20"/>
        </w:rPr>
      </w:pPr>
    </w:p>
    <w:tbl>
      <w:tblPr>
        <w:tblW w:w="1428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2"/>
        <w:gridCol w:w="1560"/>
        <w:gridCol w:w="6946"/>
        <w:gridCol w:w="2834"/>
      </w:tblGrid>
      <w:tr w:rsidR="00BD7B71" w:rsidTr="00B25BB5">
        <w:trPr>
          <w:trHeight w:hRule="exact" w:val="571"/>
        </w:trPr>
        <w:tc>
          <w:tcPr>
            <w:tcW w:w="2942" w:type="dxa"/>
            <w:vAlign w:val="center"/>
          </w:tcPr>
          <w:p w:rsidR="00A113DC" w:rsidRPr="00ED1F31" w:rsidRDefault="00F46E39" w:rsidP="00043FEB">
            <w:pPr>
              <w:pStyle w:val="TableParagraph"/>
              <w:ind w:left="191" w:right="0"/>
              <w:rPr>
                <w:rFonts w:eastAsia="Calibri" w:cs="Calibri"/>
                <w:szCs w:val="24"/>
              </w:rPr>
            </w:pPr>
            <w:r w:rsidRPr="00ED1F31">
              <w:rPr>
                <w:b/>
              </w:rPr>
              <w:t>AMENDMENTS TO THE RSD</w:t>
            </w:r>
          </w:p>
        </w:tc>
        <w:tc>
          <w:tcPr>
            <w:tcW w:w="1560" w:type="dxa"/>
            <w:vAlign w:val="center"/>
          </w:tcPr>
          <w:p w:rsidR="00A113DC" w:rsidRPr="00ED1F31" w:rsidRDefault="00F46E39" w:rsidP="00043FEB">
            <w:pPr>
              <w:pStyle w:val="TableParagraph"/>
              <w:spacing w:line="230" w:lineRule="auto"/>
              <w:ind w:left="487" w:right="260" w:hanging="224"/>
              <w:rPr>
                <w:rFonts w:eastAsia="Calibri" w:cs="Calibri"/>
                <w:szCs w:val="24"/>
              </w:rPr>
            </w:pPr>
            <w:r w:rsidRPr="00ED1F31">
              <w:rPr>
                <w:b/>
              </w:rPr>
              <w:t>Transposed (Y/N)</w:t>
            </w:r>
          </w:p>
        </w:tc>
        <w:tc>
          <w:tcPr>
            <w:tcW w:w="6946" w:type="dxa"/>
            <w:vAlign w:val="center"/>
          </w:tcPr>
          <w:p w:rsidR="00A113DC" w:rsidRPr="00ED1F31" w:rsidRDefault="00F46E39" w:rsidP="00043FEB">
            <w:pPr>
              <w:pStyle w:val="TableParagraph"/>
              <w:ind w:left="3"/>
              <w:jc w:val="center"/>
              <w:rPr>
                <w:rFonts w:eastAsia="Calibri" w:cs="Calibri"/>
                <w:szCs w:val="24"/>
              </w:rPr>
            </w:pPr>
            <w:r w:rsidRPr="00ED1F31">
              <w:rPr>
                <w:b/>
              </w:rPr>
              <w:t>Legal reference</w:t>
            </w:r>
          </w:p>
        </w:tc>
        <w:tc>
          <w:tcPr>
            <w:tcW w:w="2834" w:type="dxa"/>
            <w:vAlign w:val="center"/>
          </w:tcPr>
          <w:p w:rsidR="00A113DC" w:rsidRPr="00ED1F31" w:rsidRDefault="00F46E39" w:rsidP="00043FEB">
            <w:pPr>
              <w:pStyle w:val="TableParagraph"/>
              <w:ind w:left="170" w:right="0"/>
              <w:rPr>
                <w:rFonts w:eastAsia="Calibri" w:cs="Calibri"/>
                <w:szCs w:val="24"/>
              </w:rPr>
            </w:pPr>
            <w:r w:rsidRPr="00ED1F31">
              <w:rPr>
                <w:b/>
              </w:rPr>
              <w:t>Date of entry into force</w:t>
            </w:r>
          </w:p>
        </w:tc>
      </w:tr>
      <w:tr w:rsidR="00BD7B71" w:rsidTr="00B25BB5">
        <w:trPr>
          <w:trHeight w:hRule="exact" w:val="2504"/>
        </w:trPr>
        <w:tc>
          <w:tcPr>
            <w:tcW w:w="2942" w:type="dxa"/>
          </w:tcPr>
          <w:p w:rsidR="00A113DC" w:rsidRPr="00ED1F31" w:rsidRDefault="00F46E39" w:rsidP="00E81E51">
            <w:pPr>
              <w:pStyle w:val="TableParagraph"/>
              <w:spacing w:before="13" w:line="249" w:lineRule="auto"/>
              <w:ind w:left="103" w:right="130"/>
              <w:rPr>
                <w:rFonts w:eastAsia="Calibri" w:cs="Calibri"/>
              </w:rPr>
            </w:pPr>
            <w:r w:rsidRPr="00ED1F31">
              <w:rPr>
                <w:sz w:val="22"/>
              </w:rPr>
              <w:t>Commission Directive 2014/88/EU amending Directive 2004/49/EC of the European Parliament and of the Council</w:t>
            </w:r>
          </w:p>
        </w:tc>
        <w:tc>
          <w:tcPr>
            <w:tcW w:w="1560" w:type="dxa"/>
          </w:tcPr>
          <w:p w:rsidR="00A113DC" w:rsidRPr="00ED1F31" w:rsidRDefault="00F46E39">
            <w:pPr>
              <w:pStyle w:val="TableParagraph"/>
              <w:spacing w:before="14"/>
              <w:jc w:val="center"/>
              <w:rPr>
                <w:rFonts w:eastAsia="Calibri" w:cs="Calibri"/>
              </w:rPr>
            </w:pPr>
            <w:r w:rsidRPr="00ED1F31">
              <w:rPr>
                <w:sz w:val="22"/>
              </w:rPr>
              <w:t>Y</w:t>
            </w:r>
          </w:p>
        </w:tc>
        <w:tc>
          <w:tcPr>
            <w:tcW w:w="6946" w:type="dxa"/>
          </w:tcPr>
          <w:p w:rsidR="00A113DC" w:rsidRPr="00ED1F31" w:rsidRDefault="00F46E39">
            <w:pPr>
              <w:pStyle w:val="TableParagraph"/>
              <w:spacing w:before="13" w:line="249" w:lineRule="auto"/>
              <w:ind w:left="103" w:right="98"/>
              <w:jc w:val="both"/>
              <w:rPr>
                <w:rFonts w:eastAsia="Calibri" w:cs="Calibri"/>
              </w:rPr>
            </w:pPr>
            <w:r w:rsidRPr="00ED1F31">
              <w:rPr>
                <w:sz w:val="22"/>
              </w:rPr>
              <w:t xml:space="preserve">This Directive amends the annex and its </w:t>
            </w:r>
            <w:r w:rsidRPr="00ED1F31">
              <w:rPr>
                <w:sz w:val="22"/>
              </w:rPr>
              <w:t>appendix concerning the common safety indicators and the common methods for calculating the cost of accidents.</w:t>
            </w:r>
          </w:p>
          <w:p w:rsidR="00A113DC" w:rsidRPr="00ED1F31" w:rsidRDefault="00F46E39">
            <w:pPr>
              <w:pStyle w:val="TableParagraph"/>
              <w:spacing w:before="1" w:line="249" w:lineRule="auto"/>
              <w:ind w:left="103" w:right="98"/>
              <w:jc w:val="both"/>
              <w:rPr>
                <w:rFonts w:eastAsia="Calibri" w:cs="Calibri"/>
              </w:rPr>
            </w:pPr>
            <w:r w:rsidRPr="00ED1F31">
              <w:rPr>
                <w:sz w:val="22"/>
              </w:rPr>
              <w:t xml:space="preserve">Since Luxembourg’s transposition of the basic text just refers to the annexes of the directive, without including them in the actual text, these </w:t>
            </w:r>
            <w:r w:rsidRPr="00ED1F31">
              <w:rPr>
                <w:sz w:val="22"/>
              </w:rPr>
              <w:t>amendments will apply automatically in Luxembourg once Directive 2014/88/EU comes into force.</w:t>
            </w:r>
          </w:p>
        </w:tc>
        <w:tc>
          <w:tcPr>
            <w:tcW w:w="2834" w:type="dxa"/>
          </w:tcPr>
          <w:p w:rsidR="00A113DC" w:rsidRPr="00ED1F31" w:rsidRDefault="00F46E39">
            <w:pPr>
              <w:pStyle w:val="TableParagraph"/>
              <w:spacing w:before="13" w:line="249" w:lineRule="auto"/>
              <w:ind w:left="103" w:right="759"/>
              <w:rPr>
                <w:rFonts w:eastAsia="Calibri" w:cs="Calibri"/>
              </w:rPr>
            </w:pPr>
            <w:r w:rsidRPr="00ED1F31">
              <w:rPr>
                <w:sz w:val="22"/>
              </w:rPr>
              <w:t>The same as the Directive</w:t>
            </w:r>
          </w:p>
        </w:tc>
      </w:tr>
    </w:tbl>
    <w:p w:rsidR="00A113DC" w:rsidRPr="00ED1F31" w:rsidRDefault="00A113DC">
      <w:pPr>
        <w:spacing w:line="249" w:lineRule="auto"/>
        <w:rPr>
          <w:rFonts w:eastAsia="Calibri" w:cs="Calibri"/>
        </w:rPr>
        <w:sectPr w:rsidR="00A113DC" w:rsidRPr="00ED1F31" w:rsidSect="00205240">
          <w:pgSz w:w="16840" w:h="11910" w:orient="landscape"/>
          <w:pgMar w:top="1397" w:right="1325" w:bottom="734" w:left="1339" w:header="0" w:footer="546" w:gutter="0"/>
          <w:cols w:space="720"/>
        </w:sectPr>
      </w:pPr>
    </w:p>
    <w:p w:rsidR="0057351F" w:rsidRPr="00ED1F31" w:rsidRDefault="00F46E39" w:rsidP="007B75F2">
      <w:pPr>
        <w:rPr>
          <w:rFonts w:cs="Calibri"/>
          <w:b/>
          <w:color w:val="365F91" w:themeColor="accent1" w:themeShade="BF"/>
          <w:sz w:val="28"/>
          <w:szCs w:val="28"/>
        </w:rPr>
      </w:pPr>
      <w:r w:rsidRPr="00ED1F31">
        <w:rPr>
          <w:b/>
          <w:color w:val="365F91" w:themeColor="accent1" w:themeShade="BF"/>
          <w:sz w:val="28"/>
        </w:rPr>
        <w:t>ANNEX B</w:t>
      </w:r>
      <w:bookmarkStart w:id="143" w:name="CHANGEMENTS_DANS_LA_LÉGISLATION_ET_DANS_"/>
      <w:bookmarkStart w:id="144" w:name="_bookmark36"/>
      <w:bookmarkEnd w:id="143"/>
      <w:bookmarkEnd w:id="144"/>
    </w:p>
    <w:p w:rsidR="00A113DC" w:rsidRPr="00ED1F31" w:rsidRDefault="00F46E39" w:rsidP="00205240">
      <w:pPr>
        <w:pStyle w:val="Heading2"/>
        <w:rPr>
          <w:b w:val="0"/>
          <w:color w:val="auto"/>
        </w:rPr>
      </w:pPr>
      <w:bookmarkStart w:id="145" w:name="_Toc500406966"/>
      <w:bookmarkStart w:id="146" w:name="_Toc505328219"/>
      <w:r w:rsidRPr="00ED1F31">
        <w:rPr>
          <w:b w:val="0"/>
          <w:color w:val="auto"/>
        </w:rPr>
        <w:t>CHANGES TO LEGISLATION AND REGULATIONS – Table 2</w:t>
      </w:r>
      <w:bookmarkEnd w:id="145"/>
      <w:bookmarkEnd w:id="146"/>
    </w:p>
    <w:p w:rsidR="00A113DC" w:rsidRPr="00ED1F31" w:rsidRDefault="00A113DC">
      <w:pPr>
        <w:spacing w:before="5"/>
        <w:rPr>
          <w:rFonts w:eastAsia="Calibri" w:cs="Calibri"/>
          <w:sz w:val="20"/>
          <w:szCs w:val="20"/>
        </w:rPr>
      </w:pPr>
    </w:p>
    <w:tbl>
      <w:tblPr>
        <w:tblW w:w="14334"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2"/>
        <w:gridCol w:w="2410"/>
        <w:gridCol w:w="1418"/>
        <w:gridCol w:w="5386"/>
        <w:gridCol w:w="3238"/>
      </w:tblGrid>
      <w:tr w:rsidR="00BD7B71" w:rsidTr="006B1F01">
        <w:trPr>
          <w:trHeight w:hRule="exact" w:val="581"/>
        </w:trPr>
        <w:tc>
          <w:tcPr>
            <w:tcW w:w="1882" w:type="dxa"/>
            <w:vAlign w:val="center"/>
          </w:tcPr>
          <w:p w:rsidR="00A113DC" w:rsidRPr="00ED1F31" w:rsidRDefault="00F46E39" w:rsidP="00043FEB">
            <w:pPr>
              <w:pStyle w:val="TableParagraph"/>
              <w:ind w:left="98"/>
              <w:rPr>
                <w:rFonts w:eastAsia="Calibri" w:cs="Calibri"/>
                <w:szCs w:val="24"/>
              </w:rPr>
            </w:pPr>
            <w:r w:rsidRPr="00ED1F31">
              <w:rPr>
                <w:b/>
              </w:rPr>
              <w:t>LEGISLATION</w:t>
            </w:r>
          </w:p>
        </w:tc>
        <w:tc>
          <w:tcPr>
            <w:tcW w:w="2410" w:type="dxa"/>
            <w:vAlign w:val="center"/>
          </w:tcPr>
          <w:p w:rsidR="00A113DC" w:rsidRPr="00ED1F31" w:rsidRDefault="00F46E39" w:rsidP="00043FEB">
            <w:pPr>
              <w:pStyle w:val="TableParagraph"/>
              <w:ind w:left="100"/>
              <w:rPr>
                <w:rFonts w:eastAsia="Calibri" w:cs="Calibri"/>
                <w:szCs w:val="24"/>
              </w:rPr>
            </w:pPr>
            <w:r w:rsidRPr="00ED1F31">
              <w:rPr>
                <w:b/>
              </w:rPr>
              <w:t>Legal reference</w:t>
            </w:r>
          </w:p>
        </w:tc>
        <w:tc>
          <w:tcPr>
            <w:tcW w:w="1418" w:type="dxa"/>
            <w:vAlign w:val="center"/>
          </w:tcPr>
          <w:p w:rsidR="00A113DC" w:rsidRPr="00ED1F31" w:rsidRDefault="00F46E39" w:rsidP="006B1F01">
            <w:pPr>
              <w:pStyle w:val="TableParagraph"/>
              <w:spacing w:line="230" w:lineRule="auto"/>
              <w:ind w:left="100" w:right="0"/>
              <w:rPr>
                <w:rFonts w:eastAsia="Calibri" w:cs="Calibri"/>
                <w:szCs w:val="24"/>
              </w:rPr>
            </w:pPr>
            <w:r w:rsidRPr="00ED1F31">
              <w:rPr>
                <w:b/>
              </w:rPr>
              <w:t>Entry into force</w:t>
            </w:r>
          </w:p>
        </w:tc>
        <w:tc>
          <w:tcPr>
            <w:tcW w:w="5386" w:type="dxa"/>
            <w:vAlign w:val="center"/>
          </w:tcPr>
          <w:p w:rsidR="00A113DC" w:rsidRPr="00ED1F31" w:rsidRDefault="00F46E39" w:rsidP="00043FEB">
            <w:pPr>
              <w:pStyle w:val="TableParagraph"/>
              <w:ind w:left="100"/>
              <w:rPr>
                <w:rFonts w:eastAsia="Calibri" w:cs="Calibri"/>
                <w:szCs w:val="24"/>
              </w:rPr>
            </w:pPr>
            <w:r w:rsidRPr="00ED1F31">
              <w:rPr>
                <w:b/>
              </w:rPr>
              <w:t>Description of the change</w:t>
            </w:r>
          </w:p>
        </w:tc>
        <w:tc>
          <w:tcPr>
            <w:tcW w:w="3238" w:type="dxa"/>
            <w:vAlign w:val="center"/>
          </w:tcPr>
          <w:p w:rsidR="00A113DC" w:rsidRPr="00ED1F31" w:rsidRDefault="00F46E39" w:rsidP="00043FEB">
            <w:pPr>
              <w:pStyle w:val="TableParagraph"/>
              <w:ind w:left="100"/>
              <w:rPr>
                <w:rFonts w:eastAsia="Calibri" w:cs="Calibri"/>
                <w:szCs w:val="24"/>
              </w:rPr>
            </w:pPr>
            <w:r w:rsidRPr="00ED1F31">
              <w:rPr>
                <w:b/>
              </w:rPr>
              <w:t>Reasons for the change</w:t>
            </w:r>
          </w:p>
        </w:tc>
      </w:tr>
      <w:tr w:rsidR="00BD7B71" w:rsidTr="006B1F01">
        <w:trPr>
          <w:trHeight w:hRule="exact" w:val="2952"/>
        </w:trPr>
        <w:tc>
          <w:tcPr>
            <w:tcW w:w="1882" w:type="dxa"/>
          </w:tcPr>
          <w:p w:rsidR="00A113DC" w:rsidRPr="00ED1F31" w:rsidRDefault="00F46E39">
            <w:pPr>
              <w:pStyle w:val="TableParagraph"/>
              <w:spacing w:before="143"/>
              <w:ind w:left="98"/>
              <w:rPr>
                <w:rFonts w:ascii="Arial" w:eastAsia="Arial" w:hAnsi="Arial" w:cs="Arial"/>
                <w:sz w:val="20"/>
                <w:szCs w:val="20"/>
              </w:rPr>
            </w:pPr>
            <w:r w:rsidRPr="00ED1F31">
              <w:rPr>
                <w:rFonts w:ascii="Arial"/>
                <w:sz w:val="20"/>
              </w:rPr>
              <w:t>Affects</w:t>
            </w:r>
          </w:p>
          <w:p w:rsidR="00A113DC" w:rsidRPr="00ED1F31" w:rsidRDefault="00F46E39">
            <w:pPr>
              <w:pStyle w:val="TableParagraph"/>
              <w:spacing w:before="178" w:line="278" w:lineRule="auto"/>
              <w:ind w:left="98" w:right="641"/>
              <w:rPr>
                <w:rFonts w:ascii="Arial" w:eastAsia="Arial" w:hAnsi="Arial" w:cs="Arial"/>
                <w:sz w:val="20"/>
                <w:szCs w:val="20"/>
              </w:rPr>
            </w:pPr>
            <w:r w:rsidRPr="00ED1F31">
              <w:rPr>
                <w:rFonts w:ascii="Arial"/>
                <w:sz w:val="20"/>
              </w:rPr>
              <w:t>RU/IM/ECM/NSA/DeBo/NoBo</w:t>
            </w:r>
          </w:p>
        </w:tc>
        <w:tc>
          <w:tcPr>
            <w:tcW w:w="2410" w:type="dxa"/>
          </w:tcPr>
          <w:p w:rsidR="00A113DC" w:rsidRPr="00ED1F31" w:rsidRDefault="00F46E39">
            <w:pPr>
              <w:pStyle w:val="TableParagraph"/>
              <w:spacing w:before="143" w:line="276" w:lineRule="auto"/>
              <w:ind w:left="98" w:right="326"/>
              <w:rPr>
                <w:rFonts w:ascii="Arial" w:eastAsia="Arial" w:hAnsi="Arial" w:cs="Arial"/>
                <w:sz w:val="20"/>
                <w:szCs w:val="20"/>
              </w:rPr>
            </w:pPr>
            <w:r w:rsidRPr="00ED1F31">
              <w:rPr>
                <w:rFonts w:ascii="Arial" w:hAnsi="Arial"/>
                <w:sz w:val="20"/>
              </w:rPr>
              <w:t>Official Gazette – Mémorial A No 264 of 27 December 2016</w:t>
            </w:r>
          </w:p>
        </w:tc>
        <w:tc>
          <w:tcPr>
            <w:tcW w:w="1418" w:type="dxa"/>
          </w:tcPr>
          <w:p w:rsidR="00A113DC" w:rsidRPr="00ED1F31" w:rsidRDefault="00F46E39">
            <w:pPr>
              <w:pStyle w:val="TableParagraph"/>
              <w:spacing w:before="143"/>
              <w:ind w:left="103"/>
              <w:rPr>
                <w:rFonts w:ascii="Arial" w:eastAsia="Arial" w:hAnsi="Arial" w:cs="Arial"/>
                <w:sz w:val="20"/>
                <w:szCs w:val="20"/>
              </w:rPr>
            </w:pPr>
            <w:r w:rsidRPr="00ED1F31">
              <w:rPr>
                <w:rFonts w:ascii="Arial"/>
                <w:sz w:val="20"/>
              </w:rPr>
              <w:t>27/12/2016</w:t>
            </w:r>
          </w:p>
        </w:tc>
        <w:tc>
          <w:tcPr>
            <w:tcW w:w="5386" w:type="dxa"/>
          </w:tcPr>
          <w:p w:rsidR="00A113DC" w:rsidRPr="00ED1F31" w:rsidRDefault="00F46E39">
            <w:pPr>
              <w:pStyle w:val="TableParagraph"/>
              <w:spacing w:before="143" w:line="276" w:lineRule="auto"/>
              <w:ind w:left="278" w:right="646" w:hanging="176"/>
              <w:rPr>
                <w:rFonts w:ascii="Arial" w:eastAsia="Arial" w:hAnsi="Arial" w:cs="Arial"/>
                <w:sz w:val="20"/>
                <w:szCs w:val="20"/>
              </w:rPr>
            </w:pPr>
            <w:r w:rsidRPr="00ED1F31">
              <w:rPr>
                <w:rFonts w:ascii="Arial" w:hAnsi="Arial"/>
                <w:sz w:val="20"/>
              </w:rPr>
              <w:t>Law of 23 December 2016 transposing the recast of the First Railway Package and amending</w:t>
            </w:r>
          </w:p>
          <w:p w:rsidR="00A113DC" w:rsidRPr="00ED1F31" w:rsidRDefault="00F46E39" w:rsidP="00976521">
            <w:pPr>
              <w:pStyle w:val="TableParagraph"/>
              <w:numPr>
                <w:ilvl w:val="0"/>
                <w:numId w:val="1"/>
              </w:numPr>
              <w:tabs>
                <w:tab w:val="left" w:pos="500"/>
              </w:tabs>
              <w:spacing w:before="3" w:line="276" w:lineRule="auto"/>
              <w:ind w:right="158" w:firstLine="0"/>
              <w:rPr>
                <w:rFonts w:ascii="Arial" w:eastAsia="Arial" w:hAnsi="Arial" w:cs="Arial"/>
                <w:sz w:val="20"/>
                <w:szCs w:val="20"/>
              </w:rPr>
            </w:pPr>
            <w:r w:rsidRPr="00ED1F31">
              <w:rPr>
                <w:rFonts w:ascii="Arial" w:hAnsi="Arial"/>
                <w:sz w:val="20"/>
              </w:rPr>
              <w:t xml:space="preserve">the amended law </w:t>
            </w:r>
            <w:r w:rsidRPr="00ED1F31">
              <w:rPr>
                <w:rFonts w:ascii="Arial" w:hAnsi="Arial"/>
                <w:sz w:val="20"/>
              </w:rPr>
              <w:t>of 10 May 1995 on railway infrastructure management;</w:t>
            </w:r>
          </w:p>
          <w:p w:rsidR="00A113DC" w:rsidRPr="00ED1F31" w:rsidRDefault="00F46E39" w:rsidP="00976521">
            <w:pPr>
              <w:pStyle w:val="TableParagraph"/>
              <w:numPr>
                <w:ilvl w:val="0"/>
                <w:numId w:val="1"/>
              </w:numPr>
              <w:tabs>
                <w:tab w:val="left" w:pos="500"/>
              </w:tabs>
              <w:spacing w:line="276" w:lineRule="auto"/>
              <w:ind w:right="529" w:firstLine="0"/>
              <w:rPr>
                <w:rFonts w:ascii="Arial" w:eastAsia="Arial" w:hAnsi="Arial" w:cs="Arial"/>
                <w:sz w:val="20"/>
                <w:szCs w:val="20"/>
              </w:rPr>
            </w:pPr>
            <w:r w:rsidRPr="00ED1F31">
              <w:rPr>
                <w:rFonts w:ascii="Arial" w:hAnsi="Arial"/>
                <w:sz w:val="20"/>
              </w:rPr>
              <w:t>the amended law of 11 June 1999 on access to and use of railway infrastructure;</w:t>
            </w:r>
          </w:p>
          <w:p w:rsidR="00A113DC" w:rsidRPr="00ED1F31" w:rsidRDefault="00F46E39" w:rsidP="00976521">
            <w:pPr>
              <w:pStyle w:val="TableParagraph"/>
              <w:numPr>
                <w:ilvl w:val="0"/>
                <w:numId w:val="1"/>
              </w:numPr>
              <w:tabs>
                <w:tab w:val="left" w:pos="500"/>
              </w:tabs>
              <w:spacing w:line="278" w:lineRule="auto"/>
              <w:ind w:right="250" w:firstLine="0"/>
              <w:rPr>
                <w:rFonts w:ascii="Arial" w:eastAsia="Arial" w:hAnsi="Arial" w:cs="Arial"/>
                <w:sz w:val="20"/>
                <w:szCs w:val="20"/>
              </w:rPr>
            </w:pPr>
            <w:r w:rsidRPr="00ED1F31">
              <w:rPr>
                <w:rFonts w:ascii="Arial" w:hAnsi="Arial"/>
                <w:sz w:val="20"/>
              </w:rPr>
              <w:t>the amended law of 22 July 2009 on railway safety; and</w:t>
            </w:r>
          </w:p>
          <w:p w:rsidR="00A113DC" w:rsidRPr="00ED1F31" w:rsidRDefault="00F46E39" w:rsidP="00976521">
            <w:pPr>
              <w:pStyle w:val="TableParagraph"/>
              <w:numPr>
                <w:ilvl w:val="0"/>
                <w:numId w:val="1"/>
              </w:numPr>
              <w:tabs>
                <w:tab w:val="left" w:pos="500"/>
              </w:tabs>
              <w:spacing w:line="276" w:lineRule="auto"/>
              <w:ind w:right="594" w:firstLine="0"/>
              <w:rPr>
                <w:rFonts w:ascii="Arial" w:eastAsia="Arial" w:hAnsi="Arial" w:cs="Arial"/>
                <w:sz w:val="20"/>
                <w:szCs w:val="20"/>
              </w:rPr>
            </w:pPr>
            <w:r w:rsidRPr="00ED1F31">
              <w:rPr>
                <w:rFonts w:ascii="Arial" w:hAnsi="Arial"/>
                <w:sz w:val="20"/>
              </w:rPr>
              <w:t>the law of 3 August 2010 on railway market regulation</w:t>
            </w:r>
          </w:p>
        </w:tc>
        <w:tc>
          <w:tcPr>
            <w:tcW w:w="3238" w:type="dxa"/>
          </w:tcPr>
          <w:p w:rsidR="00A113DC" w:rsidRPr="00ED1F31" w:rsidRDefault="00F46E39">
            <w:pPr>
              <w:pStyle w:val="TableParagraph"/>
              <w:spacing w:before="143" w:line="276" w:lineRule="auto"/>
              <w:ind w:left="103" w:right="129"/>
              <w:rPr>
                <w:rFonts w:ascii="Arial" w:eastAsia="Arial" w:hAnsi="Arial" w:cs="Arial"/>
                <w:sz w:val="20"/>
                <w:szCs w:val="20"/>
              </w:rPr>
            </w:pPr>
            <w:r w:rsidRPr="00ED1F31">
              <w:rPr>
                <w:rFonts w:ascii="Arial"/>
                <w:sz w:val="20"/>
              </w:rPr>
              <w:t xml:space="preserve">Transposition </w:t>
            </w:r>
            <w:r w:rsidRPr="00ED1F31">
              <w:rPr>
                <w:rFonts w:ascii="Arial"/>
                <w:sz w:val="20"/>
              </w:rPr>
              <w:t>of the recast of the First Railway Package</w:t>
            </w:r>
          </w:p>
        </w:tc>
      </w:tr>
    </w:tbl>
    <w:p w:rsidR="00A113DC" w:rsidRPr="00ED1F31" w:rsidRDefault="00A113DC">
      <w:pPr>
        <w:spacing w:line="276" w:lineRule="auto"/>
        <w:rPr>
          <w:rFonts w:ascii="Arial" w:eastAsia="Arial" w:hAnsi="Arial" w:cs="Arial"/>
          <w:sz w:val="20"/>
          <w:szCs w:val="20"/>
        </w:rPr>
        <w:sectPr w:rsidR="00A113DC" w:rsidRPr="00ED1F31" w:rsidSect="00205240">
          <w:pgSz w:w="16840" w:h="11910" w:orient="landscape"/>
          <w:pgMar w:top="1397" w:right="1325" w:bottom="734" w:left="1339" w:header="0" w:footer="546" w:gutter="0"/>
          <w:cols w:space="720"/>
        </w:sectPr>
      </w:pPr>
    </w:p>
    <w:p w:rsidR="00A113DC" w:rsidRPr="00ED1F31" w:rsidRDefault="00F46E39" w:rsidP="00205240">
      <w:pPr>
        <w:rPr>
          <w:rFonts w:eastAsia="Calibri" w:cs="Calibri"/>
          <w:sz w:val="28"/>
          <w:szCs w:val="28"/>
        </w:rPr>
      </w:pPr>
      <w:r w:rsidRPr="00ED1F31">
        <w:rPr>
          <w:b/>
          <w:color w:val="365F91"/>
          <w:sz w:val="28"/>
        </w:rPr>
        <w:t>ANNEX B</w:t>
      </w:r>
    </w:p>
    <w:p w:rsidR="00A113DC" w:rsidRPr="00ED1F31" w:rsidRDefault="00F46E39" w:rsidP="00360386">
      <w:pPr>
        <w:spacing w:before="200" w:after="200"/>
        <w:rPr>
          <w:rFonts w:eastAsia="Calibri" w:cs="Calibri"/>
          <w:sz w:val="28"/>
          <w:szCs w:val="28"/>
        </w:rPr>
      </w:pPr>
      <w:r w:rsidRPr="00ED1F31">
        <w:rPr>
          <w:sz w:val="28"/>
        </w:rPr>
        <w:t>CHANGES TO LEGISLATION AND REGULATIONS – Table 2 (continued)</w:t>
      </w:r>
    </w:p>
    <w:p w:rsidR="00A113DC" w:rsidRPr="00ED1F31" w:rsidRDefault="00A113DC">
      <w:pPr>
        <w:spacing w:before="5"/>
        <w:rPr>
          <w:rFonts w:eastAsia="Calibri" w:cs="Calibri"/>
          <w:sz w:val="20"/>
          <w:szCs w:val="20"/>
        </w:rPr>
      </w:pPr>
    </w:p>
    <w:tbl>
      <w:tblPr>
        <w:tblW w:w="14333"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573"/>
        <w:gridCol w:w="1274"/>
        <w:gridCol w:w="3828"/>
        <w:gridCol w:w="3804"/>
      </w:tblGrid>
      <w:tr w:rsidR="00BD7B71" w:rsidTr="006B1F01">
        <w:trPr>
          <w:trHeight w:hRule="exact" w:val="581"/>
        </w:trPr>
        <w:tc>
          <w:tcPr>
            <w:tcW w:w="2854" w:type="dxa"/>
            <w:vAlign w:val="center"/>
          </w:tcPr>
          <w:p w:rsidR="00A113DC" w:rsidRPr="00ED1F31" w:rsidRDefault="00F46E39" w:rsidP="006B1F01">
            <w:pPr>
              <w:pStyle w:val="TableParagraph"/>
              <w:ind w:left="98" w:right="37"/>
              <w:rPr>
                <w:rFonts w:eastAsia="Calibri" w:cs="Calibri"/>
                <w:szCs w:val="24"/>
              </w:rPr>
            </w:pPr>
            <w:r w:rsidRPr="00ED1F31">
              <w:rPr>
                <w:b/>
              </w:rPr>
              <w:t>REGULATION</w:t>
            </w:r>
          </w:p>
        </w:tc>
        <w:tc>
          <w:tcPr>
            <w:tcW w:w="2573" w:type="dxa"/>
            <w:vAlign w:val="center"/>
          </w:tcPr>
          <w:p w:rsidR="00A113DC" w:rsidRPr="00ED1F31" w:rsidRDefault="00F46E39" w:rsidP="006B1F01">
            <w:pPr>
              <w:pStyle w:val="TableParagraph"/>
              <w:ind w:left="98" w:right="37"/>
              <w:rPr>
                <w:rFonts w:eastAsia="Calibri" w:cs="Calibri"/>
                <w:szCs w:val="24"/>
              </w:rPr>
            </w:pPr>
            <w:r w:rsidRPr="00ED1F31">
              <w:rPr>
                <w:b/>
              </w:rPr>
              <w:t>Legal reference</w:t>
            </w:r>
          </w:p>
        </w:tc>
        <w:tc>
          <w:tcPr>
            <w:tcW w:w="1274" w:type="dxa"/>
            <w:vAlign w:val="center"/>
          </w:tcPr>
          <w:p w:rsidR="00A113DC" w:rsidRPr="00ED1F31" w:rsidRDefault="00F46E39" w:rsidP="006B1F01">
            <w:pPr>
              <w:pStyle w:val="TableParagraph"/>
              <w:spacing w:line="230" w:lineRule="auto"/>
              <w:ind w:left="98" w:right="37"/>
              <w:rPr>
                <w:rFonts w:eastAsia="Calibri" w:cs="Calibri"/>
                <w:szCs w:val="24"/>
              </w:rPr>
            </w:pPr>
            <w:r w:rsidRPr="00ED1F31">
              <w:rPr>
                <w:b/>
              </w:rPr>
              <w:t>Entry into force</w:t>
            </w:r>
          </w:p>
        </w:tc>
        <w:tc>
          <w:tcPr>
            <w:tcW w:w="3828" w:type="dxa"/>
            <w:vAlign w:val="center"/>
          </w:tcPr>
          <w:p w:rsidR="00A113DC" w:rsidRPr="00ED1F31" w:rsidRDefault="00F46E39" w:rsidP="006B1F01">
            <w:pPr>
              <w:pStyle w:val="TableParagraph"/>
              <w:ind w:left="98" w:right="37"/>
              <w:rPr>
                <w:rFonts w:eastAsia="Calibri" w:cs="Calibri"/>
                <w:szCs w:val="24"/>
              </w:rPr>
            </w:pPr>
            <w:r w:rsidRPr="00ED1F31">
              <w:rPr>
                <w:b/>
              </w:rPr>
              <w:t>Description of the change</w:t>
            </w:r>
          </w:p>
        </w:tc>
        <w:tc>
          <w:tcPr>
            <w:tcW w:w="3804" w:type="dxa"/>
            <w:vAlign w:val="center"/>
          </w:tcPr>
          <w:p w:rsidR="00A113DC" w:rsidRPr="00ED1F31" w:rsidRDefault="00F46E39" w:rsidP="006B1F01">
            <w:pPr>
              <w:pStyle w:val="TableParagraph"/>
              <w:ind w:left="98" w:right="37"/>
              <w:rPr>
                <w:rFonts w:eastAsia="Calibri" w:cs="Calibri"/>
                <w:szCs w:val="24"/>
              </w:rPr>
            </w:pPr>
            <w:r w:rsidRPr="00ED1F31">
              <w:rPr>
                <w:b/>
              </w:rPr>
              <w:t>Reasons for the change</w:t>
            </w:r>
          </w:p>
        </w:tc>
      </w:tr>
      <w:tr w:rsidR="00BD7B71" w:rsidTr="006B1F01">
        <w:trPr>
          <w:trHeight w:hRule="exact" w:val="1078"/>
        </w:trPr>
        <w:tc>
          <w:tcPr>
            <w:tcW w:w="2854" w:type="dxa"/>
            <w:vAlign w:val="center"/>
          </w:tcPr>
          <w:p w:rsidR="00A113DC" w:rsidRPr="00ED1F31" w:rsidRDefault="00F46E39" w:rsidP="006B1F01">
            <w:pPr>
              <w:pStyle w:val="TableParagraph"/>
              <w:spacing w:line="276" w:lineRule="auto"/>
              <w:ind w:left="98" w:right="37"/>
              <w:rPr>
                <w:rFonts w:ascii="Arial" w:eastAsia="Arial" w:hAnsi="Arial" w:cs="Arial"/>
                <w:sz w:val="20"/>
                <w:szCs w:val="20"/>
              </w:rPr>
            </w:pPr>
            <w:r w:rsidRPr="00ED1F31">
              <w:rPr>
                <w:rFonts w:ascii="Arial" w:hAnsi="Arial"/>
                <w:sz w:val="20"/>
              </w:rPr>
              <w:t xml:space="preserve">General Rules for </w:t>
            </w:r>
            <w:r w:rsidRPr="00ED1F31">
              <w:rPr>
                <w:rFonts w:ascii="Arial" w:hAnsi="Arial"/>
                <w:sz w:val="20"/>
              </w:rPr>
              <w:t>Technical Operation (GRTO). Ministerial approval on 1 October 2015</w:t>
            </w:r>
          </w:p>
        </w:tc>
        <w:tc>
          <w:tcPr>
            <w:tcW w:w="2573"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Document issued by the IM</w:t>
            </w:r>
          </w:p>
        </w:tc>
        <w:tc>
          <w:tcPr>
            <w:tcW w:w="1274"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sz w:val="20"/>
              </w:rPr>
              <w:t>03/04/2016</w:t>
            </w:r>
          </w:p>
        </w:tc>
        <w:tc>
          <w:tcPr>
            <w:tcW w:w="3828"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New edition</w:t>
            </w:r>
          </w:p>
        </w:tc>
        <w:tc>
          <w:tcPr>
            <w:tcW w:w="3804" w:type="dxa"/>
            <w:vAlign w:val="center"/>
          </w:tcPr>
          <w:p w:rsidR="00A113DC" w:rsidRPr="00ED1F31" w:rsidRDefault="00F46E39" w:rsidP="006B1F01">
            <w:pPr>
              <w:pStyle w:val="TableParagraph"/>
              <w:spacing w:line="228" w:lineRule="auto"/>
              <w:ind w:left="98" w:right="101"/>
              <w:jc w:val="both"/>
              <w:rPr>
                <w:rFonts w:eastAsia="Calibri" w:cs="Calibri"/>
                <w:szCs w:val="24"/>
              </w:rPr>
            </w:pPr>
            <w:r w:rsidRPr="00ED1F31">
              <w:t>The old edition was no longer compliant with the European and national legal framework</w:t>
            </w:r>
          </w:p>
        </w:tc>
      </w:tr>
      <w:tr w:rsidR="00BD7B71" w:rsidTr="006B1F01">
        <w:trPr>
          <w:trHeight w:hRule="exact" w:val="1342"/>
        </w:trPr>
        <w:tc>
          <w:tcPr>
            <w:tcW w:w="2854" w:type="dxa"/>
            <w:vAlign w:val="center"/>
          </w:tcPr>
          <w:p w:rsidR="00A113DC" w:rsidRPr="00ED1F31" w:rsidRDefault="00F46E39" w:rsidP="006B1F01">
            <w:pPr>
              <w:pStyle w:val="TableParagraph"/>
              <w:spacing w:line="276" w:lineRule="auto"/>
              <w:ind w:left="98" w:right="37"/>
              <w:rPr>
                <w:rFonts w:ascii="Arial" w:eastAsia="Arial" w:hAnsi="Arial" w:cs="Arial"/>
                <w:sz w:val="20"/>
                <w:szCs w:val="20"/>
              </w:rPr>
            </w:pPr>
            <w:r w:rsidRPr="00ED1F31">
              <w:rPr>
                <w:rFonts w:ascii="Arial" w:hAnsi="Arial"/>
                <w:sz w:val="20"/>
              </w:rPr>
              <w:t xml:space="preserve">Appendix I – Supplementary information for the </w:t>
            </w:r>
            <w:r w:rsidRPr="00ED1F31">
              <w:rPr>
                <w:rFonts w:ascii="Arial" w:hAnsi="Arial"/>
                <w:sz w:val="20"/>
              </w:rPr>
              <w:t>application of the provisions of the GRTO. Updated.</w:t>
            </w:r>
          </w:p>
        </w:tc>
        <w:tc>
          <w:tcPr>
            <w:tcW w:w="2573"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Document issued by the IM</w:t>
            </w:r>
          </w:p>
        </w:tc>
        <w:tc>
          <w:tcPr>
            <w:tcW w:w="1274"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sz w:val="20"/>
              </w:rPr>
              <w:t>03/04/2016</w:t>
            </w:r>
          </w:p>
        </w:tc>
        <w:tc>
          <w:tcPr>
            <w:tcW w:w="3828"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New edition</w:t>
            </w:r>
          </w:p>
        </w:tc>
        <w:tc>
          <w:tcPr>
            <w:tcW w:w="3804" w:type="dxa"/>
            <w:vAlign w:val="center"/>
          </w:tcPr>
          <w:p w:rsidR="00A113DC" w:rsidRPr="00ED1F31" w:rsidRDefault="00F46E39" w:rsidP="006B1F01">
            <w:pPr>
              <w:pStyle w:val="TableParagraph"/>
              <w:spacing w:line="228" w:lineRule="auto"/>
              <w:ind w:left="98" w:right="101"/>
              <w:jc w:val="both"/>
              <w:rPr>
                <w:rFonts w:eastAsia="Calibri" w:cs="Calibri"/>
                <w:szCs w:val="24"/>
              </w:rPr>
            </w:pPr>
            <w:r w:rsidRPr="00ED1F31">
              <w:t>The old edition was no longer compliant with the European and national legal framework</w:t>
            </w:r>
          </w:p>
        </w:tc>
      </w:tr>
      <w:tr w:rsidR="00BD7B71" w:rsidTr="006B1F01">
        <w:trPr>
          <w:trHeight w:hRule="exact" w:val="1608"/>
        </w:trPr>
        <w:tc>
          <w:tcPr>
            <w:tcW w:w="2854" w:type="dxa"/>
            <w:vAlign w:val="center"/>
          </w:tcPr>
          <w:p w:rsidR="00A113DC" w:rsidRPr="00ED1F31" w:rsidRDefault="00F46E39" w:rsidP="006B1F01">
            <w:pPr>
              <w:pStyle w:val="TableParagraph"/>
              <w:spacing w:line="276" w:lineRule="auto"/>
              <w:ind w:left="98" w:right="37"/>
              <w:rPr>
                <w:rFonts w:ascii="Arial" w:eastAsia="Arial" w:hAnsi="Arial" w:cs="Arial"/>
                <w:sz w:val="20"/>
                <w:szCs w:val="20"/>
              </w:rPr>
            </w:pPr>
            <w:r w:rsidRPr="00ED1F31">
              <w:rPr>
                <w:rFonts w:ascii="Arial" w:hAnsi="Arial"/>
                <w:sz w:val="20"/>
              </w:rPr>
              <w:t xml:space="preserve">Appendix II – Special instructions for the technical operation of </w:t>
            </w:r>
            <w:r w:rsidRPr="00ED1F31">
              <w:rPr>
                <w:rFonts w:ascii="Arial" w:hAnsi="Arial"/>
                <w:sz w:val="20"/>
              </w:rPr>
              <w:t>the Tertiary Railway Network (TN). Ministerial approval on 1 October 2015</w:t>
            </w:r>
          </w:p>
        </w:tc>
        <w:tc>
          <w:tcPr>
            <w:tcW w:w="2573"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Document issued by the IM</w:t>
            </w:r>
          </w:p>
        </w:tc>
        <w:tc>
          <w:tcPr>
            <w:tcW w:w="1274"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sz w:val="20"/>
              </w:rPr>
              <w:t>03/04/2016</w:t>
            </w:r>
          </w:p>
        </w:tc>
        <w:tc>
          <w:tcPr>
            <w:tcW w:w="3828"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New edition</w:t>
            </w:r>
          </w:p>
        </w:tc>
        <w:tc>
          <w:tcPr>
            <w:tcW w:w="3804" w:type="dxa"/>
            <w:vAlign w:val="center"/>
          </w:tcPr>
          <w:p w:rsidR="00A113DC" w:rsidRPr="00ED1F31" w:rsidRDefault="00F46E39" w:rsidP="006B1F01">
            <w:pPr>
              <w:pStyle w:val="TableParagraph"/>
              <w:spacing w:line="280" w:lineRule="exact"/>
              <w:ind w:left="98" w:right="101"/>
              <w:jc w:val="both"/>
              <w:rPr>
                <w:rFonts w:eastAsia="Calibri" w:cs="Calibri"/>
                <w:szCs w:val="24"/>
              </w:rPr>
            </w:pPr>
            <w:r w:rsidRPr="00ED1F31">
              <w:t>The old edition was no longer compliant with the European and national legal framework</w:t>
            </w:r>
          </w:p>
        </w:tc>
      </w:tr>
      <w:tr w:rsidR="00BD7B71" w:rsidTr="006B1F01">
        <w:trPr>
          <w:trHeight w:hRule="exact" w:val="1608"/>
        </w:trPr>
        <w:tc>
          <w:tcPr>
            <w:tcW w:w="2854" w:type="dxa"/>
            <w:vAlign w:val="center"/>
          </w:tcPr>
          <w:p w:rsidR="00A113DC" w:rsidRPr="00ED1F31" w:rsidRDefault="00F46E39" w:rsidP="006B1F01">
            <w:pPr>
              <w:pStyle w:val="TableParagraph"/>
              <w:spacing w:line="276" w:lineRule="auto"/>
              <w:ind w:left="98" w:right="37"/>
              <w:rPr>
                <w:rFonts w:ascii="Arial" w:eastAsia="Arial" w:hAnsi="Arial" w:cs="Arial"/>
                <w:sz w:val="20"/>
                <w:szCs w:val="20"/>
              </w:rPr>
            </w:pPr>
            <w:r w:rsidRPr="00ED1F31">
              <w:rPr>
                <w:rFonts w:ascii="Arial" w:hAnsi="Arial"/>
                <w:sz w:val="20"/>
              </w:rPr>
              <w:t xml:space="preserve">Appendix III – Additional provisions to the </w:t>
            </w:r>
            <w:r w:rsidRPr="00ED1F31">
              <w:rPr>
                <w:rFonts w:ascii="Arial" w:hAnsi="Arial"/>
                <w:sz w:val="20"/>
              </w:rPr>
              <w:t>GRTO on the operation of the ETCS safety system. Ministerial approval on 1 October 2015</w:t>
            </w:r>
          </w:p>
        </w:tc>
        <w:tc>
          <w:tcPr>
            <w:tcW w:w="2573"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Document issued by the IM</w:t>
            </w:r>
          </w:p>
        </w:tc>
        <w:tc>
          <w:tcPr>
            <w:tcW w:w="1274"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sz w:val="20"/>
              </w:rPr>
              <w:t>03/04/2016</w:t>
            </w:r>
          </w:p>
        </w:tc>
        <w:tc>
          <w:tcPr>
            <w:tcW w:w="3828" w:type="dxa"/>
            <w:vAlign w:val="center"/>
          </w:tcPr>
          <w:p w:rsidR="00A113DC" w:rsidRPr="00ED1F31" w:rsidRDefault="00F46E39" w:rsidP="006B1F01">
            <w:pPr>
              <w:pStyle w:val="TableParagraph"/>
              <w:ind w:left="98" w:right="37"/>
              <w:rPr>
                <w:rFonts w:ascii="Arial" w:eastAsia="Arial" w:hAnsi="Arial" w:cs="Arial"/>
                <w:sz w:val="20"/>
                <w:szCs w:val="20"/>
              </w:rPr>
            </w:pPr>
            <w:r w:rsidRPr="00ED1F31">
              <w:rPr>
                <w:rFonts w:ascii="Arial" w:hAnsi="Arial"/>
                <w:sz w:val="20"/>
              </w:rPr>
              <w:t>New edition</w:t>
            </w:r>
          </w:p>
        </w:tc>
        <w:tc>
          <w:tcPr>
            <w:tcW w:w="3804" w:type="dxa"/>
            <w:vAlign w:val="center"/>
          </w:tcPr>
          <w:p w:rsidR="00A113DC" w:rsidRPr="00ED1F31" w:rsidRDefault="00F46E39" w:rsidP="006B1F01">
            <w:pPr>
              <w:pStyle w:val="TableParagraph"/>
              <w:spacing w:line="228" w:lineRule="auto"/>
              <w:ind w:left="98" w:right="101"/>
              <w:jc w:val="both"/>
              <w:rPr>
                <w:rFonts w:eastAsia="Calibri" w:cs="Calibri"/>
                <w:szCs w:val="24"/>
              </w:rPr>
            </w:pPr>
            <w:r w:rsidRPr="00ED1F31">
              <w:t>The old edition was no longer compliant with the European and national legal framework</w:t>
            </w:r>
          </w:p>
        </w:tc>
      </w:tr>
    </w:tbl>
    <w:p w:rsidR="00A113DC" w:rsidRPr="00ED1F31" w:rsidRDefault="00A113DC">
      <w:pPr>
        <w:spacing w:line="228" w:lineRule="auto"/>
        <w:jc w:val="both"/>
        <w:rPr>
          <w:rFonts w:eastAsia="Calibri" w:cs="Calibri"/>
          <w:szCs w:val="24"/>
        </w:rPr>
        <w:sectPr w:rsidR="00A113DC" w:rsidRPr="00ED1F31" w:rsidSect="00205240">
          <w:pgSz w:w="16840" w:h="11910" w:orient="landscape"/>
          <w:pgMar w:top="1397" w:right="1325" w:bottom="734" w:left="1339" w:header="0" w:footer="546" w:gutter="0"/>
          <w:cols w:space="720"/>
        </w:sectPr>
      </w:pPr>
    </w:p>
    <w:p w:rsidR="00A113DC" w:rsidRPr="00ED1F31" w:rsidRDefault="00F46E39" w:rsidP="00205240">
      <w:pPr>
        <w:pStyle w:val="Heading1"/>
        <w:pageBreakBefore/>
        <w:rPr>
          <w:rFonts w:cs="Calibri"/>
        </w:rPr>
      </w:pPr>
      <w:bookmarkStart w:id="147" w:name="ANNEXE_C"/>
      <w:bookmarkStart w:id="148" w:name="_bookmark37"/>
      <w:bookmarkStart w:id="149" w:name="_Toc500406967"/>
      <w:bookmarkStart w:id="150" w:name="_Toc505328220"/>
      <w:bookmarkEnd w:id="147"/>
      <w:bookmarkEnd w:id="148"/>
      <w:r w:rsidRPr="00ED1F31">
        <w:t>ANNEX C</w:t>
      </w:r>
      <w:bookmarkEnd w:id="149"/>
      <w:bookmarkEnd w:id="150"/>
    </w:p>
    <w:p w:rsidR="000F7012" w:rsidRPr="00ED1F31" w:rsidRDefault="00F46E39" w:rsidP="00205240">
      <w:pPr>
        <w:pStyle w:val="Heading2"/>
        <w:rPr>
          <w:b w:val="0"/>
          <w:color w:val="auto"/>
        </w:rPr>
      </w:pPr>
      <w:bookmarkStart w:id="151" w:name="ORGANIGRAMME_FONCTIONNEL_de_L’ACF"/>
      <w:bookmarkStart w:id="152" w:name="_bookmark38"/>
      <w:bookmarkStart w:id="153" w:name="_Toc500406968"/>
      <w:bookmarkStart w:id="154" w:name="_Toc505328221"/>
      <w:bookmarkEnd w:id="151"/>
      <w:bookmarkEnd w:id="152"/>
      <w:r w:rsidRPr="00ED1F31">
        <w:rPr>
          <w:b w:val="0"/>
          <w:color w:val="auto"/>
        </w:rPr>
        <w:t>ACF FUNCTIONAL ORGANISATION CHART</w:t>
      </w:r>
      <w:bookmarkEnd w:id="153"/>
      <w:bookmarkEnd w:id="154"/>
    </w:p>
    <w:p w:rsidR="00A113DC" w:rsidRPr="00ED1F31" w:rsidRDefault="00F46E39" w:rsidP="000F7012">
      <w:pPr>
        <w:spacing w:before="200"/>
        <w:rPr>
          <w:rFonts w:eastAsia="Calibri" w:cs="Calibri"/>
          <w:sz w:val="20"/>
          <w:szCs w:val="20"/>
        </w:rPr>
      </w:pPr>
      <w:r w:rsidRPr="00ED1F31">
        <w:rPr>
          <w:rFonts w:eastAsia="Calibri" w:cs="Calibri"/>
          <w:noProof/>
          <w:sz w:val="20"/>
          <w:szCs w:val="20"/>
          <w:lang w:val="en-US" w:eastAsia="zh-CN" w:bidi="ar-SA"/>
        </w:rPr>
        <w:drawing>
          <wp:anchor distT="0" distB="0" distL="114300" distR="114300" simplePos="0" relativeHeight="251658240" behindDoc="1" locked="0" layoutInCell="1" allowOverlap="1">
            <wp:simplePos x="0" y="0"/>
            <wp:positionH relativeFrom="column">
              <wp:posOffset>1605859</wp:posOffset>
            </wp:positionH>
            <wp:positionV relativeFrom="paragraph">
              <wp:posOffset>558027</wp:posOffset>
            </wp:positionV>
            <wp:extent cx="7333488" cy="47640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36869" name="Picture 1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333488" cy="4764024"/>
                    </a:xfrm>
                    <a:prstGeom prst="rect">
                      <a:avLst/>
                    </a:prstGeom>
                    <a:noFill/>
                    <a:ln>
                      <a:noFill/>
                    </a:ln>
                  </pic:spPr>
                </pic:pic>
              </a:graphicData>
            </a:graphic>
          </wp:anchor>
        </w:drawing>
      </w:r>
      <w:r w:rsidRPr="00ED1F31">
        <w:rPr>
          <w:rFonts w:eastAsia="Calibri" w:cs="Calibri"/>
          <w:noProof/>
          <w:sz w:val="20"/>
          <w:szCs w:val="20"/>
          <w:lang w:val="en-US" w:eastAsia="zh-CN" w:bidi="ar-SA"/>
        </w:rPr>
        <w:drawing>
          <wp:inline distT="0" distB="0" distL="0" distR="0">
            <wp:extent cx="2894330" cy="970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40612" name="Picture 1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94330" cy="970280"/>
                    </a:xfrm>
                    <a:prstGeom prst="rect">
                      <a:avLst/>
                    </a:prstGeom>
                    <a:noFill/>
                    <a:ln>
                      <a:noFill/>
                    </a:ln>
                  </pic:spPr>
                </pic:pic>
              </a:graphicData>
            </a:graphic>
          </wp:inline>
        </w:drawing>
      </w:r>
    </w:p>
    <w:p w:rsidR="000F7012" w:rsidRPr="00ED1F31" w:rsidRDefault="000F7012" w:rsidP="000F7012">
      <w:pPr>
        <w:pageBreakBefore/>
        <w:spacing w:before="200"/>
        <w:rPr>
          <w:rFonts w:eastAsia="Calibri" w:cs="Calibri"/>
          <w:sz w:val="20"/>
          <w:szCs w:val="20"/>
        </w:rPr>
      </w:pPr>
    </w:p>
    <w:tbl>
      <w:tblPr>
        <w:tblStyle w:val="TableGrid"/>
        <w:tblW w:w="14392" w:type="dxa"/>
        <w:tblLook w:val="04A0" w:firstRow="1" w:lastRow="0" w:firstColumn="1" w:lastColumn="0" w:noHBand="0" w:noVBand="1"/>
      </w:tblPr>
      <w:tblGrid>
        <w:gridCol w:w="7196"/>
        <w:gridCol w:w="7196"/>
      </w:tblGrid>
      <w:tr w:rsidR="00BD7B71" w:rsidTr="002F2CF3">
        <w:tc>
          <w:tcPr>
            <w:tcW w:w="7196" w:type="dxa"/>
          </w:tcPr>
          <w:p w:rsidR="002F2CF3" w:rsidRPr="00ED1F31" w:rsidRDefault="00F46E39" w:rsidP="002F2CF3">
            <w:r w:rsidRPr="00ED1F31">
              <w:t>ACF Directeur</w:t>
            </w:r>
          </w:p>
        </w:tc>
        <w:tc>
          <w:tcPr>
            <w:tcW w:w="7196" w:type="dxa"/>
          </w:tcPr>
          <w:p w:rsidR="002F2CF3" w:rsidRPr="00ED1F31" w:rsidRDefault="00F46E39" w:rsidP="002F2CF3">
            <w:r w:rsidRPr="00ED1F31">
              <w:t>Director of ACF</w:t>
            </w:r>
          </w:p>
        </w:tc>
      </w:tr>
      <w:tr w:rsidR="00BD7B71" w:rsidTr="002F2CF3">
        <w:tc>
          <w:tcPr>
            <w:tcW w:w="7196" w:type="dxa"/>
          </w:tcPr>
          <w:p w:rsidR="002F2CF3" w:rsidRPr="00ED1F31" w:rsidRDefault="00F46E39" w:rsidP="002F2CF3">
            <w:r w:rsidRPr="00ED1F31">
              <w:t>Division Interopérabilité et Sécurité</w:t>
            </w:r>
          </w:p>
        </w:tc>
        <w:tc>
          <w:tcPr>
            <w:tcW w:w="7196" w:type="dxa"/>
          </w:tcPr>
          <w:p w:rsidR="002F2CF3" w:rsidRPr="00ED1F31" w:rsidRDefault="00F46E39" w:rsidP="002F2CF3">
            <w:r w:rsidRPr="00ED1F31">
              <w:t>Interoperability and Security Division</w:t>
            </w:r>
          </w:p>
        </w:tc>
      </w:tr>
      <w:tr w:rsidR="00BD7B71" w:rsidTr="002F2CF3">
        <w:tc>
          <w:tcPr>
            <w:tcW w:w="7196" w:type="dxa"/>
          </w:tcPr>
          <w:p w:rsidR="002F2CF3" w:rsidRPr="00ED1F31" w:rsidRDefault="00F46E39" w:rsidP="002F2CF3">
            <w:r w:rsidRPr="00ED1F31">
              <w:t>Division Sillons</w:t>
            </w:r>
          </w:p>
        </w:tc>
        <w:tc>
          <w:tcPr>
            <w:tcW w:w="7196" w:type="dxa"/>
          </w:tcPr>
          <w:p w:rsidR="002F2CF3" w:rsidRPr="00ED1F31" w:rsidRDefault="00F46E39" w:rsidP="002F2CF3">
            <w:r w:rsidRPr="00ED1F31">
              <w:t>Train Paths Division</w:t>
            </w:r>
          </w:p>
        </w:tc>
      </w:tr>
      <w:tr w:rsidR="00BD7B71" w:rsidTr="002F2CF3">
        <w:tc>
          <w:tcPr>
            <w:tcW w:w="7196" w:type="dxa"/>
          </w:tcPr>
          <w:p w:rsidR="002F2CF3" w:rsidRPr="00ED1F31" w:rsidRDefault="00F46E39" w:rsidP="002F2CF3">
            <w:r w:rsidRPr="00ED1F31">
              <w:t>Affaires générales</w:t>
            </w:r>
          </w:p>
        </w:tc>
        <w:tc>
          <w:tcPr>
            <w:tcW w:w="7196" w:type="dxa"/>
          </w:tcPr>
          <w:p w:rsidR="002F2CF3" w:rsidRPr="00ED1F31" w:rsidRDefault="00F46E39" w:rsidP="002F2CF3">
            <w:r w:rsidRPr="00ED1F31">
              <w:t>General affairs</w:t>
            </w:r>
          </w:p>
        </w:tc>
      </w:tr>
      <w:tr w:rsidR="00BD7B71" w:rsidTr="002F2CF3">
        <w:tc>
          <w:tcPr>
            <w:tcW w:w="7196" w:type="dxa"/>
          </w:tcPr>
          <w:p w:rsidR="002F2CF3" w:rsidRPr="00ED1F31" w:rsidRDefault="00F46E39" w:rsidP="002F2CF3">
            <w:r w:rsidRPr="00ED1F31">
              <w:t xml:space="preserve">Coordination Interopérabilité et </w:t>
            </w:r>
            <w:r w:rsidRPr="00ED1F31">
              <w:t>Sécurité</w:t>
            </w:r>
          </w:p>
        </w:tc>
        <w:tc>
          <w:tcPr>
            <w:tcW w:w="7196" w:type="dxa"/>
          </w:tcPr>
          <w:p w:rsidR="002F2CF3" w:rsidRPr="00ED1F31" w:rsidRDefault="00F46E39" w:rsidP="002F2CF3">
            <w:r w:rsidRPr="00ED1F31">
              <w:t>Interoperability and Safety Coordination</w:t>
            </w:r>
          </w:p>
        </w:tc>
      </w:tr>
      <w:tr w:rsidR="00BD7B71" w:rsidTr="002F2CF3">
        <w:tc>
          <w:tcPr>
            <w:tcW w:w="7196" w:type="dxa"/>
          </w:tcPr>
          <w:p w:rsidR="002F2CF3" w:rsidRPr="00ED1F31" w:rsidRDefault="00F46E39" w:rsidP="002F2CF3">
            <w:r w:rsidRPr="00ED1F31">
              <w:t>Certificats / Agrémentsde sécurité</w:t>
            </w:r>
          </w:p>
        </w:tc>
        <w:tc>
          <w:tcPr>
            <w:tcW w:w="7196" w:type="dxa"/>
          </w:tcPr>
          <w:p w:rsidR="002F2CF3" w:rsidRPr="00ED1F31" w:rsidRDefault="00F46E39" w:rsidP="002F2CF3">
            <w:r w:rsidRPr="00ED1F31">
              <w:t>Safety certificates/authorisations</w:t>
            </w:r>
          </w:p>
        </w:tc>
      </w:tr>
      <w:tr w:rsidR="00BD7B71" w:rsidTr="002F2CF3">
        <w:tc>
          <w:tcPr>
            <w:tcW w:w="7196" w:type="dxa"/>
          </w:tcPr>
          <w:p w:rsidR="002F2CF3" w:rsidRPr="00587420" w:rsidRDefault="00F46E39" w:rsidP="002F2CF3">
            <w:pPr>
              <w:rPr>
                <w:lang w:val="fr-BE"/>
              </w:rPr>
            </w:pPr>
            <w:r w:rsidRPr="00587420">
              <w:rPr>
                <w:lang w:val="fr-BE"/>
              </w:rPr>
              <w:t>Certification du personnel de sécurité</w:t>
            </w:r>
          </w:p>
        </w:tc>
        <w:tc>
          <w:tcPr>
            <w:tcW w:w="7196" w:type="dxa"/>
          </w:tcPr>
          <w:p w:rsidR="002F2CF3" w:rsidRPr="00ED1F31" w:rsidRDefault="00F46E39" w:rsidP="002F2CF3">
            <w:r w:rsidRPr="00ED1F31">
              <w:t>Safety personnel certification</w:t>
            </w:r>
          </w:p>
        </w:tc>
      </w:tr>
      <w:tr w:rsidR="00BD7B71" w:rsidTr="002F2CF3">
        <w:tc>
          <w:tcPr>
            <w:tcW w:w="7196" w:type="dxa"/>
          </w:tcPr>
          <w:p w:rsidR="002F2CF3" w:rsidRPr="00ED1F31" w:rsidRDefault="00F46E39" w:rsidP="002F2CF3">
            <w:r w:rsidRPr="00ED1F31">
              <w:t>Gestion des registres</w:t>
            </w:r>
          </w:p>
        </w:tc>
        <w:tc>
          <w:tcPr>
            <w:tcW w:w="7196" w:type="dxa"/>
          </w:tcPr>
          <w:p w:rsidR="002F2CF3" w:rsidRPr="00ED1F31" w:rsidRDefault="00F46E39" w:rsidP="002F2CF3">
            <w:r w:rsidRPr="00ED1F31">
              <w:t>Record management</w:t>
            </w:r>
          </w:p>
        </w:tc>
      </w:tr>
      <w:tr w:rsidR="00BD7B71" w:rsidTr="002F2CF3">
        <w:tc>
          <w:tcPr>
            <w:tcW w:w="7196" w:type="dxa"/>
          </w:tcPr>
          <w:p w:rsidR="002F2CF3" w:rsidRPr="00ED1F31" w:rsidRDefault="00F46E39" w:rsidP="002F2CF3">
            <w:r w:rsidRPr="00ED1F31">
              <w:t>Surveillance</w:t>
            </w:r>
          </w:p>
        </w:tc>
        <w:tc>
          <w:tcPr>
            <w:tcW w:w="7196" w:type="dxa"/>
          </w:tcPr>
          <w:p w:rsidR="002F2CF3" w:rsidRPr="00ED1F31" w:rsidRDefault="00F46E39" w:rsidP="002F2CF3">
            <w:r w:rsidRPr="00ED1F31">
              <w:t>Supervision</w:t>
            </w:r>
          </w:p>
        </w:tc>
      </w:tr>
      <w:tr w:rsidR="00BD7B71" w:rsidTr="002F2CF3">
        <w:tc>
          <w:tcPr>
            <w:tcW w:w="7196" w:type="dxa"/>
          </w:tcPr>
          <w:p w:rsidR="002F2CF3" w:rsidRPr="00587420" w:rsidRDefault="00F46E39" w:rsidP="002F2CF3">
            <w:pPr>
              <w:rPr>
                <w:lang w:val="fr-BE"/>
              </w:rPr>
            </w:pPr>
            <w:r w:rsidRPr="00587420">
              <w:rPr>
                <w:lang w:val="fr-BE"/>
              </w:rPr>
              <w:t>Règlementation («Règles Nationales de Sécurité» et sous-système «Exploitation et gestion du trafic»)</w:t>
            </w:r>
          </w:p>
        </w:tc>
        <w:tc>
          <w:tcPr>
            <w:tcW w:w="7196" w:type="dxa"/>
          </w:tcPr>
          <w:p w:rsidR="002F2CF3" w:rsidRPr="00ED1F31" w:rsidRDefault="00F46E39" w:rsidP="002F2CF3">
            <w:r w:rsidRPr="00ED1F31">
              <w:t>Regulations (‘National Safety Rules’ and the ‘Traffic Operation and Management’ subsystem)</w:t>
            </w:r>
          </w:p>
        </w:tc>
      </w:tr>
      <w:tr w:rsidR="00BD7B71" w:rsidTr="002F2CF3">
        <w:tc>
          <w:tcPr>
            <w:tcW w:w="7196" w:type="dxa"/>
          </w:tcPr>
          <w:p w:rsidR="002F2CF3" w:rsidRPr="00ED1F31" w:rsidRDefault="00F46E39" w:rsidP="002F2CF3">
            <w:r w:rsidRPr="00ED1F31">
              <w:t>Documentation</w:t>
            </w:r>
          </w:p>
        </w:tc>
        <w:tc>
          <w:tcPr>
            <w:tcW w:w="7196" w:type="dxa"/>
          </w:tcPr>
          <w:p w:rsidR="002F2CF3" w:rsidRPr="00ED1F31" w:rsidRDefault="00F46E39" w:rsidP="002F2CF3">
            <w:r w:rsidRPr="00ED1F31">
              <w:t>Documentation</w:t>
            </w:r>
          </w:p>
        </w:tc>
      </w:tr>
      <w:tr w:rsidR="00BD7B71" w:rsidTr="002F2CF3">
        <w:tc>
          <w:tcPr>
            <w:tcW w:w="7196" w:type="dxa"/>
          </w:tcPr>
          <w:p w:rsidR="002F2CF3" w:rsidRPr="00ED1F31" w:rsidRDefault="00F46E39" w:rsidP="002F2CF3">
            <w:r w:rsidRPr="00ED1F31">
              <w:t>Cross-Acceptance (Rec</w:t>
            </w:r>
            <w:r w:rsidRPr="00ED1F31">
              <w:t>onnaissance mutuelle)</w:t>
            </w:r>
          </w:p>
        </w:tc>
        <w:tc>
          <w:tcPr>
            <w:tcW w:w="7196" w:type="dxa"/>
          </w:tcPr>
          <w:p w:rsidR="002F2CF3" w:rsidRPr="00ED1F31" w:rsidRDefault="00F46E39" w:rsidP="002F2CF3">
            <w:r w:rsidRPr="00ED1F31">
              <w:t>Cross-acceptance (Mutual recognition)</w:t>
            </w:r>
          </w:p>
        </w:tc>
      </w:tr>
      <w:tr w:rsidR="00BD7B71" w:rsidTr="002F2CF3">
        <w:tc>
          <w:tcPr>
            <w:tcW w:w="7196" w:type="dxa"/>
          </w:tcPr>
          <w:p w:rsidR="002F2CF3" w:rsidRPr="00ED1F31" w:rsidRDefault="00F46E39" w:rsidP="002F2CF3">
            <w:r w:rsidRPr="00ED1F31">
              <w:t>Autorisations matériel remorqué</w:t>
            </w:r>
          </w:p>
        </w:tc>
        <w:tc>
          <w:tcPr>
            <w:tcW w:w="7196" w:type="dxa"/>
          </w:tcPr>
          <w:p w:rsidR="002F2CF3" w:rsidRPr="00ED1F31" w:rsidRDefault="00F46E39" w:rsidP="002F2CF3">
            <w:r w:rsidRPr="00ED1F31">
              <w:t>Hauled stock authorisations</w:t>
            </w:r>
          </w:p>
        </w:tc>
      </w:tr>
      <w:tr w:rsidR="00BD7B71" w:rsidTr="002F2CF3">
        <w:tc>
          <w:tcPr>
            <w:tcW w:w="7196" w:type="dxa"/>
          </w:tcPr>
          <w:p w:rsidR="002F2CF3" w:rsidRPr="00ED1F31" w:rsidRDefault="00F46E39" w:rsidP="002F2CF3">
            <w:r w:rsidRPr="00ED1F31">
              <w:t>Autorisations matériel moteur</w:t>
            </w:r>
          </w:p>
        </w:tc>
        <w:tc>
          <w:tcPr>
            <w:tcW w:w="7196" w:type="dxa"/>
          </w:tcPr>
          <w:p w:rsidR="002F2CF3" w:rsidRPr="00ED1F31" w:rsidRDefault="00F46E39" w:rsidP="002F2CF3">
            <w:r w:rsidRPr="00ED1F31">
              <w:t>Traction stock authorisations</w:t>
            </w:r>
          </w:p>
        </w:tc>
      </w:tr>
      <w:tr w:rsidR="00BD7B71" w:rsidTr="002F2CF3">
        <w:tc>
          <w:tcPr>
            <w:tcW w:w="7196" w:type="dxa"/>
          </w:tcPr>
          <w:p w:rsidR="002F2CF3" w:rsidRPr="00587420" w:rsidRDefault="00F46E39" w:rsidP="002F2CF3">
            <w:pPr>
              <w:rPr>
                <w:lang w:val="fr-BE"/>
              </w:rPr>
            </w:pPr>
            <w:r w:rsidRPr="00587420">
              <w:rPr>
                <w:lang w:val="fr-BE"/>
              </w:rPr>
              <w:t>Autorisations sous-système «Infrastructure» et «Energie»</w:t>
            </w:r>
          </w:p>
        </w:tc>
        <w:tc>
          <w:tcPr>
            <w:tcW w:w="7196" w:type="dxa"/>
          </w:tcPr>
          <w:p w:rsidR="002F2CF3" w:rsidRPr="00ED1F31" w:rsidRDefault="00F46E39" w:rsidP="002F2CF3">
            <w:r w:rsidRPr="00ED1F31">
              <w:t>‘Infrastructure’</w:t>
            </w:r>
            <w:r w:rsidRPr="00ED1F31">
              <w:t xml:space="preserve"> and ‘Energy’ subsystem authorisations</w:t>
            </w:r>
          </w:p>
        </w:tc>
      </w:tr>
      <w:tr w:rsidR="00BD7B71" w:rsidTr="002F2CF3">
        <w:tc>
          <w:tcPr>
            <w:tcW w:w="7196" w:type="dxa"/>
          </w:tcPr>
          <w:p w:rsidR="002F2CF3" w:rsidRPr="00587420" w:rsidRDefault="00F46E39" w:rsidP="002F2CF3">
            <w:pPr>
              <w:rPr>
                <w:lang w:val="fr-BE"/>
              </w:rPr>
            </w:pPr>
            <w:r w:rsidRPr="00587420">
              <w:rPr>
                <w:lang w:val="fr-BE"/>
              </w:rPr>
              <w:t>Autorisations Sous-systèmes «Contrôle-commande et signalisation à bord»</w:t>
            </w:r>
          </w:p>
        </w:tc>
        <w:tc>
          <w:tcPr>
            <w:tcW w:w="7196" w:type="dxa"/>
          </w:tcPr>
          <w:p w:rsidR="002F2CF3" w:rsidRPr="00ED1F31" w:rsidRDefault="00F46E39" w:rsidP="002F2CF3">
            <w:r w:rsidRPr="00ED1F31">
              <w:t>‘Instrumentation &amp; control and on-board signalling’ subsystem authorisations</w:t>
            </w:r>
          </w:p>
        </w:tc>
      </w:tr>
      <w:tr w:rsidR="00BD7B71" w:rsidTr="002F2CF3">
        <w:tc>
          <w:tcPr>
            <w:tcW w:w="7196" w:type="dxa"/>
          </w:tcPr>
          <w:p w:rsidR="002F2CF3" w:rsidRPr="00587420" w:rsidRDefault="00F46E39" w:rsidP="002F2CF3">
            <w:pPr>
              <w:rPr>
                <w:lang w:val="fr-BE"/>
              </w:rPr>
            </w:pPr>
            <w:r w:rsidRPr="00587420">
              <w:rPr>
                <w:lang w:val="fr-BE"/>
              </w:rPr>
              <w:t>Autorisations sous-systèmes «Contrôle-commande et signalisation au</w:t>
            </w:r>
            <w:r w:rsidRPr="00587420">
              <w:rPr>
                <w:lang w:val="fr-BE"/>
              </w:rPr>
              <w:t xml:space="preserve"> sol»</w:t>
            </w:r>
          </w:p>
        </w:tc>
        <w:tc>
          <w:tcPr>
            <w:tcW w:w="7196" w:type="dxa"/>
          </w:tcPr>
          <w:p w:rsidR="002F2CF3" w:rsidRPr="00ED1F31" w:rsidRDefault="00F46E39" w:rsidP="002F2CF3">
            <w:r w:rsidRPr="00ED1F31">
              <w:t>‘Instrumentation &amp; control and ground signalling’ subsystem authorisations</w:t>
            </w:r>
          </w:p>
        </w:tc>
      </w:tr>
      <w:tr w:rsidR="00BD7B71" w:rsidTr="002F2CF3">
        <w:tc>
          <w:tcPr>
            <w:tcW w:w="7196" w:type="dxa"/>
          </w:tcPr>
          <w:p w:rsidR="002F2CF3" w:rsidRPr="00587420" w:rsidRDefault="00F46E39" w:rsidP="002F2CF3">
            <w:pPr>
              <w:rPr>
                <w:lang w:val="fr-BE"/>
              </w:rPr>
            </w:pPr>
            <w:r w:rsidRPr="00587420">
              <w:rPr>
                <w:lang w:val="fr-BE"/>
              </w:rPr>
              <w:t>Allocation des sillons long terme</w:t>
            </w:r>
          </w:p>
        </w:tc>
        <w:tc>
          <w:tcPr>
            <w:tcW w:w="7196" w:type="dxa"/>
          </w:tcPr>
          <w:p w:rsidR="002F2CF3" w:rsidRPr="00ED1F31" w:rsidRDefault="00F46E39" w:rsidP="002F2CF3">
            <w:r w:rsidRPr="00ED1F31">
              <w:t>Long-term train path allocation</w:t>
            </w:r>
          </w:p>
        </w:tc>
      </w:tr>
      <w:tr w:rsidR="00BD7B71" w:rsidTr="002F2CF3">
        <w:tc>
          <w:tcPr>
            <w:tcW w:w="7196" w:type="dxa"/>
          </w:tcPr>
          <w:p w:rsidR="002F2CF3" w:rsidRPr="00587420" w:rsidRDefault="00F46E39" w:rsidP="002F2CF3">
            <w:pPr>
              <w:rPr>
                <w:lang w:val="fr-BE"/>
              </w:rPr>
            </w:pPr>
            <w:r w:rsidRPr="00587420">
              <w:rPr>
                <w:lang w:val="fr-BE"/>
              </w:rPr>
              <w:t>Allocation des sillons court terme</w:t>
            </w:r>
          </w:p>
        </w:tc>
        <w:tc>
          <w:tcPr>
            <w:tcW w:w="7196" w:type="dxa"/>
          </w:tcPr>
          <w:p w:rsidR="002F2CF3" w:rsidRPr="00ED1F31" w:rsidRDefault="00F46E39" w:rsidP="002F2CF3">
            <w:r w:rsidRPr="00ED1F31">
              <w:t>Short-term train path allocation</w:t>
            </w:r>
          </w:p>
        </w:tc>
      </w:tr>
      <w:tr w:rsidR="00BD7B71" w:rsidTr="002F2CF3">
        <w:tc>
          <w:tcPr>
            <w:tcW w:w="7196" w:type="dxa"/>
          </w:tcPr>
          <w:p w:rsidR="002F2CF3" w:rsidRPr="00587420" w:rsidRDefault="00F46E39" w:rsidP="002F2CF3">
            <w:pPr>
              <w:rPr>
                <w:lang w:val="fr-BE"/>
              </w:rPr>
            </w:pPr>
            <w:r w:rsidRPr="00587420">
              <w:rPr>
                <w:lang w:val="fr-BE"/>
              </w:rPr>
              <w:t>Allocation des sillons très court term</w:t>
            </w:r>
            <w:r w:rsidRPr="00587420">
              <w:rPr>
                <w:lang w:val="fr-BE"/>
              </w:rPr>
              <w:t>e</w:t>
            </w:r>
          </w:p>
        </w:tc>
        <w:tc>
          <w:tcPr>
            <w:tcW w:w="7196" w:type="dxa"/>
          </w:tcPr>
          <w:p w:rsidR="002F2CF3" w:rsidRPr="00ED1F31" w:rsidRDefault="00F46E39" w:rsidP="002F2CF3">
            <w:r w:rsidRPr="00ED1F31">
              <w:t>Allocation of very short-term train paths</w:t>
            </w:r>
          </w:p>
        </w:tc>
      </w:tr>
      <w:tr w:rsidR="00BD7B71" w:rsidTr="002F2CF3">
        <w:tc>
          <w:tcPr>
            <w:tcW w:w="7196" w:type="dxa"/>
          </w:tcPr>
          <w:p w:rsidR="002F2CF3" w:rsidRPr="00ED1F31" w:rsidRDefault="00F46E39" w:rsidP="002F2CF3">
            <w:r w:rsidRPr="00ED1F31">
              <w:t>Tarification des sillons</w:t>
            </w:r>
          </w:p>
        </w:tc>
        <w:tc>
          <w:tcPr>
            <w:tcW w:w="7196" w:type="dxa"/>
          </w:tcPr>
          <w:p w:rsidR="002F2CF3" w:rsidRPr="00ED1F31" w:rsidRDefault="00F46E39" w:rsidP="002F2CF3">
            <w:r w:rsidRPr="00ED1F31">
              <w:t>Train path pricing</w:t>
            </w:r>
          </w:p>
        </w:tc>
      </w:tr>
      <w:tr w:rsidR="00BD7B71" w:rsidTr="002F2CF3">
        <w:tc>
          <w:tcPr>
            <w:tcW w:w="7196" w:type="dxa"/>
          </w:tcPr>
          <w:p w:rsidR="002F2CF3" w:rsidRPr="00ED1F31" w:rsidRDefault="00F46E39" w:rsidP="002F2CF3">
            <w:r w:rsidRPr="00ED1F31">
              <w:t>Affaires administratives</w:t>
            </w:r>
          </w:p>
        </w:tc>
        <w:tc>
          <w:tcPr>
            <w:tcW w:w="7196" w:type="dxa"/>
          </w:tcPr>
          <w:p w:rsidR="002F2CF3" w:rsidRPr="00ED1F31" w:rsidRDefault="00F46E39" w:rsidP="002F2CF3">
            <w:r w:rsidRPr="00ED1F31">
              <w:t>Administrative affairs</w:t>
            </w:r>
          </w:p>
        </w:tc>
      </w:tr>
      <w:tr w:rsidR="00BD7B71" w:rsidTr="002F2CF3">
        <w:tc>
          <w:tcPr>
            <w:tcW w:w="7196" w:type="dxa"/>
          </w:tcPr>
          <w:p w:rsidR="002F2CF3" w:rsidRPr="00ED1F31" w:rsidRDefault="00F46E39" w:rsidP="002F2CF3">
            <w:r w:rsidRPr="00ED1F31">
              <w:t>Affaires juridiques</w:t>
            </w:r>
          </w:p>
        </w:tc>
        <w:tc>
          <w:tcPr>
            <w:tcW w:w="7196" w:type="dxa"/>
          </w:tcPr>
          <w:p w:rsidR="002F2CF3" w:rsidRPr="00ED1F31" w:rsidRDefault="00F46E39" w:rsidP="002F2CF3">
            <w:r w:rsidRPr="00ED1F31">
              <w:t>Legal affairs</w:t>
            </w:r>
          </w:p>
        </w:tc>
      </w:tr>
      <w:tr w:rsidR="00BD7B71" w:rsidTr="002F2CF3">
        <w:tc>
          <w:tcPr>
            <w:tcW w:w="7196" w:type="dxa"/>
          </w:tcPr>
          <w:p w:rsidR="002F2CF3" w:rsidRPr="00ED1F31" w:rsidRDefault="00F46E39" w:rsidP="002F2CF3">
            <w:r w:rsidRPr="00ED1F31">
              <w:t>Informatique</w:t>
            </w:r>
          </w:p>
        </w:tc>
        <w:tc>
          <w:tcPr>
            <w:tcW w:w="7196" w:type="dxa"/>
          </w:tcPr>
          <w:p w:rsidR="002F2CF3" w:rsidRPr="00ED1F31" w:rsidRDefault="00F46E39" w:rsidP="002F2CF3">
            <w:r w:rsidRPr="00ED1F31">
              <w:t>IT</w:t>
            </w:r>
          </w:p>
        </w:tc>
      </w:tr>
      <w:tr w:rsidR="00BD7B71" w:rsidTr="002F2CF3">
        <w:tc>
          <w:tcPr>
            <w:tcW w:w="7196" w:type="dxa"/>
          </w:tcPr>
          <w:p w:rsidR="002F2CF3" w:rsidRPr="00ED1F31" w:rsidRDefault="00F46E39" w:rsidP="002F2CF3">
            <w:r w:rsidRPr="00ED1F31">
              <w:t>ISO / SMS ACF</w:t>
            </w:r>
          </w:p>
        </w:tc>
        <w:tc>
          <w:tcPr>
            <w:tcW w:w="7196" w:type="dxa"/>
          </w:tcPr>
          <w:p w:rsidR="002F2CF3" w:rsidRPr="00ED1F31" w:rsidRDefault="00F46E39" w:rsidP="002F2CF3">
            <w:r w:rsidRPr="00ED1F31">
              <w:t>ACF ICO/SMS</w:t>
            </w:r>
          </w:p>
        </w:tc>
      </w:tr>
    </w:tbl>
    <w:p w:rsidR="000F7012" w:rsidRDefault="000F7012" w:rsidP="000F7012">
      <w:pPr>
        <w:spacing w:before="200"/>
        <w:rPr>
          <w:rFonts w:eastAsia="Calibri" w:cs="Calibri"/>
          <w:sz w:val="20"/>
          <w:szCs w:val="20"/>
        </w:rPr>
      </w:pPr>
    </w:p>
    <w:sectPr w:rsidR="000F7012" w:rsidSect="00205240">
      <w:type w:val="continuous"/>
      <w:pgSz w:w="16840" w:h="11910" w:orient="landscape"/>
      <w:pgMar w:top="1397" w:right="1325" w:bottom="734" w:left="133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E39" w:rsidRDefault="00F46E39">
      <w:r>
        <w:separator/>
      </w:r>
    </w:p>
  </w:endnote>
  <w:endnote w:type="continuationSeparator" w:id="0">
    <w:p w:rsidR="00F46E39" w:rsidRDefault="00F46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2290"/>
      <w:gridCol w:w="2328"/>
      <w:gridCol w:w="2337"/>
    </w:tblGrid>
    <w:tr w:rsidR="00BD7B71" w:rsidTr="00272D6B">
      <w:tc>
        <w:tcPr>
          <w:tcW w:w="2346" w:type="dxa"/>
          <w:vMerge w:val="restart"/>
        </w:tcPr>
        <w:p w:rsidR="00E13DD9" w:rsidRPr="00587420" w:rsidRDefault="00F46E39" w:rsidP="00272D6B">
          <w:pPr>
            <w:rPr>
              <w:color w:val="808080" w:themeColor="background1" w:themeShade="80"/>
              <w:sz w:val="16"/>
              <w:szCs w:val="16"/>
              <w:lang w:val="fr-BE"/>
            </w:rPr>
          </w:pPr>
          <w:r w:rsidRPr="00587420">
            <w:rPr>
              <w:color w:val="808080" w:themeColor="background1" w:themeShade="80"/>
              <w:sz w:val="16"/>
              <w:lang w:val="fr-BE"/>
            </w:rPr>
            <w:t>1, Porte de France</w:t>
          </w:r>
        </w:p>
        <w:p w:rsidR="00E13DD9" w:rsidRPr="00587420" w:rsidRDefault="00F46E39" w:rsidP="00272D6B">
          <w:pPr>
            <w:rPr>
              <w:color w:val="808080" w:themeColor="background1" w:themeShade="80"/>
              <w:sz w:val="16"/>
              <w:szCs w:val="16"/>
              <w:lang w:val="fr-BE"/>
            </w:rPr>
          </w:pPr>
          <w:r w:rsidRPr="00587420">
            <w:rPr>
              <w:color w:val="808080" w:themeColor="background1" w:themeShade="80"/>
              <w:sz w:val="16"/>
              <w:lang w:val="fr-BE"/>
            </w:rPr>
            <w:t>L-4360 Esch-sur-Alzette</w:t>
          </w:r>
        </w:p>
      </w:tc>
      <w:tc>
        <w:tcPr>
          <w:tcW w:w="2346" w:type="dxa"/>
        </w:tcPr>
        <w:p w:rsidR="00E13DD9" w:rsidRPr="00272D6B" w:rsidRDefault="00F46E39" w:rsidP="00272D6B">
          <w:pPr>
            <w:rPr>
              <w:color w:val="808080" w:themeColor="background1" w:themeShade="80"/>
              <w:sz w:val="16"/>
              <w:szCs w:val="16"/>
            </w:rPr>
          </w:pPr>
          <w:r>
            <w:rPr>
              <w:color w:val="808080" w:themeColor="background1" w:themeShade="80"/>
              <w:sz w:val="16"/>
            </w:rPr>
            <w:t>Tel. (+352) 26 19 1220</w:t>
          </w:r>
        </w:p>
      </w:tc>
      <w:tc>
        <w:tcPr>
          <w:tcW w:w="2347" w:type="dxa"/>
          <w:vMerge w:val="restart"/>
        </w:tcPr>
        <w:p w:rsidR="00E13DD9" w:rsidRPr="00272D6B" w:rsidRDefault="00F46E39" w:rsidP="00272D6B">
          <w:pPr>
            <w:rPr>
              <w:color w:val="808080" w:themeColor="background1" w:themeShade="80"/>
              <w:sz w:val="16"/>
              <w:szCs w:val="16"/>
            </w:rPr>
          </w:pPr>
          <w:hyperlink r:id="rId1" w:history="1">
            <w:r>
              <w:rPr>
                <w:rStyle w:val="Hyperlink"/>
                <w:color w:val="808080" w:themeColor="background1" w:themeShade="80"/>
                <w:sz w:val="16"/>
                <w:u w:val="none"/>
              </w:rPr>
              <w:t>contact@acf.etat.lu</w:t>
            </w:r>
          </w:hyperlink>
        </w:p>
      </w:tc>
      <w:tc>
        <w:tcPr>
          <w:tcW w:w="2347" w:type="dxa"/>
        </w:tcPr>
        <w:p w:rsidR="00E13DD9" w:rsidRPr="00272D6B" w:rsidRDefault="00F46E39" w:rsidP="00272D6B">
          <w:pPr>
            <w:rPr>
              <w:color w:val="808080" w:themeColor="background1" w:themeShade="80"/>
              <w:sz w:val="16"/>
              <w:szCs w:val="16"/>
            </w:rPr>
          </w:pPr>
          <w:hyperlink r:id="rId2" w:history="1">
            <w:r>
              <w:rPr>
                <w:rStyle w:val="Hyperlink"/>
                <w:color w:val="808080" w:themeColor="background1" w:themeShade="80"/>
                <w:sz w:val="16"/>
                <w:u w:val="none"/>
              </w:rPr>
              <w:t>www.gouvernement.lu</w:t>
            </w:r>
          </w:hyperlink>
        </w:p>
      </w:tc>
    </w:tr>
    <w:tr w:rsidR="00BD7B71" w:rsidTr="00272D6B">
      <w:tc>
        <w:tcPr>
          <w:tcW w:w="2346" w:type="dxa"/>
          <w:vMerge/>
        </w:tcPr>
        <w:p w:rsidR="00E13DD9" w:rsidRPr="00272D6B" w:rsidRDefault="00E13DD9" w:rsidP="00272D6B">
          <w:pPr>
            <w:rPr>
              <w:color w:val="808080" w:themeColor="background1" w:themeShade="80"/>
              <w:sz w:val="16"/>
              <w:szCs w:val="16"/>
            </w:rPr>
          </w:pPr>
        </w:p>
      </w:tc>
      <w:tc>
        <w:tcPr>
          <w:tcW w:w="2346" w:type="dxa"/>
        </w:tcPr>
        <w:p w:rsidR="00E13DD9" w:rsidRPr="00272D6B" w:rsidRDefault="00F46E39" w:rsidP="00272D6B">
          <w:pPr>
            <w:rPr>
              <w:color w:val="808080" w:themeColor="background1" w:themeShade="80"/>
              <w:sz w:val="16"/>
              <w:szCs w:val="16"/>
            </w:rPr>
          </w:pPr>
          <w:r>
            <w:rPr>
              <w:color w:val="808080" w:themeColor="background1" w:themeShade="80"/>
              <w:sz w:val="16"/>
            </w:rPr>
            <w:t>Fax (+352) 26 19 1239</w:t>
          </w:r>
        </w:p>
      </w:tc>
      <w:tc>
        <w:tcPr>
          <w:tcW w:w="2347" w:type="dxa"/>
          <w:vMerge/>
        </w:tcPr>
        <w:p w:rsidR="00E13DD9" w:rsidRPr="00272D6B" w:rsidRDefault="00E13DD9" w:rsidP="00272D6B">
          <w:pPr>
            <w:rPr>
              <w:color w:val="808080" w:themeColor="background1" w:themeShade="80"/>
              <w:sz w:val="16"/>
              <w:szCs w:val="16"/>
            </w:rPr>
          </w:pPr>
        </w:p>
      </w:tc>
      <w:tc>
        <w:tcPr>
          <w:tcW w:w="2347" w:type="dxa"/>
        </w:tcPr>
        <w:p w:rsidR="00E13DD9" w:rsidRPr="00272D6B" w:rsidRDefault="00F46E39" w:rsidP="00272D6B">
          <w:pPr>
            <w:rPr>
              <w:color w:val="808080" w:themeColor="background1" w:themeShade="80"/>
              <w:sz w:val="16"/>
              <w:szCs w:val="16"/>
            </w:rPr>
          </w:pPr>
          <w:hyperlink r:id="rId3" w:history="1">
            <w:r>
              <w:rPr>
                <w:rStyle w:val="Hyperlink"/>
                <w:color w:val="808080" w:themeColor="background1" w:themeShade="80"/>
                <w:sz w:val="16"/>
                <w:u w:val="none"/>
              </w:rPr>
              <w:t>www.railinfra.lu</w:t>
            </w:r>
          </w:hyperlink>
        </w:p>
      </w:tc>
    </w:tr>
  </w:tbl>
  <w:p w:rsidR="00E13DD9" w:rsidRPr="00272D6B" w:rsidRDefault="00E13DD9" w:rsidP="00272D6B">
    <w:pPr>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039653"/>
      <w:docPartObj>
        <w:docPartGallery w:val="Page Numbers (Bottom of Page)"/>
        <w:docPartUnique/>
      </w:docPartObj>
    </w:sdtPr>
    <w:sdtEndPr>
      <w:rPr>
        <w:noProof/>
      </w:rPr>
    </w:sdtEndPr>
    <w:sdtContent>
      <w:p w:rsidR="00E13DD9" w:rsidRDefault="00F46E39" w:rsidP="00F23686">
        <w:pPr>
          <w:pStyle w:val="Footer"/>
          <w:tabs>
            <w:tab w:val="clear" w:pos="9072"/>
          </w:tabs>
          <w:ind w:right="66"/>
          <w:jc w:val="right"/>
        </w:pPr>
        <w:r>
          <w:fldChar w:fldCharType="begin"/>
        </w:r>
        <w:r>
          <w:instrText xml:space="preserve"> PAGE   \* MERGEFORMAT </w:instrText>
        </w:r>
        <w:r>
          <w:fldChar w:fldCharType="separate"/>
        </w:r>
        <w:r w:rsidR="00587420">
          <w:rPr>
            <w:noProof/>
          </w:rPr>
          <w:t>22</w:t>
        </w:r>
        <w:r>
          <w:rPr>
            <w:noProof/>
          </w:rPr>
          <w:fldChar w:fldCharType="end"/>
        </w:r>
      </w:p>
    </w:sdtContent>
  </w:sdt>
  <w:p w:rsidR="00E13DD9" w:rsidRDefault="00E13DD9">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E39" w:rsidRDefault="00F46E39">
      <w:r>
        <w:separator/>
      </w:r>
    </w:p>
  </w:footnote>
  <w:footnote w:type="continuationSeparator" w:id="0">
    <w:p w:rsidR="00F46E39" w:rsidRDefault="00F46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7A57"/>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1" w15:restartNumberingAfterBreak="0">
    <w:nsid w:val="028F5955"/>
    <w:multiLevelType w:val="hybridMultilevel"/>
    <w:tmpl w:val="A3AEC57E"/>
    <w:lvl w:ilvl="0" w:tplc="46ACBF44">
      <w:start w:val="1"/>
      <w:numFmt w:val="bullet"/>
      <w:lvlText w:val="-"/>
      <w:lvlJc w:val="left"/>
      <w:pPr>
        <w:ind w:left="278" w:hanging="176"/>
      </w:pPr>
      <w:rPr>
        <w:rFonts w:ascii="Calibri" w:eastAsia="Calibri" w:hAnsi="Calibri" w:hint="default"/>
        <w:w w:val="99"/>
        <w:sz w:val="20"/>
        <w:szCs w:val="20"/>
      </w:rPr>
    </w:lvl>
    <w:lvl w:ilvl="1" w:tplc="03DC913E">
      <w:start w:val="1"/>
      <w:numFmt w:val="bullet"/>
      <w:lvlText w:val="•"/>
      <w:lvlJc w:val="left"/>
      <w:pPr>
        <w:ind w:left="704" w:hanging="176"/>
      </w:pPr>
      <w:rPr>
        <w:rFonts w:hint="default"/>
      </w:rPr>
    </w:lvl>
    <w:lvl w:ilvl="2" w:tplc="992EF38C">
      <w:start w:val="1"/>
      <w:numFmt w:val="bullet"/>
      <w:lvlText w:val="•"/>
      <w:lvlJc w:val="left"/>
      <w:pPr>
        <w:ind w:left="1129" w:hanging="176"/>
      </w:pPr>
      <w:rPr>
        <w:rFonts w:hint="default"/>
      </w:rPr>
    </w:lvl>
    <w:lvl w:ilvl="3" w:tplc="ED0ED94A">
      <w:start w:val="1"/>
      <w:numFmt w:val="bullet"/>
      <w:lvlText w:val="•"/>
      <w:lvlJc w:val="left"/>
      <w:pPr>
        <w:ind w:left="1553" w:hanging="176"/>
      </w:pPr>
      <w:rPr>
        <w:rFonts w:hint="default"/>
      </w:rPr>
    </w:lvl>
    <w:lvl w:ilvl="4" w:tplc="6346C9FE">
      <w:start w:val="1"/>
      <w:numFmt w:val="bullet"/>
      <w:lvlText w:val="•"/>
      <w:lvlJc w:val="left"/>
      <w:pPr>
        <w:ind w:left="1978" w:hanging="176"/>
      </w:pPr>
      <w:rPr>
        <w:rFonts w:hint="default"/>
      </w:rPr>
    </w:lvl>
    <w:lvl w:ilvl="5" w:tplc="D2942008">
      <w:start w:val="1"/>
      <w:numFmt w:val="bullet"/>
      <w:lvlText w:val="•"/>
      <w:lvlJc w:val="left"/>
      <w:pPr>
        <w:ind w:left="2403" w:hanging="176"/>
      </w:pPr>
      <w:rPr>
        <w:rFonts w:hint="default"/>
      </w:rPr>
    </w:lvl>
    <w:lvl w:ilvl="6" w:tplc="5CFCB2AE">
      <w:start w:val="1"/>
      <w:numFmt w:val="bullet"/>
      <w:lvlText w:val="•"/>
      <w:lvlJc w:val="left"/>
      <w:pPr>
        <w:ind w:left="2827" w:hanging="176"/>
      </w:pPr>
      <w:rPr>
        <w:rFonts w:hint="default"/>
      </w:rPr>
    </w:lvl>
    <w:lvl w:ilvl="7" w:tplc="426ED3E4">
      <w:start w:val="1"/>
      <w:numFmt w:val="bullet"/>
      <w:lvlText w:val="•"/>
      <w:lvlJc w:val="left"/>
      <w:pPr>
        <w:ind w:left="3252" w:hanging="176"/>
      </w:pPr>
      <w:rPr>
        <w:rFonts w:hint="default"/>
      </w:rPr>
    </w:lvl>
    <w:lvl w:ilvl="8" w:tplc="6302D51A">
      <w:start w:val="1"/>
      <w:numFmt w:val="bullet"/>
      <w:lvlText w:val="•"/>
      <w:lvlJc w:val="left"/>
      <w:pPr>
        <w:ind w:left="3677" w:hanging="176"/>
      </w:pPr>
      <w:rPr>
        <w:rFonts w:hint="default"/>
      </w:rPr>
    </w:lvl>
  </w:abstractNum>
  <w:abstractNum w:abstractNumId="2" w15:restartNumberingAfterBreak="0">
    <w:nsid w:val="06B91202"/>
    <w:multiLevelType w:val="hybridMultilevel"/>
    <w:tmpl w:val="F322E5F0"/>
    <w:lvl w:ilvl="0" w:tplc="BF1E841C">
      <w:start w:val="1"/>
      <w:numFmt w:val="bullet"/>
      <w:lvlText w:val="-"/>
      <w:lvlJc w:val="left"/>
      <w:pPr>
        <w:ind w:left="278" w:hanging="176"/>
      </w:pPr>
      <w:rPr>
        <w:rFonts w:ascii="Calibri" w:eastAsia="Calibri" w:hAnsi="Calibri" w:hint="default"/>
        <w:w w:val="99"/>
        <w:sz w:val="20"/>
        <w:szCs w:val="20"/>
      </w:rPr>
    </w:lvl>
    <w:lvl w:ilvl="1" w:tplc="B3544CEC">
      <w:start w:val="1"/>
      <w:numFmt w:val="bullet"/>
      <w:lvlText w:val="•"/>
      <w:lvlJc w:val="left"/>
      <w:pPr>
        <w:ind w:left="719" w:hanging="176"/>
      </w:pPr>
      <w:rPr>
        <w:rFonts w:hint="default"/>
      </w:rPr>
    </w:lvl>
    <w:lvl w:ilvl="2" w:tplc="7C06915A">
      <w:start w:val="1"/>
      <w:numFmt w:val="bullet"/>
      <w:lvlText w:val="•"/>
      <w:lvlJc w:val="left"/>
      <w:pPr>
        <w:ind w:left="1158" w:hanging="176"/>
      </w:pPr>
      <w:rPr>
        <w:rFonts w:hint="default"/>
      </w:rPr>
    </w:lvl>
    <w:lvl w:ilvl="3" w:tplc="AA0C006A">
      <w:start w:val="1"/>
      <w:numFmt w:val="bullet"/>
      <w:lvlText w:val="•"/>
      <w:lvlJc w:val="left"/>
      <w:pPr>
        <w:ind w:left="1597" w:hanging="176"/>
      </w:pPr>
      <w:rPr>
        <w:rFonts w:hint="default"/>
      </w:rPr>
    </w:lvl>
    <w:lvl w:ilvl="4" w:tplc="546C0E1A">
      <w:start w:val="1"/>
      <w:numFmt w:val="bullet"/>
      <w:lvlText w:val="•"/>
      <w:lvlJc w:val="left"/>
      <w:pPr>
        <w:ind w:left="2036" w:hanging="176"/>
      </w:pPr>
      <w:rPr>
        <w:rFonts w:hint="default"/>
      </w:rPr>
    </w:lvl>
    <w:lvl w:ilvl="5" w:tplc="6686B452">
      <w:start w:val="1"/>
      <w:numFmt w:val="bullet"/>
      <w:lvlText w:val="•"/>
      <w:lvlJc w:val="left"/>
      <w:pPr>
        <w:ind w:left="2475" w:hanging="176"/>
      </w:pPr>
      <w:rPr>
        <w:rFonts w:hint="default"/>
      </w:rPr>
    </w:lvl>
    <w:lvl w:ilvl="6" w:tplc="53763B38">
      <w:start w:val="1"/>
      <w:numFmt w:val="bullet"/>
      <w:lvlText w:val="•"/>
      <w:lvlJc w:val="left"/>
      <w:pPr>
        <w:ind w:left="2914" w:hanging="176"/>
      </w:pPr>
      <w:rPr>
        <w:rFonts w:hint="default"/>
      </w:rPr>
    </w:lvl>
    <w:lvl w:ilvl="7" w:tplc="1B8ABDAC">
      <w:start w:val="1"/>
      <w:numFmt w:val="bullet"/>
      <w:lvlText w:val="•"/>
      <w:lvlJc w:val="left"/>
      <w:pPr>
        <w:ind w:left="3353" w:hanging="176"/>
      </w:pPr>
      <w:rPr>
        <w:rFonts w:hint="default"/>
      </w:rPr>
    </w:lvl>
    <w:lvl w:ilvl="8" w:tplc="0CFC9766">
      <w:start w:val="1"/>
      <w:numFmt w:val="bullet"/>
      <w:lvlText w:val="•"/>
      <w:lvlJc w:val="left"/>
      <w:pPr>
        <w:ind w:left="3792" w:hanging="176"/>
      </w:pPr>
      <w:rPr>
        <w:rFonts w:hint="default"/>
      </w:rPr>
    </w:lvl>
  </w:abstractNum>
  <w:abstractNum w:abstractNumId="3" w15:restartNumberingAfterBreak="0">
    <w:nsid w:val="07464357"/>
    <w:multiLevelType w:val="hybridMultilevel"/>
    <w:tmpl w:val="2C5C0B00"/>
    <w:lvl w:ilvl="0" w:tplc="83048F50">
      <w:start w:val="1"/>
      <w:numFmt w:val="decimal"/>
      <w:pStyle w:val="Heading3"/>
      <w:lvlText w:val="%1."/>
      <w:lvlJc w:val="left"/>
      <w:pPr>
        <w:ind w:left="1383" w:hanging="360"/>
      </w:pPr>
      <w:rPr>
        <w:rFonts w:ascii="Calibri" w:hAnsi="Calibri" w:hint="default"/>
        <w:b/>
        <w:bCs/>
        <w:color w:val="auto"/>
        <w:spacing w:val="0"/>
        <w:w w:val="100"/>
        <w:sz w:val="24"/>
        <w:szCs w:val="24"/>
      </w:rPr>
    </w:lvl>
    <w:lvl w:ilvl="1" w:tplc="7B26DE84" w:tentative="1">
      <w:start w:val="1"/>
      <w:numFmt w:val="lowerLetter"/>
      <w:lvlText w:val="%2."/>
      <w:lvlJc w:val="left"/>
      <w:pPr>
        <w:ind w:left="2103" w:hanging="360"/>
      </w:pPr>
    </w:lvl>
    <w:lvl w:ilvl="2" w:tplc="F0C0BEB6" w:tentative="1">
      <w:start w:val="1"/>
      <w:numFmt w:val="lowerRoman"/>
      <w:lvlText w:val="%3."/>
      <w:lvlJc w:val="right"/>
      <w:pPr>
        <w:ind w:left="2823" w:hanging="180"/>
      </w:pPr>
    </w:lvl>
    <w:lvl w:ilvl="3" w:tplc="E8EADF1E" w:tentative="1">
      <w:start w:val="1"/>
      <w:numFmt w:val="decimal"/>
      <w:lvlText w:val="%4."/>
      <w:lvlJc w:val="left"/>
      <w:pPr>
        <w:ind w:left="3543" w:hanging="360"/>
      </w:pPr>
    </w:lvl>
    <w:lvl w:ilvl="4" w:tplc="0CBC0488" w:tentative="1">
      <w:start w:val="1"/>
      <w:numFmt w:val="lowerLetter"/>
      <w:lvlText w:val="%5."/>
      <w:lvlJc w:val="left"/>
      <w:pPr>
        <w:ind w:left="4263" w:hanging="360"/>
      </w:pPr>
    </w:lvl>
    <w:lvl w:ilvl="5" w:tplc="4FCEE036" w:tentative="1">
      <w:start w:val="1"/>
      <w:numFmt w:val="lowerRoman"/>
      <w:lvlText w:val="%6."/>
      <w:lvlJc w:val="right"/>
      <w:pPr>
        <w:ind w:left="4983" w:hanging="180"/>
      </w:pPr>
    </w:lvl>
    <w:lvl w:ilvl="6" w:tplc="23EA2E2A" w:tentative="1">
      <w:start w:val="1"/>
      <w:numFmt w:val="decimal"/>
      <w:lvlText w:val="%7."/>
      <w:lvlJc w:val="left"/>
      <w:pPr>
        <w:ind w:left="5703" w:hanging="360"/>
      </w:pPr>
    </w:lvl>
    <w:lvl w:ilvl="7" w:tplc="59CC7C68" w:tentative="1">
      <w:start w:val="1"/>
      <w:numFmt w:val="lowerLetter"/>
      <w:lvlText w:val="%8."/>
      <w:lvlJc w:val="left"/>
      <w:pPr>
        <w:ind w:left="6423" w:hanging="360"/>
      </w:pPr>
    </w:lvl>
    <w:lvl w:ilvl="8" w:tplc="1D9E9604" w:tentative="1">
      <w:start w:val="1"/>
      <w:numFmt w:val="lowerRoman"/>
      <w:lvlText w:val="%9."/>
      <w:lvlJc w:val="right"/>
      <w:pPr>
        <w:ind w:left="7143" w:hanging="180"/>
      </w:pPr>
    </w:lvl>
  </w:abstractNum>
  <w:abstractNum w:abstractNumId="4" w15:restartNumberingAfterBreak="0">
    <w:nsid w:val="08A00EF5"/>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5" w15:restartNumberingAfterBreak="0">
    <w:nsid w:val="0B112B1C"/>
    <w:multiLevelType w:val="hybridMultilevel"/>
    <w:tmpl w:val="FF784710"/>
    <w:lvl w:ilvl="0" w:tplc="F0CC5556">
      <w:start w:val="1"/>
      <w:numFmt w:val="bullet"/>
      <w:lvlText w:val="-"/>
      <w:lvlJc w:val="left"/>
      <w:pPr>
        <w:ind w:left="278" w:hanging="176"/>
      </w:pPr>
      <w:rPr>
        <w:rFonts w:ascii="Calibri" w:eastAsia="Calibri" w:hAnsi="Calibri" w:hint="default"/>
        <w:w w:val="99"/>
        <w:sz w:val="20"/>
        <w:szCs w:val="20"/>
      </w:rPr>
    </w:lvl>
    <w:lvl w:ilvl="1" w:tplc="5ECC43B6">
      <w:start w:val="1"/>
      <w:numFmt w:val="bullet"/>
      <w:lvlText w:val="•"/>
      <w:lvlJc w:val="left"/>
      <w:pPr>
        <w:ind w:left="704" w:hanging="176"/>
      </w:pPr>
      <w:rPr>
        <w:rFonts w:hint="default"/>
      </w:rPr>
    </w:lvl>
    <w:lvl w:ilvl="2" w:tplc="ED6C0CB0">
      <w:start w:val="1"/>
      <w:numFmt w:val="bullet"/>
      <w:lvlText w:val="•"/>
      <w:lvlJc w:val="left"/>
      <w:pPr>
        <w:ind w:left="1129" w:hanging="176"/>
      </w:pPr>
      <w:rPr>
        <w:rFonts w:hint="default"/>
      </w:rPr>
    </w:lvl>
    <w:lvl w:ilvl="3" w:tplc="259C51F6">
      <w:start w:val="1"/>
      <w:numFmt w:val="bullet"/>
      <w:lvlText w:val="•"/>
      <w:lvlJc w:val="left"/>
      <w:pPr>
        <w:ind w:left="1553" w:hanging="176"/>
      </w:pPr>
      <w:rPr>
        <w:rFonts w:hint="default"/>
      </w:rPr>
    </w:lvl>
    <w:lvl w:ilvl="4" w:tplc="B23E7C72">
      <w:start w:val="1"/>
      <w:numFmt w:val="bullet"/>
      <w:lvlText w:val="•"/>
      <w:lvlJc w:val="left"/>
      <w:pPr>
        <w:ind w:left="1978" w:hanging="176"/>
      </w:pPr>
      <w:rPr>
        <w:rFonts w:hint="default"/>
      </w:rPr>
    </w:lvl>
    <w:lvl w:ilvl="5" w:tplc="B4084480">
      <w:start w:val="1"/>
      <w:numFmt w:val="bullet"/>
      <w:lvlText w:val="•"/>
      <w:lvlJc w:val="left"/>
      <w:pPr>
        <w:ind w:left="2403" w:hanging="176"/>
      </w:pPr>
      <w:rPr>
        <w:rFonts w:hint="default"/>
      </w:rPr>
    </w:lvl>
    <w:lvl w:ilvl="6" w:tplc="73C23CC0">
      <w:start w:val="1"/>
      <w:numFmt w:val="bullet"/>
      <w:lvlText w:val="•"/>
      <w:lvlJc w:val="left"/>
      <w:pPr>
        <w:ind w:left="2827" w:hanging="176"/>
      </w:pPr>
      <w:rPr>
        <w:rFonts w:hint="default"/>
      </w:rPr>
    </w:lvl>
    <w:lvl w:ilvl="7" w:tplc="0F741874">
      <w:start w:val="1"/>
      <w:numFmt w:val="bullet"/>
      <w:lvlText w:val="•"/>
      <w:lvlJc w:val="left"/>
      <w:pPr>
        <w:ind w:left="3252" w:hanging="176"/>
      </w:pPr>
      <w:rPr>
        <w:rFonts w:hint="default"/>
      </w:rPr>
    </w:lvl>
    <w:lvl w:ilvl="8" w:tplc="7BDC0AF2">
      <w:start w:val="1"/>
      <w:numFmt w:val="bullet"/>
      <w:lvlText w:val="•"/>
      <w:lvlJc w:val="left"/>
      <w:pPr>
        <w:ind w:left="3677" w:hanging="176"/>
      </w:pPr>
      <w:rPr>
        <w:rFonts w:hint="default"/>
      </w:rPr>
    </w:lvl>
  </w:abstractNum>
  <w:abstractNum w:abstractNumId="6" w15:restartNumberingAfterBreak="0">
    <w:nsid w:val="0DD90088"/>
    <w:multiLevelType w:val="hybridMultilevel"/>
    <w:tmpl w:val="FCE2FA08"/>
    <w:lvl w:ilvl="0" w:tplc="3EC68502">
      <w:start w:val="1"/>
      <w:numFmt w:val="bullet"/>
      <w:lvlText w:val="-"/>
      <w:lvlJc w:val="left"/>
      <w:pPr>
        <w:ind w:left="278" w:hanging="176"/>
      </w:pPr>
      <w:rPr>
        <w:rFonts w:ascii="Calibri" w:eastAsia="Calibri" w:hAnsi="Calibri" w:hint="default"/>
        <w:w w:val="99"/>
        <w:sz w:val="20"/>
        <w:szCs w:val="20"/>
      </w:rPr>
    </w:lvl>
    <w:lvl w:ilvl="1" w:tplc="FDE03C80">
      <w:start w:val="1"/>
      <w:numFmt w:val="bullet"/>
      <w:lvlText w:val="•"/>
      <w:lvlJc w:val="left"/>
      <w:pPr>
        <w:ind w:left="704" w:hanging="176"/>
      </w:pPr>
      <w:rPr>
        <w:rFonts w:hint="default"/>
      </w:rPr>
    </w:lvl>
    <w:lvl w:ilvl="2" w:tplc="894A704A">
      <w:start w:val="1"/>
      <w:numFmt w:val="bullet"/>
      <w:lvlText w:val="•"/>
      <w:lvlJc w:val="left"/>
      <w:pPr>
        <w:ind w:left="1129" w:hanging="176"/>
      </w:pPr>
      <w:rPr>
        <w:rFonts w:hint="default"/>
      </w:rPr>
    </w:lvl>
    <w:lvl w:ilvl="3" w:tplc="22C65A96">
      <w:start w:val="1"/>
      <w:numFmt w:val="bullet"/>
      <w:lvlText w:val="•"/>
      <w:lvlJc w:val="left"/>
      <w:pPr>
        <w:ind w:left="1553" w:hanging="176"/>
      </w:pPr>
      <w:rPr>
        <w:rFonts w:hint="default"/>
      </w:rPr>
    </w:lvl>
    <w:lvl w:ilvl="4" w:tplc="8BB8A39E">
      <w:start w:val="1"/>
      <w:numFmt w:val="bullet"/>
      <w:lvlText w:val="•"/>
      <w:lvlJc w:val="left"/>
      <w:pPr>
        <w:ind w:left="1978" w:hanging="176"/>
      </w:pPr>
      <w:rPr>
        <w:rFonts w:hint="default"/>
      </w:rPr>
    </w:lvl>
    <w:lvl w:ilvl="5" w:tplc="6068EC06">
      <w:start w:val="1"/>
      <w:numFmt w:val="bullet"/>
      <w:lvlText w:val="•"/>
      <w:lvlJc w:val="left"/>
      <w:pPr>
        <w:ind w:left="2403" w:hanging="176"/>
      </w:pPr>
      <w:rPr>
        <w:rFonts w:hint="default"/>
      </w:rPr>
    </w:lvl>
    <w:lvl w:ilvl="6" w:tplc="5BC28644">
      <w:start w:val="1"/>
      <w:numFmt w:val="bullet"/>
      <w:lvlText w:val="•"/>
      <w:lvlJc w:val="left"/>
      <w:pPr>
        <w:ind w:left="2827" w:hanging="176"/>
      </w:pPr>
      <w:rPr>
        <w:rFonts w:hint="default"/>
      </w:rPr>
    </w:lvl>
    <w:lvl w:ilvl="7" w:tplc="77962C3E">
      <w:start w:val="1"/>
      <w:numFmt w:val="bullet"/>
      <w:lvlText w:val="•"/>
      <w:lvlJc w:val="left"/>
      <w:pPr>
        <w:ind w:left="3252" w:hanging="176"/>
      </w:pPr>
      <w:rPr>
        <w:rFonts w:hint="default"/>
      </w:rPr>
    </w:lvl>
    <w:lvl w:ilvl="8" w:tplc="938AAA0E">
      <w:start w:val="1"/>
      <w:numFmt w:val="bullet"/>
      <w:lvlText w:val="•"/>
      <w:lvlJc w:val="left"/>
      <w:pPr>
        <w:ind w:left="3677" w:hanging="176"/>
      </w:pPr>
      <w:rPr>
        <w:rFonts w:hint="default"/>
      </w:rPr>
    </w:lvl>
  </w:abstractNum>
  <w:abstractNum w:abstractNumId="7" w15:restartNumberingAfterBreak="0">
    <w:nsid w:val="10DC7F24"/>
    <w:multiLevelType w:val="hybridMultilevel"/>
    <w:tmpl w:val="C8BC92B2"/>
    <w:lvl w:ilvl="0" w:tplc="7920260E">
      <w:start w:val="1"/>
      <w:numFmt w:val="bullet"/>
      <w:lvlText w:val="-"/>
      <w:lvlJc w:val="left"/>
      <w:pPr>
        <w:ind w:left="1829" w:hanging="360"/>
      </w:pPr>
      <w:rPr>
        <w:rFonts w:ascii="Calibri" w:eastAsia="Calibri" w:hAnsi="Calibri" w:hint="default"/>
        <w:w w:val="99"/>
        <w:sz w:val="20"/>
        <w:szCs w:val="20"/>
      </w:rPr>
    </w:lvl>
    <w:lvl w:ilvl="1" w:tplc="430A4108" w:tentative="1">
      <w:start w:val="1"/>
      <w:numFmt w:val="bullet"/>
      <w:lvlText w:val="o"/>
      <w:lvlJc w:val="left"/>
      <w:pPr>
        <w:ind w:left="1542" w:hanging="360"/>
      </w:pPr>
      <w:rPr>
        <w:rFonts w:ascii="Courier New" w:hAnsi="Courier New" w:cs="Courier New" w:hint="default"/>
      </w:rPr>
    </w:lvl>
    <w:lvl w:ilvl="2" w:tplc="351E1BA0" w:tentative="1">
      <w:start w:val="1"/>
      <w:numFmt w:val="bullet"/>
      <w:lvlText w:val=""/>
      <w:lvlJc w:val="left"/>
      <w:pPr>
        <w:ind w:left="2262" w:hanging="360"/>
      </w:pPr>
      <w:rPr>
        <w:rFonts w:ascii="Wingdings" w:hAnsi="Wingdings" w:hint="default"/>
      </w:rPr>
    </w:lvl>
    <w:lvl w:ilvl="3" w:tplc="1D1E8E50" w:tentative="1">
      <w:start w:val="1"/>
      <w:numFmt w:val="bullet"/>
      <w:lvlText w:val=""/>
      <w:lvlJc w:val="left"/>
      <w:pPr>
        <w:ind w:left="2982" w:hanging="360"/>
      </w:pPr>
      <w:rPr>
        <w:rFonts w:ascii="Symbol" w:hAnsi="Symbol" w:hint="default"/>
      </w:rPr>
    </w:lvl>
    <w:lvl w:ilvl="4" w:tplc="2AD45E68" w:tentative="1">
      <w:start w:val="1"/>
      <w:numFmt w:val="bullet"/>
      <w:lvlText w:val="o"/>
      <w:lvlJc w:val="left"/>
      <w:pPr>
        <w:ind w:left="3702" w:hanging="360"/>
      </w:pPr>
      <w:rPr>
        <w:rFonts w:ascii="Courier New" w:hAnsi="Courier New" w:cs="Courier New" w:hint="default"/>
      </w:rPr>
    </w:lvl>
    <w:lvl w:ilvl="5" w:tplc="44164CEC" w:tentative="1">
      <w:start w:val="1"/>
      <w:numFmt w:val="bullet"/>
      <w:lvlText w:val=""/>
      <w:lvlJc w:val="left"/>
      <w:pPr>
        <w:ind w:left="4422" w:hanging="360"/>
      </w:pPr>
      <w:rPr>
        <w:rFonts w:ascii="Wingdings" w:hAnsi="Wingdings" w:hint="default"/>
      </w:rPr>
    </w:lvl>
    <w:lvl w:ilvl="6" w:tplc="6D549546" w:tentative="1">
      <w:start w:val="1"/>
      <w:numFmt w:val="bullet"/>
      <w:lvlText w:val=""/>
      <w:lvlJc w:val="left"/>
      <w:pPr>
        <w:ind w:left="5142" w:hanging="360"/>
      </w:pPr>
      <w:rPr>
        <w:rFonts w:ascii="Symbol" w:hAnsi="Symbol" w:hint="default"/>
      </w:rPr>
    </w:lvl>
    <w:lvl w:ilvl="7" w:tplc="03122592" w:tentative="1">
      <w:start w:val="1"/>
      <w:numFmt w:val="bullet"/>
      <w:lvlText w:val="o"/>
      <w:lvlJc w:val="left"/>
      <w:pPr>
        <w:ind w:left="5862" w:hanging="360"/>
      </w:pPr>
      <w:rPr>
        <w:rFonts w:ascii="Courier New" w:hAnsi="Courier New" w:cs="Courier New" w:hint="default"/>
      </w:rPr>
    </w:lvl>
    <w:lvl w:ilvl="8" w:tplc="DEDC3072" w:tentative="1">
      <w:start w:val="1"/>
      <w:numFmt w:val="bullet"/>
      <w:lvlText w:val=""/>
      <w:lvlJc w:val="left"/>
      <w:pPr>
        <w:ind w:left="6582" w:hanging="360"/>
      </w:pPr>
      <w:rPr>
        <w:rFonts w:ascii="Wingdings" w:hAnsi="Wingdings" w:hint="default"/>
      </w:rPr>
    </w:lvl>
  </w:abstractNum>
  <w:abstractNum w:abstractNumId="8" w15:restartNumberingAfterBreak="0">
    <w:nsid w:val="199B10D7"/>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9" w15:restartNumberingAfterBreak="0">
    <w:nsid w:val="1C243E7E"/>
    <w:multiLevelType w:val="hybridMultilevel"/>
    <w:tmpl w:val="52BA041C"/>
    <w:lvl w:ilvl="0" w:tplc="1DC0974A">
      <w:start w:val="1"/>
      <w:numFmt w:val="bullet"/>
      <w:lvlText w:val="-"/>
      <w:lvlJc w:val="left"/>
      <w:pPr>
        <w:ind w:left="277" w:hanging="176"/>
      </w:pPr>
      <w:rPr>
        <w:rFonts w:ascii="Calibri" w:eastAsia="Calibri" w:hAnsi="Calibri" w:hint="default"/>
        <w:w w:val="99"/>
        <w:sz w:val="20"/>
        <w:szCs w:val="20"/>
      </w:rPr>
    </w:lvl>
    <w:lvl w:ilvl="1" w:tplc="8D58EA88">
      <w:start w:val="1"/>
      <w:numFmt w:val="bullet"/>
      <w:lvlText w:val="•"/>
      <w:lvlJc w:val="left"/>
      <w:pPr>
        <w:ind w:left="719" w:hanging="176"/>
      </w:pPr>
      <w:rPr>
        <w:rFonts w:hint="default"/>
      </w:rPr>
    </w:lvl>
    <w:lvl w:ilvl="2" w:tplc="0AD270FE">
      <w:start w:val="1"/>
      <w:numFmt w:val="bullet"/>
      <w:lvlText w:val="•"/>
      <w:lvlJc w:val="left"/>
      <w:pPr>
        <w:ind w:left="1158" w:hanging="176"/>
      </w:pPr>
      <w:rPr>
        <w:rFonts w:hint="default"/>
      </w:rPr>
    </w:lvl>
    <w:lvl w:ilvl="3" w:tplc="632E652E">
      <w:start w:val="1"/>
      <w:numFmt w:val="bullet"/>
      <w:lvlText w:val="•"/>
      <w:lvlJc w:val="left"/>
      <w:pPr>
        <w:ind w:left="1597" w:hanging="176"/>
      </w:pPr>
      <w:rPr>
        <w:rFonts w:hint="default"/>
      </w:rPr>
    </w:lvl>
    <w:lvl w:ilvl="4" w:tplc="12D4921A">
      <w:start w:val="1"/>
      <w:numFmt w:val="bullet"/>
      <w:lvlText w:val="•"/>
      <w:lvlJc w:val="left"/>
      <w:pPr>
        <w:ind w:left="2036" w:hanging="176"/>
      </w:pPr>
      <w:rPr>
        <w:rFonts w:hint="default"/>
      </w:rPr>
    </w:lvl>
    <w:lvl w:ilvl="5" w:tplc="6A768A20">
      <w:start w:val="1"/>
      <w:numFmt w:val="bullet"/>
      <w:lvlText w:val="•"/>
      <w:lvlJc w:val="left"/>
      <w:pPr>
        <w:ind w:left="2475" w:hanging="176"/>
      </w:pPr>
      <w:rPr>
        <w:rFonts w:hint="default"/>
      </w:rPr>
    </w:lvl>
    <w:lvl w:ilvl="6" w:tplc="925E9AE8">
      <w:start w:val="1"/>
      <w:numFmt w:val="bullet"/>
      <w:lvlText w:val="•"/>
      <w:lvlJc w:val="left"/>
      <w:pPr>
        <w:ind w:left="2914" w:hanging="176"/>
      </w:pPr>
      <w:rPr>
        <w:rFonts w:hint="default"/>
      </w:rPr>
    </w:lvl>
    <w:lvl w:ilvl="7" w:tplc="3140C1FE">
      <w:start w:val="1"/>
      <w:numFmt w:val="bullet"/>
      <w:lvlText w:val="•"/>
      <w:lvlJc w:val="left"/>
      <w:pPr>
        <w:ind w:left="3353" w:hanging="176"/>
      </w:pPr>
      <w:rPr>
        <w:rFonts w:hint="default"/>
      </w:rPr>
    </w:lvl>
    <w:lvl w:ilvl="8" w:tplc="BF3A9E46">
      <w:start w:val="1"/>
      <w:numFmt w:val="bullet"/>
      <w:lvlText w:val="•"/>
      <w:lvlJc w:val="left"/>
      <w:pPr>
        <w:ind w:left="3792" w:hanging="176"/>
      </w:pPr>
      <w:rPr>
        <w:rFonts w:hint="default"/>
      </w:rPr>
    </w:lvl>
  </w:abstractNum>
  <w:abstractNum w:abstractNumId="10" w15:restartNumberingAfterBreak="0">
    <w:nsid w:val="23843934"/>
    <w:multiLevelType w:val="hybridMultilevel"/>
    <w:tmpl w:val="6472DFA0"/>
    <w:lvl w:ilvl="0" w:tplc="2736B9CC">
      <w:start w:val="1"/>
      <w:numFmt w:val="bullet"/>
      <w:lvlText w:val="-"/>
      <w:lvlJc w:val="left"/>
      <w:pPr>
        <w:ind w:left="561" w:hanging="284"/>
      </w:pPr>
      <w:rPr>
        <w:rFonts w:ascii="Arial" w:eastAsia="Arial" w:hAnsi="Arial" w:hint="default"/>
        <w:w w:val="99"/>
        <w:sz w:val="20"/>
        <w:szCs w:val="20"/>
      </w:rPr>
    </w:lvl>
    <w:lvl w:ilvl="1" w:tplc="3B2217E4">
      <w:start w:val="1"/>
      <w:numFmt w:val="bullet"/>
      <w:lvlText w:val="•"/>
      <w:lvlJc w:val="left"/>
      <w:pPr>
        <w:ind w:left="956" w:hanging="284"/>
      </w:pPr>
      <w:rPr>
        <w:rFonts w:hint="default"/>
      </w:rPr>
    </w:lvl>
    <w:lvl w:ilvl="2" w:tplc="DF90157C">
      <w:start w:val="1"/>
      <w:numFmt w:val="bullet"/>
      <w:lvlText w:val="•"/>
      <w:lvlJc w:val="left"/>
      <w:pPr>
        <w:ind w:left="1353" w:hanging="284"/>
      </w:pPr>
      <w:rPr>
        <w:rFonts w:hint="default"/>
      </w:rPr>
    </w:lvl>
    <w:lvl w:ilvl="3" w:tplc="9A52D322">
      <w:start w:val="1"/>
      <w:numFmt w:val="bullet"/>
      <w:lvlText w:val="•"/>
      <w:lvlJc w:val="left"/>
      <w:pPr>
        <w:ind w:left="1749" w:hanging="284"/>
      </w:pPr>
      <w:rPr>
        <w:rFonts w:hint="default"/>
      </w:rPr>
    </w:lvl>
    <w:lvl w:ilvl="4" w:tplc="58A411AE">
      <w:start w:val="1"/>
      <w:numFmt w:val="bullet"/>
      <w:lvlText w:val="•"/>
      <w:lvlJc w:val="left"/>
      <w:pPr>
        <w:ind w:left="2146" w:hanging="284"/>
      </w:pPr>
      <w:rPr>
        <w:rFonts w:hint="default"/>
      </w:rPr>
    </w:lvl>
    <w:lvl w:ilvl="5" w:tplc="B5BA195C">
      <w:start w:val="1"/>
      <w:numFmt w:val="bullet"/>
      <w:lvlText w:val="•"/>
      <w:lvlJc w:val="left"/>
      <w:pPr>
        <w:ind w:left="2543" w:hanging="284"/>
      </w:pPr>
      <w:rPr>
        <w:rFonts w:hint="default"/>
      </w:rPr>
    </w:lvl>
    <w:lvl w:ilvl="6" w:tplc="2488E778">
      <w:start w:val="1"/>
      <w:numFmt w:val="bullet"/>
      <w:lvlText w:val="•"/>
      <w:lvlJc w:val="left"/>
      <w:pPr>
        <w:ind w:left="2939" w:hanging="284"/>
      </w:pPr>
      <w:rPr>
        <w:rFonts w:hint="default"/>
      </w:rPr>
    </w:lvl>
    <w:lvl w:ilvl="7" w:tplc="8BE450E2">
      <w:start w:val="1"/>
      <w:numFmt w:val="bullet"/>
      <w:lvlText w:val="•"/>
      <w:lvlJc w:val="left"/>
      <w:pPr>
        <w:ind w:left="3336" w:hanging="284"/>
      </w:pPr>
      <w:rPr>
        <w:rFonts w:hint="default"/>
      </w:rPr>
    </w:lvl>
    <w:lvl w:ilvl="8" w:tplc="49186E1C">
      <w:start w:val="1"/>
      <w:numFmt w:val="bullet"/>
      <w:lvlText w:val="•"/>
      <w:lvlJc w:val="left"/>
      <w:pPr>
        <w:ind w:left="3733" w:hanging="284"/>
      </w:pPr>
      <w:rPr>
        <w:rFonts w:hint="default"/>
      </w:rPr>
    </w:lvl>
  </w:abstractNum>
  <w:abstractNum w:abstractNumId="11" w15:restartNumberingAfterBreak="0">
    <w:nsid w:val="27730F64"/>
    <w:multiLevelType w:val="multilevel"/>
    <w:tmpl w:val="0F42B020"/>
    <w:lvl w:ilvl="0">
      <w:start w:val="1"/>
      <w:numFmt w:val="bullet"/>
      <w:lvlText w:val=""/>
      <w:lvlJc w:val="left"/>
      <w:pPr>
        <w:ind w:left="5596" w:hanging="360"/>
      </w:pPr>
      <w:rPr>
        <w:rFonts w:ascii="Symbol" w:eastAsia="Symbol" w:hAnsi="Symbol" w:hint="default"/>
        <w:w w:val="100"/>
        <w:sz w:val="24"/>
        <w:szCs w:val="24"/>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1701" w:hanging="340"/>
      </w:pPr>
      <w:rPr>
        <w:rFonts w:ascii="Symbol" w:hAnsi="Symbol" w:hint="default"/>
        <w:w w:val="100"/>
        <w:sz w:val="24"/>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12" w15:restartNumberingAfterBreak="0">
    <w:nsid w:val="2E330744"/>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13" w15:restartNumberingAfterBreak="0">
    <w:nsid w:val="2F2E384A"/>
    <w:multiLevelType w:val="multilevel"/>
    <w:tmpl w:val="0F42B020"/>
    <w:lvl w:ilvl="0">
      <w:start w:val="1"/>
      <w:numFmt w:val="bullet"/>
      <w:lvlText w:val=""/>
      <w:lvlJc w:val="left"/>
      <w:pPr>
        <w:ind w:left="5596" w:hanging="360"/>
      </w:pPr>
      <w:rPr>
        <w:rFonts w:ascii="Symbol" w:eastAsia="Symbol" w:hAnsi="Symbol" w:hint="default"/>
        <w:w w:val="100"/>
        <w:sz w:val="24"/>
        <w:szCs w:val="24"/>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1701" w:hanging="340"/>
      </w:pPr>
      <w:rPr>
        <w:rFonts w:ascii="Symbol" w:hAnsi="Symbol" w:hint="default"/>
        <w:w w:val="100"/>
        <w:sz w:val="24"/>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14" w15:restartNumberingAfterBreak="0">
    <w:nsid w:val="38845845"/>
    <w:multiLevelType w:val="hybridMultilevel"/>
    <w:tmpl w:val="27809F8A"/>
    <w:lvl w:ilvl="0" w:tplc="8108936A">
      <w:start w:val="1"/>
      <w:numFmt w:val="decimal"/>
      <w:lvlText w:val="%1."/>
      <w:lvlJc w:val="left"/>
      <w:pPr>
        <w:ind w:left="278" w:hanging="221"/>
      </w:pPr>
      <w:rPr>
        <w:rFonts w:ascii="Arial" w:eastAsia="Arial" w:hAnsi="Arial" w:hint="default"/>
        <w:spacing w:val="-1"/>
        <w:w w:val="99"/>
        <w:sz w:val="20"/>
        <w:szCs w:val="20"/>
      </w:rPr>
    </w:lvl>
    <w:lvl w:ilvl="1" w:tplc="CDF014B2">
      <w:start w:val="1"/>
      <w:numFmt w:val="bullet"/>
      <w:lvlText w:val="•"/>
      <w:lvlJc w:val="left"/>
      <w:pPr>
        <w:ind w:left="789" w:hanging="221"/>
      </w:pPr>
      <w:rPr>
        <w:rFonts w:hint="default"/>
      </w:rPr>
    </w:lvl>
    <w:lvl w:ilvl="2" w:tplc="5A8E8A5C">
      <w:start w:val="1"/>
      <w:numFmt w:val="bullet"/>
      <w:lvlText w:val="•"/>
      <w:lvlJc w:val="left"/>
      <w:pPr>
        <w:ind w:left="1299" w:hanging="221"/>
      </w:pPr>
      <w:rPr>
        <w:rFonts w:hint="default"/>
      </w:rPr>
    </w:lvl>
    <w:lvl w:ilvl="3" w:tplc="7400AEEE">
      <w:start w:val="1"/>
      <w:numFmt w:val="bullet"/>
      <w:lvlText w:val="•"/>
      <w:lvlJc w:val="left"/>
      <w:pPr>
        <w:ind w:left="1808" w:hanging="221"/>
      </w:pPr>
      <w:rPr>
        <w:rFonts w:hint="default"/>
      </w:rPr>
    </w:lvl>
    <w:lvl w:ilvl="4" w:tplc="763AF37A">
      <w:start w:val="1"/>
      <w:numFmt w:val="bullet"/>
      <w:lvlText w:val="•"/>
      <w:lvlJc w:val="left"/>
      <w:pPr>
        <w:ind w:left="2318" w:hanging="221"/>
      </w:pPr>
      <w:rPr>
        <w:rFonts w:hint="default"/>
      </w:rPr>
    </w:lvl>
    <w:lvl w:ilvl="5" w:tplc="2F8EDD7A">
      <w:start w:val="1"/>
      <w:numFmt w:val="bullet"/>
      <w:lvlText w:val="•"/>
      <w:lvlJc w:val="left"/>
      <w:pPr>
        <w:ind w:left="2828" w:hanging="221"/>
      </w:pPr>
      <w:rPr>
        <w:rFonts w:hint="default"/>
      </w:rPr>
    </w:lvl>
    <w:lvl w:ilvl="6" w:tplc="433EFF78">
      <w:start w:val="1"/>
      <w:numFmt w:val="bullet"/>
      <w:lvlText w:val="•"/>
      <w:lvlJc w:val="left"/>
      <w:pPr>
        <w:ind w:left="3337" w:hanging="221"/>
      </w:pPr>
      <w:rPr>
        <w:rFonts w:hint="default"/>
      </w:rPr>
    </w:lvl>
    <w:lvl w:ilvl="7" w:tplc="4B042B54">
      <w:start w:val="1"/>
      <w:numFmt w:val="bullet"/>
      <w:lvlText w:val="•"/>
      <w:lvlJc w:val="left"/>
      <w:pPr>
        <w:ind w:left="3847" w:hanging="221"/>
      </w:pPr>
      <w:rPr>
        <w:rFonts w:hint="default"/>
      </w:rPr>
    </w:lvl>
    <w:lvl w:ilvl="8" w:tplc="89B2D570">
      <w:start w:val="1"/>
      <w:numFmt w:val="bullet"/>
      <w:lvlText w:val="•"/>
      <w:lvlJc w:val="left"/>
      <w:pPr>
        <w:ind w:left="4356" w:hanging="221"/>
      </w:pPr>
      <w:rPr>
        <w:rFonts w:hint="default"/>
      </w:rPr>
    </w:lvl>
  </w:abstractNum>
  <w:abstractNum w:abstractNumId="15" w15:restartNumberingAfterBreak="0">
    <w:nsid w:val="388636C1"/>
    <w:multiLevelType w:val="hybridMultilevel"/>
    <w:tmpl w:val="8AFC6BDE"/>
    <w:lvl w:ilvl="0" w:tplc="4886AB2C">
      <w:start w:val="1"/>
      <w:numFmt w:val="bullet"/>
      <w:lvlText w:val="-"/>
      <w:lvlJc w:val="left"/>
      <w:pPr>
        <w:ind w:left="833" w:hanging="360"/>
      </w:pPr>
      <w:rPr>
        <w:rFonts w:ascii="Calibri" w:eastAsia="Calibri" w:hAnsi="Calibri" w:hint="default"/>
        <w:w w:val="99"/>
        <w:sz w:val="20"/>
        <w:szCs w:val="20"/>
      </w:rPr>
    </w:lvl>
    <w:lvl w:ilvl="1" w:tplc="42B20918" w:tentative="1">
      <w:start w:val="1"/>
      <w:numFmt w:val="bullet"/>
      <w:lvlText w:val="o"/>
      <w:lvlJc w:val="left"/>
      <w:pPr>
        <w:ind w:left="1553" w:hanging="360"/>
      </w:pPr>
      <w:rPr>
        <w:rFonts w:ascii="Courier New" w:hAnsi="Courier New" w:cs="Courier New" w:hint="default"/>
      </w:rPr>
    </w:lvl>
    <w:lvl w:ilvl="2" w:tplc="33326070" w:tentative="1">
      <w:start w:val="1"/>
      <w:numFmt w:val="bullet"/>
      <w:lvlText w:val=""/>
      <w:lvlJc w:val="left"/>
      <w:pPr>
        <w:ind w:left="2273" w:hanging="360"/>
      </w:pPr>
      <w:rPr>
        <w:rFonts w:ascii="Wingdings" w:hAnsi="Wingdings" w:hint="default"/>
      </w:rPr>
    </w:lvl>
    <w:lvl w:ilvl="3" w:tplc="39446222" w:tentative="1">
      <w:start w:val="1"/>
      <w:numFmt w:val="bullet"/>
      <w:lvlText w:val=""/>
      <w:lvlJc w:val="left"/>
      <w:pPr>
        <w:ind w:left="2993" w:hanging="360"/>
      </w:pPr>
      <w:rPr>
        <w:rFonts w:ascii="Symbol" w:hAnsi="Symbol" w:hint="default"/>
      </w:rPr>
    </w:lvl>
    <w:lvl w:ilvl="4" w:tplc="37646AF8" w:tentative="1">
      <w:start w:val="1"/>
      <w:numFmt w:val="bullet"/>
      <w:lvlText w:val="o"/>
      <w:lvlJc w:val="left"/>
      <w:pPr>
        <w:ind w:left="3713" w:hanging="360"/>
      </w:pPr>
      <w:rPr>
        <w:rFonts w:ascii="Courier New" w:hAnsi="Courier New" w:cs="Courier New" w:hint="default"/>
      </w:rPr>
    </w:lvl>
    <w:lvl w:ilvl="5" w:tplc="43C2E2EE" w:tentative="1">
      <w:start w:val="1"/>
      <w:numFmt w:val="bullet"/>
      <w:lvlText w:val=""/>
      <w:lvlJc w:val="left"/>
      <w:pPr>
        <w:ind w:left="4433" w:hanging="360"/>
      </w:pPr>
      <w:rPr>
        <w:rFonts w:ascii="Wingdings" w:hAnsi="Wingdings" w:hint="default"/>
      </w:rPr>
    </w:lvl>
    <w:lvl w:ilvl="6" w:tplc="5058AFCC" w:tentative="1">
      <w:start w:val="1"/>
      <w:numFmt w:val="bullet"/>
      <w:lvlText w:val=""/>
      <w:lvlJc w:val="left"/>
      <w:pPr>
        <w:ind w:left="5153" w:hanging="360"/>
      </w:pPr>
      <w:rPr>
        <w:rFonts w:ascii="Symbol" w:hAnsi="Symbol" w:hint="default"/>
      </w:rPr>
    </w:lvl>
    <w:lvl w:ilvl="7" w:tplc="9F2CED7E" w:tentative="1">
      <w:start w:val="1"/>
      <w:numFmt w:val="bullet"/>
      <w:lvlText w:val="o"/>
      <w:lvlJc w:val="left"/>
      <w:pPr>
        <w:ind w:left="5873" w:hanging="360"/>
      </w:pPr>
      <w:rPr>
        <w:rFonts w:ascii="Courier New" w:hAnsi="Courier New" w:cs="Courier New" w:hint="default"/>
      </w:rPr>
    </w:lvl>
    <w:lvl w:ilvl="8" w:tplc="8EEA10E0" w:tentative="1">
      <w:start w:val="1"/>
      <w:numFmt w:val="bullet"/>
      <w:lvlText w:val=""/>
      <w:lvlJc w:val="left"/>
      <w:pPr>
        <w:ind w:left="6593" w:hanging="360"/>
      </w:pPr>
      <w:rPr>
        <w:rFonts w:ascii="Wingdings" w:hAnsi="Wingdings" w:hint="default"/>
      </w:rPr>
    </w:lvl>
  </w:abstractNum>
  <w:abstractNum w:abstractNumId="16" w15:restartNumberingAfterBreak="0">
    <w:nsid w:val="3EE35837"/>
    <w:multiLevelType w:val="multilevel"/>
    <w:tmpl w:val="F0E8766E"/>
    <w:lvl w:ilvl="0">
      <w:start w:val="1"/>
      <w:numFmt w:val="upperLetter"/>
      <w:lvlText w:val="%1."/>
      <w:lvlJc w:val="left"/>
      <w:pPr>
        <w:ind w:left="539" w:hanging="440"/>
      </w:pPr>
      <w:rPr>
        <w:rFonts w:hint="default"/>
        <w:b/>
        <w:i w:val="0"/>
        <w:color w:val="365F91" w:themeColor="accent1" w:themeShade="BF"/>
        <w:sz w:val="28"/>
      </w:rPr>
    </w:lvl>
    <w:lvl w:ilvl="1">
      <w:start w:val="1"/>
      <w:numFmt w:val="decimal"/>
      <w:lvlText w:val="%1.%2"/>
      <w:lvlJc w:val="left"/>
      <w:pPr>
        <w:ind w:left="680" w:hanging="590"/>
      </w:pPr>
      <w:rPr>
        <w:rFonts w:ascii="Calibri" w:hAnsi="Calibri" w:hint="default"/>
        <w:b/>
        <w:i w:val="0"/>
        <w:color w:val="365F91" w:themeColor="accent1" w:themeShade="BF"/>
        <w:w w:val="100"/>
        <w:sz w:val="28"/>
        <w:u w:val="none" w:color="365F91"/>
      </w:rPr>
    </w:lvl>
    <w:lvl w:ilvl="2">
      <w:start w:val="1"/>
      <w:numFmt w:val="none"/>
      <w:lvlText w:val=""/>
      <w:lvlJc w:val="left"/>
      <w:pPr>
        <w:ind w:left="772" w:hanging="653"/>
      </w:pPr>
      <w:rPr>
        <w:rFonts w:hint="default"/>
        <w:color w:val="365F91"/>
        <w:spacing w:val="-1"/>
        <w:w w:val="100"/>
        <w:u w:val="single" w:color="365F91"/>
      </w:rPr>
    </w:lvl>
    <w:lvl w:ilvl="3">
      <w:start w:val="1"/>
      <w:numFmt w:val="none"/>
      <w:lvlText w:val=""/>
      <w:lvlJc w:val="left"/>
      <w:pPr>
        <w:ind w:left="991" w:hanging="850"/>
      </w:pPr>
      <w:rPr>
        <w:rFonts w:ascii="Calibri" w:eastAsia="Calibri" w:hAnsi="Calibri" w:hint="default"/>
        <w:spacing w:val="-4"/>
        <w:w w:val="100"/>
        <w:sz w:val="24"/>
        <w:szCs w:val="24"/>
      </w:rPr>
    </w:lvl>
    <w:lvl w:ilvl="4">
      <w:start w:val="1"/>
      <w:numFmt w:val="none"/>
      <w:lvlText w:val=""/>
      <w:lvlJc w:val="left"/>
      <w:pPr>
        <w:ind w:left="3061" w:hanging="850"/>
      </w:pPr>
      <w:rPr>
        <w:rFonts w:hint="default"/>
      </w:rPr>
    </w:lvl>
    <w:lvl w:ilvl="5">
      <w:start w:val="1"/>
      <w:numFmt w:val="none"/>
      <w:lvlText w:val=""/>
      <w:lvlJc w:val="left"/>
      <w:pPr>
        <w:ind w:left="4092" w:hanging="850"/>
      </w:pPr>
      <w:rPr>
        <w:rFonts w:hint="default"/>
      </w:rPr>
    </w:lvl>
    <w:lvl w:ilvl="6">
      <w:start w:val="1"/>
      <w:numFmt w:val="none"/>
      <w:lvlText w:val=""/>
      <w:lvlJc w:val="left"/>
      <w:pPr>
        <w:ind w:left="5123" w:hanging="850"/>
      </w:pPr>
      <w:rPr>
        <w:rFonts w:hint="default"/>
      </w:rPr>
    </w:lvl>
    <w:lvl w:ilvl="7">
      <w:start w:val="1"/>
      <w:numFmt w:val="none"/>
      <w:lvlText w:val=""/>
      <w:lvlJc w:val="left"/>
      <w:pPr>
        <w:ind w:left="6154" w:hanging="850"/>
      </w:pPr>
      <w:rPr>
        <w:rFonts w:hint="default"/>
      </w:rPr>
    </w:lvl>
    <w:lvl w:ilvl="8">
      <w:start w:val="1"/>
      <w:numFmt w:val="none"/>
      <w:lvlText w:val=""/>
      <w:lvlJc w:val="left"/>
      <w:pPr>
        <w:ind w:left="7184" w:hanging="850"/>
      </w:pPr>
      <w:rPr>
        <w:rFonts w:hint="default"/>
      </w:rPr>
    </w:lvl>
  </w:abstractNum>
  <w:abstractNum w:abstractNumId="17" w15:restartNumberingAfterBreak="0">
    <w:nsid w:val="3F557032"/>
    <w:multiLevelType w:val="multilevel"/>
    <w:tmpl w:val="0F42B020"/>
    <w:lvl w:ilvl="0">
      <w:start w:val="1"/>
      <w:numFmt w:val="bullet"/>
      <w:lvlText w:val=""/>
      <w:lvlJc w:val="left"/>
      <w:pPr>
        <w:ind w:left="5596" w:hanging="360"/>
      </w:pPr>
      <w:rPr>
        <w:rFonts w:ascii="Symbol" w:eastAsia="Symbol" w:hAnsi="Symbol" w:hint="default"/>
        <w:w w:val="100"/>
        <w:sz w:val="24"/>
        <w:szCs w:val="24"/>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1701" w:hanging="340"/>
      </w:pPr>
      <w:rPr>
        <w:rFonts w:ascii="Symbol" w:hAnsi="Symbol" w:hint="default"/>
        <w:w w:val="100"/>
        <w:sz w:val="24"/>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18" w15:restartNumberingAfterBreak="0">
    <w:nsid w:val="3FC34F6C"/>
    <w:multiLevelType w:val="hybridMultilevel"/>
    <w:tmpl w:val="4AA88352"/>
    <w:lvl w:ilvl="0" w:tplc="A39062C2">
      <w:start w:val="1"/>
      <w:numFmt w:val="bullet"/>
      <w:lvlText w:val="-"/>
      <w:lvlJc w:val="left"/>
      <w:pPr>
        <w:ind w:left="556" w:hanging="358"/>
      </w:pPr>
      <w:rPr>
        <w:rFonts w:ascii="Calibri" w:eastAsia="Calibri" w:hAnsi="Calibri" w:hint="default"/>
        <w:w w:val="99"/>
        <w:sz w:val="20"/>
        <w:szCs w:val="20"/>
      </w:rPr>
    </w:lvl>
    <w:lvl w:ilvl="1" w:tplc="251A9D04">
      <w:start w:val="1"/>
      <w:numFmt w:val="bullet"/>
      <w:lvlText w:val="•"/>
      <w:lvlJc w:val="left"/>
      <w:pPr>
        <w:ind w:left="956" w:hanging="358"/>
      </w:pPr>
      <w:rPr>
        <w:rFonts w:hint="default"/>
      </w:rPr>
    </w:lvl>
    <w:lvl w:ilvl="2" w:tplc="2698DB5C">
      <w:start w:val="1"/>
      <w:numFmt w:val="bullet"/>
      <w:lvlText w:val="•"/>
      <w:lvlJc w:val="left"/>
      <w:pPr>
        <w:ind w:left="1353" w:hanging="358"/>
      </w:pPr>
      <w:rPr>
        <w:rFonts w:hint="default"/>
      </w:rPr>
    </w:lvl>
    <w:lvl w:ilvl="3" w:tplc="0DDAD624">
      <w:start w:val="1"/>
      <w:numFmt w:val="bullet"/>
      <w:lvlText w:val="•"/>
      <w:lvlJc w:val="left"/>
      <w:pPr>
        <w:ind w:left="1749" w:hanging="358"/>
      </w:pPr>
      <w:rPr>
        <w:rFonts w:hint="default"/>
      </w:rPr>
    </w:lvl>
    <w:lvl w:ilvl="4" w:tplc="AF2258C0">
      <w:start w:val="1"/>
      <w:numFmt w:val="bullet"/>
      <w:lvlText w:val="•"/>
      <w:lvlJc w:val="left"/>
      <w:pPr>
        <w:ind w:left="2146" w:hanging="358"/>
      </w:pPr>
      <w:rPr>
        <w:rFonts w:hint="default"/>
      </w:rPr>
    </w:lvl>
    <w:lvl w:ilvl="5" w:tplc="4C667518">
      <w:start w:val="1"/>
      <w:numFmt w:val="bullet"/>
      <w:lvlText w:val="•"/>
      <w:lvlJc w:val="left"/>
      <w:pPr>
        <w:ind w:left="2543" w:hanging="358"/>
      </w:pPr>
      <w:rPr>
        <w:rFonts w:hint="default"/>
      </w:rPr>
    </w:lvl>
    <w:lvl w:ilvl="6" w:tplc="B24C8F9E">
      <w:start w:val="1"/>
      <w:numFmt w:val="bullet"/>
      <w:lvlText w:val="•"/>
      <w:lvlJc w:val="left"/>
      <w:pPr>
        <w:ind w:left="2939" w:hanging="358"/>
      </w:pPr>
      <w:rPr>
        <w:rFonts w:hint="default"/>
      </w:rPr>
    </w:lvl>
    <w:lvl w:ilvl="7" w:tplc="053E8E4A">
      <w:start w:val="1"/>
      <w:numFmt w:val="bullet"/>
      <w:lvlText w:val="•"/>
      <w:lvlJc w:val="left"/>
      <w:pPr>
        <w:ind w:left="3336" w:hanging="358"/>
      </w:pPr>
      <w:rPr>
        <w:rFonts w:hint="default"/>
      </w:rPr>
    </w:lvl>
    <w:lvl w:ilvl="8" w:tplc="425AEF10">
      <w:start w:val="1"/>
      <w:numFmt w:val="bullet"/>
      <w:lvlText w:val="•"/>
      <w:lvlJc w:val="left"/>
      <w:pPr>
        <w:ind w:left="3733" w:hanging="358"/>
      </w:pPr>
      <w:rPr>
        <w:rFonts w:hint="default"/>
      </w:rPr>
    </w:lvl>
  </w:abstractNum>
  <w:abstractNum w:abstractNumId="19" w15:restartNumberingAfterBreak="0">
    <w:nsid w:val="40BC25C3"/>
    <w:multiLevelType w:val="hybridMultilevel"/>
    <w:tmpl w:val="B02E762C"/>
    <w:lvl w:ilvl="0" w:tplc="737E0BDE">
      <w:start w:val="1"/>
      <w:numFmt w:val="bullet"/>
      <w:lvlText w:val=""/>
      <w:lvlJc w:val="left"/>
      <w:pPr>
        <w:ind w:left="1387" w:hanging="360"/>
      </w:pPr>
      <w:rPr>
        <w:rFonts w:ascii="Symbol" w:eastAsia="Symbol" w:hAnsi="Symbol" w:hint="default"/>
        <w:w w:val="100"/>
        <w:sz w:val="24"/>
        <w:szCs w:val="24"/>
      </w:rPr>
    </w:lvl>
    <w:lvl w:ilvl="1" w:tplc="AE9C2FDE">
      <w:start w:val="1"/>
      <w:numFmt w:val="bullet"/>
      <w:lvlText w:val="•"/>
      <w:lvlJc w:val="left"/>
      <w:pPr>
        <w:ind w:left="2132" w:hanging="360"/>
      </w:pPr>
      <w:rPr>
        <w:rFonts w:hint="default"/>
      </w:rPr>
    </w:lvl>
    <w:lvl w:ilvl="2" w:tplc="A4B66C06">
      <w:start w:val="1"/>
      <w:numFmt w:val="bullet"/>
      <w:lvlText w:val="•"/>
      <w:lvlJc w:val="left"/>
      <w:pPr>
        <w:ind w:left="2885" w:hanging="360"/>
      </w:pPr>
      <w:rPr>
        <w:rFonts w:hint="default"/>
      </w:rPr>
    </w:lvl>
    <w:lvl w:ilvl="3" w:tplc="861C5290">
      <w:start w:val="1"/>
      <w:numFmt w:val="bullet"/>
      <w:lvlText w:val="•"/>
      <w:lvlJc w:val="left"/>
      <w:pPr>
        <w:ind w:left="3637" w:hanging="360"/>
      </w:pPr>
      <w:rPr>
        <w:rFonts w:hint="default"/>
      </w:rPr>
    </w:lvl>
    <w:lvl w:ilvl="4" w:tplc="E6585E9E">
      <w:start w:val="1"/>
      <w:numFmt w:val="bullet"/>
      <w:lvlText w:val="•"/>
      <w:lvlJc w:val="left"/>
      <w:pPr>
        <w:ind w:left="4390" w:hanging="360"/>
      </w:pPr>
      <w:rPr>
        <w:rFonts w:hint="default"/>
      </w:rPr>
    </w:lvl>
    <w:lvl w:ilvl="5" w:tplc="529EE4A4">
      <w:start w:val="1"/>
      <w:numFmt w:val="bullet"/>
      <w:lvlText w:val="•"/>
      <w:lvlJc w:val="left"/>
      <w:pPr>
        <w:ind w:left="5143" w:hanging="360"/>
      </w:pPr>
      <w:rPr>
        <w:rFonts w:hint="default"/>
      </w:rPr>
    </w:lvl>
    <w:lvl w:ilvl="6" w:tplc="2666A090">
      <w:start w:val="1"/>
      <w:numFmt w:val="bullet"/>
      <w:lvlText w:val="•"/>
      <w:lvlJc w:val="left"/>
      <w:pPr>
        <w:ind w:left="5895" w:hanging="360"/>
      </w:pPr>
      <w:rPr>
        <w:rFonts w:hint="default"/>
      </w:rPr>
    </w:lvl>
    <w:lvl w:ilvl="7" w:tplc="62C45040">
      <w:start w:val="1"/>
      <w:numFmt w:val="bullet"/>
      <w:lvlText w:val="•"/>
      <w:lvlJc w:val="left"/>
      <w:pPr>
        <w:ind w:left="6648" w:hanging="360"/>
      </w:pPr>
      <w:rPr>
        <w:rFonts w:hint="default"/>
      </w:rPr>
    </w:lvl>
    <w:lvl w:ilvl="8" w:tplc="19DEC7B0">
      <w:start w:val="1"/>
      <w:numFmt w:val="bullet"/>
      <w:lvlText w:val="•"/>
      <w:lvlJc w:val="left"/>
      <w:pPr>
        <w:ind w:left="7401" w:hanging="360"/>
      </w:pPr>
      <w:rPr>
        <w:rFonts w:hint="default"/>
      </w:rPr>
    </w:lvl>
  </w:abstractNum>
  <w:abstractNum w:abstractNumId="20" w15:restartNumberingAfterBreak="0">
    <w:nsid w:val="437930EF"/>
    <w:multiLevelType w:val="hybridMultilevel"/>
    <w:tmpl w:val="1A9AF704"/>
    <w:lvl w:ilvl="0" w:tplc="5096FD0A">
      <w:start w:val="1"/>
      <w:numFmt w:val="bullet"/>
      <w:lvlText w:val="•"/>
      <w:lvlJc w:val="left"/>
      <w:pPr>
        <w:ind w:left="1571" w:hanging="360"/>
      </w:pPr>
      <w:rPr>
        <w:rFonts w:hint="default"/>
      </w:rPr>
    </w:lvl>
    <w:lvl w:ilvl="1" w:tplc="2C6ECCB6" w:tentative="1">
      <w:start w:val="1"/>
      <w:numFmt w:val="bullet"/>
      <w:lvlText w:val="o"/>
      <w:lvlJc w:val="left"/>
      <w:pPr>
        <w:ind w:left="2291" w:hanging="360"/>
      </w:pPr>
      <w:rPr>
        <w:rFonts w:ascii="Courier New" w:hAnsi="Courier New" w:cs="Courier New" w:hint="default"/>
      </w:rPr>
    </w:lvl>
    <w:lvl w:ilvl="2" w:tplc="F21EEC8C" w:tentative="1">
      <w:start w:val="1"/>
      <w:numFmt w:val="bullet"/>
      <w:lvlText w:val=""/>
      <w:lvlJc w:val="left"/>
      <w:pPr>
        <w:ind w:left="3011" w:hanging="360"/>
      </w:pPr>
      <w:rPr>
        <w:rFonts w:ascii="Wingdings" w:hAnsi="Wingdings" w:hint="default"/>
      </w:rPr>
    </w:lvl>
    <w:lvl w:ilvl="3" w:tplc="3702C812" w:tentative="1">
      <w:start w:val="1"/>
      <w:numFmt w:val="bullet"/>
      <w:lvlText w:val=""/>
      <w:lvlJc w:val="left"/>
      <w:pPr>
        <w:ind w:left="3731" w:hanging="360"/>
      </w:pPr>
      <w:rPr>
        <w:rFonts w:ascii="Symbol" w:hAnsi="Symbol" w:hint="default"/>
      </w:rPr>
    </w:lvl>
    <w:lvl w:ilvl="4" w:tplc="13C604D4" w:tentative="1">
      <w:start w:val="1"/>
      <w:numFmt w:val="bullet"/>
      <w:lvlText w:val="o"/>
      <w:lvlJc w:val="left"/>
      <w:pPr>
        <w:ind w:left="4451" w:hanging="360"/>
      </w:pPr>
      <w:rPr>
        <w:rFonts w:ascii="Courier New" w:hAnsi="Courier New" w:cs="Courier New" w:hint="default"/>
      </w:rPr>
    </w:lvl>
    <w:lvl w:ilvl="5" w:tplc="86FE58AE" w:tentative="1">
      <w:start w:val="1"/>
      <w:numFmt w:val="bullet"/>
      <w:lvlText w:val=""/>
      <w:lvlJc w:val="left"/>
      <w:pPr>
        <w:ind w:left="5171" w:hanging="360"/>
      </w:pPr>
      <w:rPr>
        <w:rFonts w:ascii="Wingdings" w:hAnsi="Wingdings" w:hint="default"/>
      </w:rPr>
    </w:lvl>
    <w:lvl w:ilvl="6" w:tplc="A816DD78" w:tentative="1">
      <w:start w:val="1"/>
      <w:numFmt w:val="bullet"/>
      <w:lvlText w:val=""/>
      <w:lvlJc w:val="left"/>
      <w:pPr>
        <w:ind w:left="5891" w:hanging="360"/>
      </w:pPr>
      <w:rPr>
        <w:rFonts w:ascii="Symbol" w:hAnsi="Symbol" w:hint="default"/>
      </w:rPr>
    </w:lvl>
    <w:lvl w:ilvl="7" w:tplc="DC08B312" w:tentative="1">
      <w:start w:val="1"/>
      <w:numFmt w:val="bullet"/>
      <w:lvlText w:val="o"/>
      <w:lvlJc w:val="left"/>
      <w:pPr>
        <w:ind w:left="6611" w:hanging="360"/>
      </w:pPr>
      <w:rPr>
        <w:rFonts w:ascii="Courier New" w:hAnsi="Courier New" w:cs="Courier New" w:hint="default"/>
      </w:rPr>
    </w:lvl>
    <w:lvl w:ilvl="8" w:tplc="41D633E6" w:tentative="1">
      <w:start w:val="1"/>
      <w:numFmt w:val="bullet"/>
      <w:lvlText w:val=""/>
      <w:lvlJc w:val="left"/>
      <w:pPr>
        <w:ind w:left="7331" w:hanging="360"/>
      </w:pPr>
      <w:rPr>
        <w:rFonts w:ascii="Wingdings" w:hAnsi="Wingdings" w:hint="default"/>
      </w:rPr>
    </w:lvl>
  </w:abstractNum>
  <w:abstractNum w:abstractNumId="21" w15:restartNumberingAfterBreak="0">
    <w:nsid w:val="45756AE8"/>
    <w:multiLevelType w:val="hybridMultilevel"/>
    <w:tmpl w:val="4678D17A"/>
    <w:lvl w:ilvl="0" w:tplc="F53220C4">
      <w:start w:val="1"/>
      <w:numFmt w:val="bullet"/>
      <w:lvlText w:val="-"/>
      <w:lvlJc w:val="left"/>
      <w:pPr>
        <w:ind w:left="278" w:hanging="176"/>
      </w:pPr>
      <w:rPr>
        <w:rFonts w:ascii="Calibri" w:eastAsia="Calibri" w:hAnsi="Calibri" w:hint="default"/>
        <w:w w:val="99"/>
        <w:sz w:val="20"/>
        <w:szCs w:val="20"/>
      </w:rPr>
    </w:lvl>
    <w:lvl w:ilvl="1" w:tplc="5CCC798C">
      <w:start w:val="1"/>
      <w:numFmt w:val="bullet"/>
      <w:lvlText w:val="•"/>
      <w:lvlJc w:val="left"/>
      <w:pPr>
        <w:ind w:left="719" w:hanging="176"/>
      </w:pPr>
      <w:rPr>
        <w:rFonts w:hint="default"/>
      </w:rPr>
    </w:lvl>
    <w:lvl w:ilvl="2" w:tplc="7DEE9A26">
      <w:start w:val="1"/>
      <w:numFmt w:val="bullet"/>
      <w:lvlText w:val="•"/>
      <w:lvlJc w:val="left"/>
      <w:pPr>
        <w:ind w:left="1158" w:hanging="176"/>
      </w:pPr>
      <w:rPr>
        <w:rFonts w:hint="default"/>
      </w:rPr>
    </w:lvl>
    <w:lvl w:ilvl="3" w:tplc="1A8E341A">
      <w:start w:val="1"/>
      <w:numFmt w:val="bullet"/>
      <w:lvlText w:val="•"/>
      <w:lvlJc w:val="left"/>
      <w:pPr>
        <w:ind w:left="1597" w:hanging="176"/>
      </w:pPr>
      <w:rPr>
        <w:rFonts w:hint="default"/>
      </w:rPr>
    </w:lvl>
    <w:lvl w:ilvl="4" w:tplc="4964E084">
      <w:start w:val="1"/>
      <w:numFmt w:val="bullet"/>
      <w:lvlText w:val="•"/>
      <w:lvlJc w:val="left"/>
      <w:pPr>
        <w:ind w:left="2036" w:hanging="176"/>
      </w:pPr>
      <w:rPr>
        <w:rFonts w:hint="default"/>
      </w:rPr>
    </w:lvl>
    <w:lvl w:ilvl="5" w:tplc="EA80CBCA">
      <w:start w:val="1"/>
      <w:numFmt w:val="bullet"/>
      <w:lvlText w:val="•"/>
      <w:lvlJc w:val="left"/>
      <w:pPr>
        <w:ind w:left="2475" w:hanging="176"/>
      </w:pPr>
      <w:rPr>
        <w:rFonts w:hint="default"/>
      </w:rPr>
    </w:lvl>
    <w:lvl w:ilvl="6" w:tplc="9054704A">
      <w:start w:val="1"/>
      <w:numFmt w:val="bullet"/>
      <w:lvlText w:val="•"/>
      <w:lvlJc w:val="left"/>
      <w:pPr>
        <w:ind w:left="2914" w:hanging="176"/>
      </w:pPr>
      <w:rPr>
        <w:rFonts w:hint="default"/>
      </w:rPr>
    </w:lvl>
    <w:lvl w:ilvl="7" w:tplc="22E2B908">
      <w:start w:val="1"/>
      <w:numFmt w:val="bullet"/>
      <w:lvlText w:val="•"/>
      <w:lvlJc w:val="left"/>
      <w:pPr>
        <w:ind w:left="3353" w:hanging="176"/>
      </w:pPr>
      <w:rPr>
        <w:rFonts w:hint="default"/>
      </w:rPr>
    </w:lvl>
    <w:lvl w:ilvl="8" w:tplc="E13AE8A4">
      <w:start w:val="1"/>
      <w:numFmt w:val="bullet"/>
      <w:lvlText w:val="•"/>
      <w:lvlJc w:val="left"/>
      <w:pPr>
        <w:ind w:left="3792" w:hanging="176"/>
      </w:pPr>
      <w:rPr>
        <w:rFonts w:hint="default"/>
      </w:rPr>
    </w:lvl>
  </w:abstractNum>
  <w:abstractNum w:abstractNumId="22" w15:restartNumberingAfterBreak="0">
    <w:nsid w:val="4C546620"/>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23" w15:restartNumberingAfterBreak="0">
    <w:nsid w:val="4CE3529C"/>
    <w:multiLevelType w:val="multilevel"/>
    <w:tmpl w:val="8DF22628"/>
    <w:lvl w:ilvl="0">
      <w:start w:val="1"/>
      <w:numFmt w:val="upperLetter"/>
      <w:lvlText w:val="%1."/>
      <w:lvlJc w:val="left"/>
      <w:pPr>
        <w:ind w:left="360" w:hanging="360"/>
      </w:pPr>
      <w:rPr>
        <w:rFonts w:ascii="Calibri" w:hAnsi="Calibri" w:hint="default"/>
        <w:color w:val="365F91" w:themeColor="accent1" w:themeShade="BF"/>
        <w:sz w:val="28"/>
      </w:rPr>
    </w:lvl>
    <w:lvl w:ilvl="1">
      <w:start w:val="1"/>
      <w:numFmt w:val="decimal"/>
      <w:lvlText w:val="%1.%2"/>
      <w:lvlJc w:val="left"/>
      <w:pPr>
        <w:tabs>
          <w:tab w:val="num" w:pos="624"/>
        </w:tabs>
        <w:ind w:left="624" w:hanging="511"/>
      </w:pPr>
      <w:rPr>
        <w:rFonts w:ascii="Calibri" w:hAnsi="Calibri" w:hint="default"/>
        <w:color w:val="365F91" w:themeColor="accent1" w:themeShade="BF"/>
        <w:sz w:val="28"/>
        <w:u w:val="single"/>
      </w:rPr>
    </w:lvl>
    <w:lvl w:ilvl="2">
      <w:start w:val="1"/>
      <w:numFmt w:val="decimal"/>
      <w:pStyle w:val="Heading2-1"/>
      <w:lvlText w:val="%1.%2.%3"/>
      <w:lvlJc w:val="left"/>
      <w:pPr>
        <w:ind w:left="964" w:hanging="851"/>
      </w:pPr>
      <w:rPr>
        <w:rFonts w:hint="default"/>
        <w:b w:val="0"/>
        <w:bCs w:val="0"/>
        <w:i w:val="0"/>
        <w:iCs w:val="0"/>
        <w:caps w:val="0"/>
        <w:smallCaps w:val="0"/>
        <w:strike w:val="0"/>
        <w:dstrike w:val="0"/>
        <w:noProof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3-1"/>
      <w:lvlText w:val="%1.%2.%3.%4"/>
      <w:lvlJc w:val="left"/>
      <w:pPr>
        <w:ind w:left="964" w:hanging="851"/>
      </w:pPr>
      <w:rPr>
        <w:rFonts w:ascii="Calibri" w:hAnsi="Calibri" w:hint="default"/>
        <w:b w:val="0"/>
        <w:i w:val="0"/>
        <w:color w:val="000000"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7D62AD"/>
    <w:multiLevelType w:val="multilevel"/>
    <w:tmpl w:val="0F42B020"/>
    <w:lvl w:ilvl="0">
      <w:start w:val="1"/>
      <w:numFmt w:val="bullet"/>
      <w:lvlText w:val=""/>
      <w:lvlJc w:val="left"/>
      <w:pPr>
        <w:ind w:left="5596" w:hanging="360"/>
      </w:pPr>
      <w:rPr>
        <w:rFonts w:ascii="Symbol" w:eastAsia="Symbol" w:hAnsi="Symbol" w:hint="default"/>
        <w:w w:val="100"/>
        <w:sz w:val="24"/>
        <w:szCs w:val="24"/>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1701" w:hanging="340"/>
      </w:pPr>
      <w:rPr>
        <w:rFonts w:ascii="Symbol" w:hAnsi="Symbol" w:hint="default"/>
        <w:w w:val="100"/>
        <w:sz w:val="24"/>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25" w15:restartNumberingAfterBreak="0">
    <w:nsid w:val="555738AF"/>
    <w:multiLevelType w:val="multilevel"/>
    <w:tmpl w:val="AEEE8334"/>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none"/>
      <w:lvlText w:val=""/>
      <w:lvlJc w:val="left"/>
      <w:pPr>
        <w:ind w:left="1720" w:hanging="360"/>
      </w:pPr>
      <w:rPr>
        <w:rFonts w:ascii="Calibri" w:eastAsia="Calibri" w:hAnsi="Calibri"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26" w15:restartNumberingAfterBreak="0">
    <w:nsid w:val="57A1759B"/>
    <w:multiLevelType w:val="multilevel"/>
    <w:tmpl w:val="086ED072"/>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decimal"/>
      <w:lvlText w:val="%3."/>
      <w:lvlJc w:val="left"/>
      <w:pPr>
        <w:ind w:left="1720" w:hanging="360"/>
      </w:pPr>
      <w:rPr>
        <w:rFonts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27" w15:restartNumberingAfterBreak="0">
    <w:nsid w:val="5B1616AF"/>
    <w:multiLevelType w:val="hybridMultilevel"/>
    <w:tmpl w:val="D4ECE46E"/>
    <w:lvl w:ilvl="0" w:tplc="B3288D4C">
      <w:start w:val="1"/>
      <w:numFmt w:val="bullet"/>
      <w:lvlText w:val="-"/>
      <w:lvlJc w:val="left"/>
      <w:pPr>
        <w:ind w:left="278" w:hanging="176"/>
      </w:pPr>
      <w:rPr>
        <w:rFonts w:ascii="Calibri" w:eastAsia="Calibri" w:hAnsi="Calibri" w:hint="default"/>
        <w:w w:val="99"/>
        <w:sz w:val="20"/>
        <w:szCs w:val="20"/>
      </w:rPr>
    </w:lvl>
    <w:lvl w:ilvl="1" w:tplc="043AA1BC">
      <w:start w:val="1"/>
      <w:numFmt w:val="bullet"/>
      <w:lvlText w:val="•"/>
      <w:lvlJc w:val="left"/>
      <w:pPr>
        <w:ind w:left="719" w:hanging="176"/>
      </w:pPr>
      <w:rPr>
        <w:rFonts w:hint="default"/>
      </w:rPr>
    </w:lvl>
    <w:lvl w:ilvl="2" w:tplc="55B44AEE">
      <w:start w:val="1"/>
      <w:numFmt w:val="bullet"/>
      <w:lvlText w:val="•"/>
      <w:lvlJc w:val="left"/>
      <w:pPr>
        <w:ind w:left="1158" w:hanging="176"/>
      </w:pPr>
      <w:rPr>
        <w:rFonts w:hint="default"/>
      </w:rPr>
    </w:lvl>
    <w:lvl w:ilvl="3" w:tplc="23B06880">
      <w:start w:val="1"/>
      <w:numFmt w:val="bullet"/>
      <w:lvlText w:val="•"/>
      <w:lvlJc w:val="left"/>
      <w:pPr>
        <w:ind w:left="1597" w:hanging="176"/>
      </w:pPr>
      <w:rPr>
        <w:rFonts w:hint="default"/>
      </w:rPr>
    </w:lvl>
    <w:lvl w:ilvl="4" w:tplc="7346DC4C">
      <w:start w:val="1"/>
      <w:numFmt w:val="bullet"/>
      <w:lvlText w:val="•"/>
      <w:lvlJc w:val="left"/>
      <w:pPr>
        <w:ind w:left="2036" w:hanging="176"/>
      </w:pPr>
      <w:rPr>
        <w:rFonts w:hint="default"/>
      </w:rPr>
    </w:lvl>
    <w:lvl w:ilvl="5" w:tplc="EA320C56">
      <w:start w:val="1"/>
      <w:numFmt w:val="bullet"/>
      <w:lvlText w:val="•"/>
      <w:lvlJc w:val="left"/>
      <w:pPr>
        <w:ind w:left="2475" w:hanging="176"/>
      </w:pPr>
      <w:rPr>
        <w:rFonts w:hint="default"/>
      </w:rPr>
    </w:lvl>
    <w:lvl w:ilvl="6" w:tplc="BC50DD3A">
      <w:start w:val="1"/>
      <w:numFmt w:val="bullet"/>
      <w:lvlText w:val="•"/>
      <w:lvlJc w:val="left"/>
      <w:pPr>
        <w:ind w:left="2914" w:hanging="176"/>
      </w:pPr>
      <w:rPr>
        <w:rFonts w:hint="default"/>
      </w:rPr>
    </w:lvl>
    <w:lvl w:ilvl="7" w:tplc="A77CEE9A">
      <w:start w:val="1"/>
      <w:numFmt w:val="bullet"/>
      <w:lvlText w:val="•"/>
      <w:lvlJc w:val="left"/>
      <w:pPr>
        <w:ind w:left="3353" w:hanging="176"/>
      </w:pPr>
      <w:rPr>
        <w:rFonts w:hint="default"/>
      </w:rPr>
    </w:lvl>
    <w:lvl w:ilvl="8" w:tplc="202C8574">
      <w:start w:val="1"/>
      <w:numFmt w:val="bullet"/>
      <w:lvlText w:val="•"/>
      <w:lvlJc w:val="left"/>
      <w:pPr>
        <w:ind w:left="3792" w:hanging="176"/>
      </w:pPr>
      <w:rPr>
        <w:rFonts w:hint="default"/>
      </w:rPr>
    </w:lvl>
  </w:abstractNum>
  <w:abstractNum w:abstractNumId="28" w15:restartNumberingAfterBreak="0">
    <w:nsid w:val="5CA912F3"/>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29" w15:restartNumberingAfterBreak="0">
    <w:nsid w:val="617A4279"/>
    <w:multiLevelType w:val="hybridMultilevel"/>
    <w:tmpl w:val="ADC050BE"/>
    <w:lvl w:ilvl="0" w:tplc="4D5A02AC">
      <w:start w:val="1"/>
      <w:numFmt w:val="bullet"/>
      <w:lvlText w:val="-"/>
      <w:lvlJc w:val="left"/>
      <w:pPr>
        <w:ind w:left="103" w:hanging="123"/>
      </w:pPr>
      <w:rPr>
        <w:rFonts w:ascii="Arial" w:eastAsia="Arial" w:hAnsi="Arial" w:hint="default"/>
        <w:w w:val="99"/>
        <w:sz w:val="20"/>
        <w:szCs w:val="20"/>
      </w:rPr>
    </w:lvl>
    <w:lvl w:ilvl="1" w:tplc="E8FCC114">
      <w:start w:val="1"/>
      <w:numFmt w:val="bullet"/>
      <w:lvlText w:val="•"/>
      <w:lvlJc w:val="left"/>
      <w:pPr>
        <w:ind w:left="571" w:hanging="123"/>
      </w:pPr>
      <w:rPr>
        <w:rFonts w:hint="default"/>
      </w:rPr>
    </w:lvl>
    <w:lvl w:ilvl="2" w:tplc="B060C8F0">
      <w:start w:val="1"/>
      <w:numFmt w:val="bullet"/>
      <w:lvlText w:val="•"/>
      <w:lvlJc w:val="left"/>
      <w:pPr>
        <w:ind w:left="1042" w:hanging="123"/>
      </w:pPr>
      <w:rPr>
        <w:rFonts w:hint="default"/>
      </w:rPr>
    </w:lvl>
    <w:lvl w:ilvl="3" w:tplc="4A1221E0">
      <w:start w:val="1"/>
      <w:numFmt w:val="bullet"/>
      <w:lvlText w:val="•"/>
      <w:lvlJc w:val="left"/>
      <w:pPr>
        <w:ind w:left="1513" w:hanging="123"/>
      </w:pPr>
      <w:rPr>
        <w:rFonts w:hint="default"/>
      </w:rPr>
    </w:lvl>
    <w:lvl w:ilvl="4" w:tplc="E8B85A80">
      <w:start w:val="1"/>
      <w:numFmt w:val="bullet"/>
      <w:lvlText w:val="•"/>
      <w:lvlJc w:val="left"/>
      <w:pPr>
        <w:ind w:left="1984" w:hanging="123"/>
      </w:pPr>
      <w:rPr>
        <w:rFonts w:hint="default"/>
      </w:rPr>
    </w:lvl>
    <w:lvl w:ilvl="5" w:tplc="5532AEE0">
      <w:start w:val="1"/>
      <w:numFmt w:val="bullet"/>
      <w:lvlText w:val="•"/>
      <w:lvlJc w:val="left"/>
      <w:pPr>
        <w:ind w:left="2456" w:hanging="123"/>
      </w:pPr>
      <w:rPr>
        <w:rFonts w:hint="default"/>
      </w:rPr>
    </w:lvl>
    <w:lvl w:ilvl="6" w:tplc="3FA034C2">
      <w:start w:val="1"/>
      <w:numFmt w:val="bullet"/>
      <w:lvlText w:val="•"/>
      <w:lvlJc w:val="left"/>
      <w:pPr>
        <w:ind w:left="2927" w:hanging="123"/>
      </w:pPr>
      <w:rPr>
        <w:rFonts w:hint="default"/>
      </w:rPr>
    </w:lvl>
    <w:lvl w:ilvl="7" w:tplc="81700A5A">
      <w:start w:val="1"/>
      <w:numFmt w:val="bullet"/>
      <w:lvlText w:val="•"/>
      <w:lvlJc w:val="left"/>
      <w:pPr>
        <w:ind w:left="3398" w:hanging="123"/>
      </w:pPr>
      <w:rPr>
        <w:rFonts w:hint="default"/>
      </w:rPr>
    </w:lvl>
    <w:lvl w:ilvl="8" w:tplc="927E684A">
      <w:start w:val="1"/>
      <w:numFmt w:val="bullet"/>
      <w:lvlText w:val="•"/>
      <w:lvlJc w:val="left"/>
      <w:pPr>
        <w:ind w:left="3869" w:hanging="123"/>
      </w:pPr>
      <w:rPr>
        <w:rFonts w:hint="default"/>
      </w:rPr>
    </w:lvl>
  </w:abstractNum>
  <w:abstractNum w:abstractNumId="30" w15:restartNumberingAfterBreak="0">
    <w:nsid w:val="633524E5"/>
    <w:multiLevelType w:val="multilevel"/>
    <w:tmpl w:val="0F42B020"/>
    <w:lvl w:ilvl="0">
      <w:start w:val="1"/>
      <w:numFmt w:val="bullet"/>
      <w:lvlText w:val=""/>
      <w:lvlJc w:val="left"/>
      <w:pPr>
        <w:ind w:left="5596" w:hanging="360"/>
      </w:pPr>
      <w:rPr>
        <w:rFonts w:ascii="Symbol" w:eastAsia="Symbol" w:hAnsi="Symbol" w:hint="default"/>
        <w:w w:val="100"/>
        <w:sz w:val="24"/>
        <w:szCs w:val="24"/>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1701" w:hanging="340"/>
      </w:pPr>
      <w:rPr>
        <w:rFonts w:ascii="Symbol" w:hAnsi="Symbol" w:hint="default"/>
        <w:w w:val="100"/>
        <w:sz w:val="24"/>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31" w15:restartNumberingAfterBreak="0">
    <w:nsid w:val="63F7424E"/>
    <w:multiLevelType w:val="hybridMultilevel"/>
    <w:tmpl w:val="B638FADE"/>
    <w:lvl w:ilvl="0" w:tplc="CCB4C338">
      <w:start w:val="1"/>
      <w:numFmt w:val="bullet"/>
      <w:lvlText w:val="-"/>
      <w:lvlJc w:val="left"/>
      <w:pPr>
        <w:ind w:left="278" w:hanging="176"/>
      </w:pPr>
      <w:rPr>
        <w:rFonts w:ascii="Calibri" w:eastAsia="Calibri" w:hAnsi="Calibri" w:hint="default"/>
        <w:w w:val="99"/>
        <w:sz w:val="20"/>
        <w:szCs w:val="20"/>
      </w:rPr>
    </w:lvl>
    <w:lvl w:ilvl="1" w:tplc="F11C6766">
      <w:start w:val="1"/>
      <w:numFmt w:val="bullet"/>
      <w:lvlText w:val="•"/>
      <w:lvlJc w:val="left"/>
      <w:pPr>
        <w:ind w:left="719" w:hanging="176"/>
      </w:pPr>
      <w:rPr>
        <w:rFonts w:hint="default"/>
      </w:rPr>
    </w:lvl>
    <w:lvl w:ilvl="2" w:tplc="4E5A270C">
      <w:start w:val="1"/>
      <w:numFmt w:val="bullet"/>
      <w:lvlText w:val="•"/>
      <w:lvlJc w:val="left"/>
      <w:pPr>
        <w:ind w:left="1158" w:hanging="176"/>
      </w:pPr>
      <w:rPr>
        <w:rFonts w:hint="default"/>
      </w:rPr>
    </w:lvl>
    <w:lvl w:ilvl="3" w:tplc="5712BD04">
      <w:start w:val="1"/>
      <w:numFmt w:val="bullet"/>
      <w:lvlText w:val="•"/>
      <w:lvlJc w:val="left"/>
      <w:pPr>
        <w:ind w:left="1597" w:hanging="176"/>
      </w:pPr>
      <w:rPr>
        <w:rFonts w:hint="default"/>
      </w:rPr>
    </w:lvl>
    <w:lvl w:ilvl="4" w:tplc="BF360BEA">
      <w:start w:val="1"/>
      <w:numFmt w:val="bullet"/>
      <w:lvlText w:val="•"/>
      <w:lvlJc w:val="left"/>
      <w:pPr>
        <w:ind w:left="2036" w:hanging="176"/>
      </w:pPr>
      <w:rPr>
        <w:rFonts w:hint="default"/>
      </w:rPr>
    </w:lvl>
    <w:lvl w:ilvl="5" w:tplc="78B88B98">
      <w:start w:val="1"/>
      <w:numFmt w:val="bullet"/>
      <w:lvlText w:val="•"/>
      <w:lvlJc w:val="left"/>
      <w:pPr>
        <w:ind w:left="2475" w:hanging="176"/>
      </w:pPr>
      <w:rPr>
        <w:rFonts w:hint="default"/>
      </w:rPr>
    </w:lvl>
    <w:lvl w:ilvl="6" w:tplc="E828E476">
      <w:start w:val="1"/>
      <w:numFmt w:val="bullet"/>
      <w:lvlText w:val="•"/>
      <w:lvlJc w:val="left"/>
      <w:pPr>
        <w:ind w:left="2914" w:hanging="176"/>
      </w:pPr>
      <w:rPr>
        <w:rFonts w:hint="default"/>
      </w:rPr>
    </w:lvl>
    <w:lvl w:ilvl="7" w:tplc="47F29520">
      <w:start w:val="1"/>
      <w:numFmt w:val="bullet"/>
      <w:lvlText w:val="•"/>
      <w:lvlJc w:val="left"/>
      <w:pPr>
        <w:ind w:left="3353" w:hanging="176"/>
      </w:pPr>
      <w:rPr>
        <w:rFonts w:hint="default"/>
      </w:rPr>
    </w:lvl>
    <w:lvl w:ilvl="8" w:tplc="8BE0B138">
      <w:start w:val="1"/>
      <w:numFmt w:val="bullet"/>
      <w:lvlText w:val="•"/>
      <w:lvlJc w:val="left"/>
      <w:pPr>
        <w:ind w:left="3792" w:hanging="176"/>
      </w:pPr>
      <w:rPr>
        <w:rFonts w:hint="default"/>
      </w:rPr>
    </w:lvl>
  </w:abstractNum>
  <w:abstractNum w:abstractNumId="32" w15:restartNumberingAfterBreak="0">
    <w:nsid w:val="69E65B17"/>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33" w15:restartNumberingAfterBreak="0">
    <w:nsid w:val="791746F0"/>
    <w:multiLevelType w:val="multilevel"/>
    <w:tmpl w:val="0F42B020"/>
    <w:lvl w:ilvl="0">
      <w:start w:val="1"/>
      <w:numFmt w:val="bullet"/>
      <w:lvlText w:val=""/>
      <w:lvlJc w:val="left"/>
      <w:pPr>
        <w:ind w:left="5596" w:hanging="360"/>
      </w:pPr>
      <w:rPr>
        <w:rFonts w:ascii="Symbol" w:eastAsia="Symbol" w:hAnsi="Symbol" w:hint="default"/>
        <w:w w:val="100"/>
        <w:sz w:val="24"/>
        <w:szCs w:val="24"/>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1701" w:hanging="340"/>
      </w:pPr>
      <w:rPr>
        <w:rFonts w:ascii="Symbol" w:hAnsi="Symbol" w:hint="default"/>
        <w:w w:val="100"/>
        <w:sz w:val="24"/>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34" w15:restartNumberingAfterBreak="0">
    <w:nsid w:val="7A876D8E"/>
    <w:multiLevelType w:val="multilevel"/>
    <w:tmpl w:val="7A2428B4"/>
    <w:lvl w:ilvl="0">
      <w:start w:val="1"/>
      <w:numFmt w:val="upperLetter"/>
      <w:lvlText w:val="%1."/>
      <w:lvlJc w:val="left"/>
      <w:pPr>
        <w:ind w:left="460" w:hanging="358"/>
      </w:pPr>
      <w:rPr>
        <w:rFonts w:ascii="Calibri" w:hAnsi="Calibri" w:hint="default"/>
        <w:b/>
        <w:bCs/>
        <w:color w:val="365F91"/>
        <w:w w:val="100"/>
        <w:sz w:val="28"/>
        <w:szCs w:val="28"/>
      </w:rPr>
    </w:lvl>
    <w:lvl w:ilvl="1">
      <w:start w:val="1"/>
      <w:numFmt w:val="decimal"/>
      <w:lvlText w:val="%1.%2"/>
      <w:lvlJc w:val="left"/>
      <w:pPr>
        <w:ind w:left="665" w:hanging="574"/>
      </w:pPr>
      <w:rPr>
        <w:rFonts w:ascii="Calibri" w:hAnsi="Calibri" w:hint="default"/>
        <w:b/>
        <w:bCs/>
        <w:color w:val="365F91"/>
        <w:spacing w:val="0"/>
        <w:w w:val="100"/>
        <w:sz w:val="28"/>
        <w:szCs w:val="28"/>
      </w:rPr>
    </w:lvl>
    <w:lvl w:ilvl="2">
      <w:start w:val="1"/>
      <w:numFmt w:val="lowerLetter"/>
      <w:lvlText w:val="%3)"/>
      <w:lvlJc w:val="left"/>
      <w:pPr>
        <w:ind w:left="1720" w:hanging="360"/>
      </w:pPr>
      <w:rPr>
        <w:rFonts w:ascii="Calibri" w:eastAsia="Calibri" w:hAnsi="Calibri" w:hint="default"/>
        <w:spacing w:val="-25"/>
        <w:w w:val="100"/>
        <w:sz w:val="24"/>
        <w:szCs w:val="24"/>
      </w:rPr>
    </w:lvl>
    <w:lvl w:ilvl="3">
      <w:start w:val="1"/>
      <w:numFmt w:val="bullet"/>
      <w:lvlText w:val="•"/>
      <w:lvlJc w:val="left"/>
      <w:pPr>
        <w:ind w:left="680" w:hanging="360"/>
      </w:pPr>
      <w:rPr>
        <w:rFonts w:hint="default"/>
      </w:rPr>
    </w:lvl>
    <w:lvl w:ilvl="4">
      <w:start w:val="1"/>
      <w:numFmt w:val="bullet"/>
      <w:lvlText w:val="•"/>
      <w:lvlJc w:val="left"/>
      <w:pPr>
        <w:ind w:left="1720" w:hanging="360"/>
      </w:pPr>
      <w:rPr>
        <w:rFonts w:hint="default"/>
      </w:rPr>
    </w:lvl>
    <w:lvl w:ilvl="5">
      <w:start w:val="1"/>
      <w:numFmt w:val="bullet"/>
      <w:lvlText w:val="•"/>
      <w:lvlJc w:val="left"/>
      <w:pPr>
        <w:ind w:left="2974" w:hanging="360"/>
      </w:pPr>
      <w:rPr>
        <w:rFonts w:hint="default"/>
      </w:rPr>
    </w:lvl>
    <w:lvl w:ilvl="6">
      <w:start w:val="1"/>
      <w:numFmt w:val="bullet"/>
      <w:lvlText w:val="•"/>
      <w:lvlJc w:val="left"/>
      <w:pPr>
        <w:ind w:left="4228" w:hanging="360"/>
      </w:pPr>
      <w:rPr>
        <w:rFonts w:hint="default"/>
      </w:rPr>
    </w:lvl>
    <w:lvl w:ilvl="7">
      <w:start w:val="1"/>
      <w:numFmt w:val="bullet"/>
      <w:lvlText w:val="•"/>
      <w:lvlJc w:val="left"/>
      <w:pPr>
        <w:ind w:left="5483" w:hanging="360"/>
      </w:pPr>
      <w:rPr>
        <w:rFonts w:hint="default"/>
      </w:rPr>
    </w:lvl>
    <w:lvl w:ilvl="8">
      <w:start w:val="1"/>
      <w:numFmt w:val="bullet"/>
      <w:lvlText w:val="•"/>
      <w:lvlJc w:val="left"/>
      <w:pPr>
        <w:ind w:left="6737" w:hanging="360"/>
      </w:pPr>
      <w:rPr>
        <w:rFonts w:hint="default"/>
      </w:rPr>
    </w:lvl>
  </w:abstractNum>
  <w:abstractNum w:abstractNumId="35" w15:restartNumberingAfterBreak="0">
    <w:nsid w:val="7B995F54"/>
    <w:multiLevelType w:val="multilevel"/>
    <w:tmpl w:val="1B54A7C0"/>
    <w:styleLink w:val="Styl1"/>
    <w:lvl w:ilvl="0">
      <w:start w:val="1"/>
      <w:numFmt w:val="upperLetter"/>
      <w:lvlText w:val="%1."/>
      <w:lvlJc w:val="left"/>
      <w:pPr>
        <w:ind w:left="360" w:hanging="360"/>
      </w:pPr>
      <w:rPr>
        <w:rFonts w:ascii="Calibri" w:hAnsi="Calibri" w:hint="default"/>
        <w:color w:val="365F91" w:themeColor="accent1" w:themeShade="B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E0F5F26"/>
    <w:multiLevelType w:val="multilevel"/>
    <w:tmpl w:val="674E7D74"/>
    <w:lvl w:ilvl="0">
      <w:start w:val="1"/>
      <w:numFmt w:val="bullet"/>
      <w:lvlText w:val=""/>
      <w:lvlJc w:val="left"/>
      <w:pPr>
        <w:ind w:left="1701" w:hanging="340"/>
      </w:pPr>
      <w:rPr>
        <w:rFonts w:ascii="Symbol" w:hAnsi="Symbol" w:hint="default"/>
      </w:rPr>
    </w:lvl>
    <w:lvl w:ilvl="1">
      <w:start w:val="1"/>
      <w:numFmt w:val="bullet"/>
      <w:lvlText w:val="o"/>
      <w:lvlJc w:val="left"/>
      <w:pPr>
        <w:ind w:left="3158" w:hanging="360"/>
      </w:pPr>
      <w:rPr>
        <w:rFonts w:ascii="Courier New" w:hAnsi="Courier New" w:cs="Courier New" w:hint="default"/>
      </w:rPr>
    </w:lvl>
    <w:lvl w:ilvl="2">
      <w:start w:val="1"/>
      <w:numFmt w:val="bullet"/>
      <w:lvlText w:val=""/>
      <w:lvlJc w:val="left"/>
      <w:pPr>
        <w:ind w:left="3878" w:hanging="360"/>
      </w:pPr>
      <w:rPr>
        <w:rFonts w:ascii="Wingdings" w:hAnsi="Wingdings" w:hint="default"/>
      </w:rPr>
    </w:lvl>
    <w:lvl w:ilvl="3">
      <w:start w:val="1"/>
      <w:numFmt w:val="bullet"/>
      <w:lvlText w:val=""/>
      <w:lvlJc w:val="left"/>
      <w:pPr>
        <w:ind w:left="4598" w:hanging="360"/>
      </w:pPr>
      <w:rPr>
        <w:rFonts w:ascii="Symbol" w:hAnsi="Symbol" w:hint="default"/>
      </w:rPr>
    </w:lvl>
    <w:lvl w:ilvl="4">
      <w:start w:val="1"/>
      <w:numFmt w:val="bullet"/>
      <w:lvlText w:val="o"/>
      <w:lvlJc w:val="left"/>
      <w:pPr>
        <w:ind w:left="5318" w:hanging="360"/>
      </w:pPr>
      <w:rPr>
        <w:rFonts w:ascii="Courier New" w:hAnsi="Courier New" w:cs="Courier New" w:hint="default"/>
      </w:rPr>
    </w:lvl>
    <w:lvl w:ilvl="5">
      <w:start w:val="1"/>
      <w:numFmt w:val="bullet"/>
      <w:lvlText w:val=""/>
      <w:lvlJc w:val="left"/>
      <w:pPr>
        <w:ind w:left="6038" w:hanging="360"/>
      </w:pPr>
      <w:rPr>
        <w:rFonts w:ascii="Wingdings" w:hAnsi="Wingdings" w:hint="default"/>
      </w:rPr>
    </w:lvl>
    <w:lvl w:ilvl="6">
      <w:start w:val="1"/>
      <w:numFmt w:val="bullet"/>
      <w:lvlText w:val=""/>
      <w:lvlJc w:val="left"/>
      <w:pPr>
        <w:ind w:left="6758" w:hanging="360"/>
      </w:pPr>
      <w:rPr>
        <w:rFonts w:ascii="Symbol" w:hAnsi="Symbol" w:hint="default"/>
      </w:rPr>
    </w:lvl>
    <w:lvl w:ilvl="7">
      <w:start w:val="1"/>
      <w:numFmt w:val="bullet"/>
      <w:lvlText w:val="o"/>
      <w:lvlJc w:val="left"/>
      <w:pPr>
        <w:ind w:left="7478" w:hanging="360"/>
      </w:pPr>
      <w:rPr>
        <w:rFonts w:ascii="Courier New" w:hAnsi="Courier New" w:cs="Courier New" w:hint="default"/>
      </w:rPr>
    </w:lvl>
    <w:lvl w:ilvl="8">
      <w:start w:val="1"/>
      <w:numFmt w:val="bullet"/>
      <w:lvlText w:val=""/>
      <w:lvlJc w:val="left"/>
      <w:pPr>
        <w:ind w:left="8198" w:hanging="360"/>
      </w:pPr>
      <w:rPr>
        <w:rFonts w:ascii="Wingdings" w:hAnsi="Wingdings" w:hint="default"/>
      </w:rPr>
    </w:lvl>
  </w:abstractNum>
  <w:abstractNum w:abstractNumId="37" w15:restartNumberingAfterBreak="0">
    <w:nsid w:val="7E543B6F"/>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abstractNum w:abstractNumId="38" w15:restartNumberingAfterBreak="0">
    <w:nsid w:val="7E5D0527"/>
    <w:multiLevelType w:val="multilevel"/>
    <w:tmpl w:val="F1BC6C1C"/>
    <w:lvl w:ilvl="0">
      <w:start w:val="1"/>
      <w:numFmt w:val="decimal"/>
      <w:lvlText w:val="%1."/>
      <w:lvlJc w:val="left"/>
      <w:pPr>
        <w:ind w:left="1701" w:hanging="340"/>
      </w:pPr>
      <w:rPr>
        <w:rFonts w:ascii="Calibri" w:hAnsi="Calibri" w:hint="default"/>
        <w:b w:val="0"/>
        <w:bCs/>
        <w:i w:val="0"/>
        <w:color w:val="auto"/>
        <w:w w:val="100"/>
        <w:sz w:val="22"/>
        <w:szCs w:val="28"/>
      </w:rPr>
    </w:lvl>
    <w:lvl w:ilvl="1">
      <w:start w:val="1"/>
      <w:numFmt w:val="none"/>
      <w:lvlText w:val=""/>
      <w:lvlJc w:val="left"/>
      <w:pPr>
        <w:ind w:left="665" w:hanging="574"/>
      </w:pPr>
      <w:rPr>
        <w:rFonts w:ascii="Calibri" w:hAnsi="Calibri" w:hint="default"/>
        <w:b/>
        <w:bCs/>
        <w:color w:val="365F91"/>
        <w:spacing w:val="0"/>
        <w:w w:val="100"/>
        <w:sz w:val="28"/>
        <w:szCs w:val="28"/>
      </w:rPr>
    </w:lvl>
    <w:lvl w:ilvl="2">
      <w:start w:val="1"/>
      <w:numFmt w:val="bullet"/>
      <w:lvlText w:val=""/>
      <w:lvlJc w:val="left"/>
      <w:pPr>
        <w:ind w:left="1720" w:hanging="360"/>
      </w:pPr>
      <w:rPr>
        <w:rFonts w:ascii="Symbol" w:hAnsi="Symbol" w:hint="default"/>
        <w:spacing w:val="-25"/>
        <w:w w:val="100"/>
        <w:sz w:val="24"/>
        <w:szCs w:val="24"/>
      </w:rPr>
    </w:lvl>
    <w:lvl w:ilvl="3">
      <w:start w:val="1"/>
      <w:numFmt w:val="none"/>
      <w:lvlText w:val=""/>
      <w:lvlJc w:val="left"/>
      <w:pPr>
        <w:ind w:left="680" w:hanging="360"/>
      </w:pPr>
      <w:rPr>
        <w:rFonts w:hint="default"/>
      </w:rPr>
    </w:lvl>
    <w:lvl w:ilvl="4">
      <w:start w:val="1"/>
      <w:numFmt w:val="none"/>
      <w:lvlText w:val=""/>
      <w:lvlJc w:val="left"/>
      <w:pPr>
        <w:ind w:left="1720" w:hanging="360"/>
      </w:pPr>
      <w:rPr>
        <w:rFonts w:hint="default"/>
      </w:rPr>
    </w:lvl>
    <w:lvl w:ilvl="5">
      <w:start w:val="1"/>
      <w:numFmt w:val="none"/>
      <w:lvlText w:val=""/>
      <w:lvlJc w:val="left"/>
      <w:pPr>
        <w:ind w:left="2974" w:hanging="360"/>
      </w:pPr>
      <w:rPr>
        <w:rFonts w:hint="default"/>
      </w:rPr>
    </w:lvl>
    <w:lvl w:ilvl="6">
      <w:start w:val="1"/>
      <w:numFmt w:val="none"/>
      <w:lvlText w:val=""/>
      <w:lvlJc w:val="left"/>
      <w:pPr>
        <w:ind w:left="4228" w:hanging="360"/>
      </w:pPr>
      <w:rPr>
        <w:rFonts w:hint="default"/>
      </w:rPr>
    </w:lvl>
    <w:lvl w:ilvl="7">
      <w:start w:val="1"/>
      <w:numFmt w:val="none"/>
      <w:lvlText w:val=""/>
      <w:lvlJc w:val="left"/>
      <w:pPr>
        <w:ind w:left="5483" w:hanging="360"/>
      </w:pPr>
      <w:rPr>
        <w:rFonts w:hint="default"/>
      </w:rPr>
    </w:lvl>
    <w:lvl w:ilvl="8">
      <w:start w:val="1"/>
      <w:numFmt w:val="none"/>
      <w:lvlText w:val=""/>
      <w:lvlJc w:val="left"/>
      <w:pPr>
        <w:ind w:left="6737" w:hanging="360"/>
      </w:pPr>
      <w:rPr>
        <w:rFonts w:hint="default"/>
      </w:rPr>
    </w:lvl>
  </w:abstractNum>
  <w:num w:numId="1">
    <w:abstractNumId w:val="14"/>
  </w:num>
  <w:num w:numId="2">
    <w:abstractNumId w:val="29"/>
  </w:num>
  <w:num w:numId="3">
    <w:abstractNumId w:val="18"/>
  </w:num>
  <w:num w:numId="4">
    <w:abstractNumId w:val="10"/>
  </w:num>
  <w:num w:numId="5">
    <w:abstractNumId w:val="1"/>
  </w:num>
  <w:num w:numId="6">
    <w:abstractNumId w:val="6"/>
  </w:num>
  <w:num w:numId="7">
    <w:abstractNumId w:val="5"/>
  </w:num>
  <w:num w:numId="8">
    <w:abstractNumId w:val="2"/>
  </w:num>
  <w:num w:numId="9">
    <w:abstractNumId w:val="27"/>
  </w:num>
  <w:num w:numId="10">
    <w:abstractNumId w:val="9"/>
  </w:num>
  <w:num w:numId="11">
    <w:abstractNumId w:val="31"/>
  </w:num>
  <w:num w:numId="12">
    <w:abstractNumId w:val="21"/>
  </w:num>
  <w:num w:numId="13">
    <w:abstractNumId w:val="19"/>
  </w:num>
  <w:num w:numId="14">
    <w:abstractNumId w:val="34"/>
  </w:num>
  <w:num w:numId="15">
    <w:abstractNumId w:val="7"/>
  </w:num>
  <w:num w:numId="16">
    <w:abstractNumId w:val="16"/>
  </w:num>
  <w:num w:numId="17">
    <w:abstractNumId w:val="35"/>
  </w:num>
  <w:num w:numId="18">
    <w:abstractNumId w:val="23"/>
  </w:num>
  <w:num w:numId="19">
    <w:abstractNumId w:val="25"/>
  </w:num>
  <w:num w:numId="20">
    <w:abstractNumId w:val="11"/>
  </w:num>
  <w:num w:numId="21">
    <w:abstractNumId w:val="30"/>
  </w:num>
  <w:num w:numId="22">
    <w:abstractNumId w:val="17"/>
  </w:num>
  <w:num w:numId="23">
    <w:abstractNumId w:val="33"/>
  </w:num>
  <w:num w:numId="24">
    <w:abstractNumId w:val="13"/>
  </w:num>
  <w:num w:numId="25">
    <w:abstractNumId w:val="24"/>
  </w:num>
  <w:num w:numId="26">
    <w:abstractNumId w:val="36"/>
  </w:num>
  <w:num w:numId="27">
    <w:abstractNumId w:val="26"/>
  </w:num>
  <w:num w:numId="28">
    <w:abstractNumId w:val="4"/>
  </w:num>
  <w:num w:numId="29">
    <w:abstractNumId w:val="0"/>
  </w:num>
  <w:num w:numId="30">
    <w:abstractNumId w:val="32"/>
  </w:num>
  <w:num w:numId="31">
    <w:abstractNumId w:val="22"/>
  </w:num>
  <w:num w:numId="32">
    <w:abstractNumId w:val="38"/>
  </w:num>
  <w:num w:numId="33">
    <w:abstractNumId w:val="28"/>
  </w:num>
  <w:num w:numId="34">
    <w:abstractNumId w:val="8"/>
  </w:num>
  <w:num w:numId="35">
    <w:abstractNumId w:val="12"/>
  </w:num>
  <w:num w:numId="36">
    <w:abstractNumId w:val="3"/>
  </w:num>
  <w:num w:numId="37">
    <w:abstractNumId w:val="37"/>
  </w:num>
  <w:num w:numId="38">
    <w:abstractNumId w:val="20"/>
  </w:num>
  <w:num w:numId="3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3DC"/>
    <w:rsid w:val="00001091"/>
    <w:rsid w:val="00012E15"/>
    <w:rsid w:val="00015060"/>
    <w:rsid w:val="00021F6A"/>
    <w:rsid w:val="00034489"/>
    <w:rsid w:val="000372A1"/>
    <w:rsid w:val="00043FEB"/>
    <w:rsid w:val="0004569F"/>
    <w:rsid w:val="0005679F"/>
    <w:rsid w:val="00070D84"/>
    <w:rsid w:val="000911AB"/>
    <w:rsid w:val="000B0B2B"/>
    <w:rsid w:val="000B4D26"/>
    <w:rsid w:val="000B50A2"/>
    <w:rsid w:val="000C4830"/>
    <w:rsid w:val="000E1B99"/>
    <w:rsid w:val="000F7012"/>
    <w:rsid w:val="001258F9"/>
    <w:rsid w:val="0013264A"/>
    <w:rsid w:val="00145929"/>
    <w:rsid w:val="001471C7"/>
    <w:rsid w:val="001669A7"/>
    <w:rsid w:val="0017247F"/>
    <w:rsid w:val="0019498B"/>
    <w:rsid w:val="00195139"/>
    <w:rsid w:val="001B7998"/>
    <w:rsid w:val="001D2770"/>
    <w:rsid w:val="00204A01"/>
    <w:rsid w:val="00205240"/>
    <w:rsid w:val="002244A3"/>
    <w:rsid w:val="002366A0"/>
    <w:rsid w:val="00272D6B"/>
    <w:rsid w:val="002B79EA"/>
    <w:rsid w:val="002F2CF3"/>
    <w:rsid w:val="002F62DA"/>
    <w:rsid w:val="00310464"/>
    <w:rsid w:val="00323EF5"/>
    <w:rsid w:val="003317C4"/>
    <w:rsid w:val="003336B6"/>
    <w:rsid w:val="0033592B"/>
    <w:rsid w:val="00360386"/>
    <w:rsid w:val="003703EC"/>
    <w:rsid w:val="0039247D"/>
    <w:rsid w:val="003A0568"/>
    <w:rsid w:val="003C3335"/>
    <w:rsid w:val="003C378F"/>
    <w:rsid w:val="003D1738"/>
    <w:rsid w:val="003D47C8"/>
    <w:rsid w:val="003D636C"/>
    <w:rsid w:val="003E1560"/>
    <w:rsid w:val="003E36D4"/>
    <w:rsid w:val="00405AA9"/>
    <w:rsid w:val="00460B7F"/>
    <w:rsid w:val="0046378C"/>
    <w:rsid w:val="004701B0"/>
    <w:rsid w:val="0047396D"/>
    <w:rsid w:val="00476009"/>
    <w:rsid w:val="004C0A3B"/>
    <w:rsid w:val="004C4429"/>
    <w:rsid w:val="004D2CA9"/>
    <w:rsid w:val="00516E97"/>
    <w:rsid w:val="00553447"/>
    <w:rsid w:val="00561E44"/>
    <w:rsid w:val="00563654"/>
    <w:rsid w:val="00570AC3"/>
    <w:rsid w:val="005729A3"/>
    <w:rsid w:val="0057351F"/>
    <w:rsid w:val="00574223"/>
    <w:rsid w:val="005851B0"/>
    <w:rsid w:val="00587420"/>
    <w:rsid w:val="0058786C"/>
    <w:rsid w:val="005977C3"/>
    <w:rsid w:val="005C7B15"/>
    <w:rsid w:val="005D029B"/>
    <w:rsid w:val="005D46F1"/>
    <w:rsid w:val="005E1B2B"/>
    <w:rsid w:val="005E53D6"/>
    <w:rsid w:val="005F620F"/>
    <w:rsid w:val="00644173"/>
    <w:rsid w:val="00661C6C"/>
    <w:rsid w:val="00666E35"/>
    <w:rsid w:val="00671A90"/>
    <w:rsid w:val="00692373"/>
    <w:rsid w:val="006B1F01"/>
    <w:rsid w:val="006B20E5"/>
    <w:rsid w:val="006B2C33"/>
    <w:rsid w:val="006C3399"/>
    <w:rsid w:val="006E37D4"/>
    <w:rsid w:val="006F5485"/>
    <w:rsid w:val="007002A5"/>
    <w:rsid w:val="00710247"/>
    <w:rsid w:val="00711594"/>
    <w:rsid w:val="007427D5"/>
    <w:rsid w:val="00744140"/>
    <w:rsid w:val="00751115"/>
    <w:rsid w:val="00764259"/>
    <w:rsid w:val="007838FC"/>
    <w:rsid w:val="00794436"/>
    <w:rsid w:val="0079473C"/>
    <w:rsid w:val="007A2850"/>
    <w:rsid w:val="007B75F2"/>
    <w:rsid w:val="007C24C1"/>
    <w:rsid w:val="007C4C06"/>
    <w:rsid w:val="007E0FAB"/>
    <w:rsid w:val="007E4151"/>
    <w:rsid w:val="00823250"/>
    <w:rsid w:val="0084278C"/>
    <w:rsid w:val="00847C0D"/>
    <w:rsid w:val="00853987"/>
    <w:rsid w:val="00853C25"/>
    <w:rsid w:val="00860D95"/>
    <w:rsid w:val="00862D9F"/>
    <w:rsid w:val="00875F14"/>
    <w:rsid w:val="0087779A"/>
    <w:rsid w:val="008921C2"/>
    <w:rsid w:val="00892ED1"/>
    <w:rsid w:val="008A0D34"/>
    <w:rsid w:val="008B312A"/>
    <w:rsid w:val="008B57A7"/>
    <w:rsid w:val="008C106F"/>
    <w:rsid w:val="008D1B13"/>
    <w:rsid w:val="008E2DC2"/>
    <w:rsid w:val="00912334"/>
    <w:rsid w:val="009156EF"/>
    <w:rsid w:val="00970AA1"/>
    <w:rsid w:val="00976521"/>
    <w:rsid w:val="009777AA"/>
    <w:rsid w:val="0098236B"/>
    <w:rsid w:val="00991601"/>
    <w:rsid w:val="009A2C3C"/>
    <w:rsid w:val="009C75E8"/>
    <w:rsid w:val="009D1507"/>
    <w:rsid w:val="009D7853"/>
    <w:rsid w:val="009E1C8D"/>
    <w:rsid w:val="00A01FBD"/>
    <w:rsid w:val="00A02A6D"/>
    <w:rsid w:val="00A113DC"/>
    <w:rsid w:val="00A178DC"/>
    <w:rsid w:val="00A230AE"/>
    <w:rsid w:val="00A262EA"/>
    <w:rsid w:val="00A31FCD"/>
    <w:rsid w:val="00A438B3"/>
    <w:rsid w:val="00A56746"/>
    <w:rsid w:val="00A7509E"/>
    <w:rsid w:val="00A81036"/>
    <w:rsid w:val="00A81FFA"/>
    <w:rsid w:val="00A83661"/>
    <w:rsid w:val="00A92280"/>
    <w:rsid w:val="00AC52AA"/>
    <w:rsid w:val="00AD038F"/>
    <w:rsid w:val="00AE790E"/>
    <w:rsid w:val="00AF159C"/>
    <w:rsid w:val="00AF3705"/>
    <w:rsid w:val="00B012BF"/>
    <w:rsid w:val="00B135A8"/>
    <w:rsid w:val="00B2478C"/>
    <w:rsid w:val="00B25BB5"/>
    <w:rsid w:val="00B434CF"/>
    <w:rsid w:val="00B62E2A"/>
    <w:rsid w:val="00B65BED"/>
    <w:rsid w:val="00B83DD2"/>
    <w:rsid w:val="00BC7A22"/>
    <w:rsid w:val="00BD7B71"/>
    <w:rsid w:val="00C111EF"/>
    <w:rsid w:val="00C25FA3"/>
    <w:rsid w:val="00C41FDE"/>
    <w:rsid w:val="00C42534"/>
    <w:rsid w:val="00C47D1F"/>
    <w:rsid w:val="00C53621"/>
    <w:rsid w:val="00C56166"/>
    <w:rsid w:val="00C62C14"/>
    <w:rsid w:val="00C6497D"/>
    <w:rsid w:val="00C6692A"/>
    <w:rsid w:val="00C84485"/>
    <w:rsid w:val="00C91E36"/>
    <w:rsid w:val="00C9297D"/>
    <w:rsid w:val="00CB3974"/>
    <w:rsid w:val="00CD1C98"/>
    <w:rsid w:val="00D0532B"/>
    <w:rsid w:val="00D15541"/>
    <w:rsid w:val="00D3147F"/>
    <w:rsid w:val="00D4391B"/>
    <w:rsid w:val="00D55DA5"/>
    <w:rsid w:val="00D64142"/>
    <w:rsid w:val="00D778F1"/>
    <w:rsid w:val="00D80E32"/>
    <w:rsid w:val="00DA54F4"/>
    <w:rsid w:val="00DD20D4"/>
    <w:rsid w:val="00DE6AC7"/>
    <w:rsid w:val="00DF242D"/>
    <w:rsid w:val="00E026B7"/>
    <w:rsid w:val="00E045C7"/>
    <w:rsid w:val="00E13AEE"/>
    <w:rsid w:val="00E13DD9"/>
    <w:rsid w:val="00E1543E"/>
    <w:rsid w:val="00E2092A"/>
    <w:rsid w:val="00E2383C"/>
    <w:rsid w:val="00E37B24"/>
    <w:rsid w:val="00E439BD"/>
    <w:rsid w:val="00E65FAE"/>
    <w:rsid w:val="00E71973"/>
    <w:rsid w:val="00E81E51"/>
    <w:rsid w:val="00E9534D"/>
    <w:rsid w:val="00E95ACD"/>
    <w:rsid w:val="00EA52A7"/>
    <w:rsid w:val="00ED1F31"/>
    <w:rsid w:val="00EE25EB"/>
    <w:rsid w:val="00EE441B"/>
    <w:rsid w:val="00EF0EC2"/>
    <w:rsid w:val="00EF6AC3"/>
    <w:rsid w:val="00F21A0E"/>
    <w:rsid w:val="00F23686"/>
    <w:rsid w:val="00F244A8"/>
    <w:rsid w:val="00F3337A"/>
    <w:rsid w:val="00F36315"/>
    <w:rsid w:val="00F44C2F"/>
    <w:rsid w:val="00F46E39"/>
    <w:rsid w:val="00F57230"/>
    <w:rsid w:val="00F7090B"/>
    <w:rsid w:val="00F711E5"/>
    <w:rsid w:val="00F73869"/>
    <w:rsid w:val="00F81F14"/>
    <w:rsid w:val="00F85FE3"/>
    <w:rsid w:val="00F92442"/>
    <w:rsid w:val="00F9329B"/>
    <w:rsid w:val="00FA449F"/>
    <w:rsid w:val="00FC1805"/>
    <w:rsid w:val="00FD5C32"/>
    <w:rsid w:val="00FD60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FCB60D-5374-46F0-896D-36F4AC63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026B7"/>
    <w:pPr>
      <w:ind w:left="113" w:right="284"/>
    </w:pPr>
    <w:rPr>
      <w:rFonts w:ascii="Calibri" w:hAnsi="Calibri"/>
      <w:sz w:val="24"/>
    </w:rPr>
  </w:style>
  <w:style w:type="paragraph" w:styleId="Heading1">
    <w:name w:val="heading 1"/>
    <w:basedOn w:val="Normal"/>
    <w:uiPriority w:val="1"/>
    <w:qFormat/>
    <w:rsid w:val="003A0568"/>
    <w:pPr>
      <w:outlineLvl w:val="0"/>
    </w:pPr>
    <w:rPr>
      <w:rFonts w:eastAsia="Calibri"/>
      <w:b/>
      <w:bCs/>
      <w:color w:val="365F91" w:themeColor="accent1" w:themeShade="BF"/>
      <w:sz w:val="28"/>
      <w:szCs w:val="28"/>
      <w:u w:val="single"/>
    </w:rPr>
  </w:style>
  <w:style w:type="paragraph" w:styleId="Heading2">
    <w:name w:val="heading 2"/>
    <w:basedOn w:val="Normal"/>
    <w:uiPriority w:val="1"/>
    <w:qFormat/>
    <w:rsid w:val="00034489"/>
    <w:pPr>
      <w:spacing w:before="200" w:after="200"/>
      <w:outlineLvl w:val="1"/>
    </w:pPr>
    <w:rPr>
      <w:rFonts w:eastAsia="Calibri"/>
      <w:b/>
      <w:bCs/>
      <w:color w:val="365F91" w:themeColor="accent1" w:themeShade="BF"/>
      <w:sz w:val="28"/>
      <w:szCs w:val="28"/>
    </w:rPr>
  </w:style>
  <w:style w:type="paragraph" w:styleId="Heading3">
    <w:name w:val="heading 3"/>
    <w:basedOn w:val="Normal"/>
    <w:uiPriority w:val="1"/>
    <w:qFormat/>
    <w:rsid w:val="00D0532B"/>
    <w:pPr>
      <w:numPr>
        <w:numId w:val="36"/>
      </w:numPr>
      <w:spacing w:before="60"/>
      <w:ind w:left="867" w:hanging="357"/>
      <w:outlineLvl w:val="2"/>
    </w:pPr>
    <w:rPr>
      <w:rFonts w:eastAsia="Calibri"/>
      <w:b/>
      <w:bCs/>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262EA"/>
    <w:pPr>
      <w:tabs>
        <w:tab w:val="right" w:leader="dot" w:pos="9236"/>
      </w:tabs>
      <w:spacing w:before="139"/>
      <w:ind w:left="559" w:hanging="439"/>
    </w:pPr>
    <w:rPr>
      <w:rFonts w:eastAsia="Calibri"/>
      <w:b/>
      <w:bCs/>
      <w:noProof/>
      <w:sz w:val="22"/>
    </w:rPr>
  </w:style>
  <w:style w:type="paragraph" w:styleId="TOC2">
    <w:name w:val="toc 2"/>
    <w:basedOn w:val="TOC1"/>
    <w:uiPriority w:val="39"/>
    <w:qFormat/>
    <w:rsid w:val="00EF0EC2"/>
    <w:pPr>
      <w:tabs>
        <w:tab w:val="clear" w:pos="9236"/>
        <w:tab w:val="left" w:pos="1152"/>
        <w:tab w:val="right" w:leader="dot" w:pos="9216"/>
      </w:tabs>
      <w:ind w:left="864" w:hanging="432"/>
    </w:pPr>
  </w:style>
  <w:style w:type="paragraph" w:styleId="TOC3">
    <w:name w:val="toc 3"/>
    <w:basedOn w:val="Normal"/>
    <w:uiPriority w:val="39"/>
    <w:qFormat/>
    <w:rsid w:val="003D47C8"/>
    <w:pPr>
      <w:spacing w:before="139"/>
      <w:ind w:left="785" w:hanging="461"/>
    </w:pPr>
    <w:rPr>
      <w:rFonts w:eastAsia="Calibri"/>
      <w:b/>
      <w:bCs/>
    </w:rPr>
  </w:style>
  <w:style w:type="paragraph" w:styleId="TOC4">
    <w:name w:val="toc 4"/>
    <w:basedOn w:val="Normal"/>
    <w:uiPriority w:val="1"/>
    <w:qFormat/>
    <w:rsid w:val="003D47C8"/>
    <w:pPr>
      <w:spacing w:before="139"/>
      <w:ind w:left="769" w:hanging="459"/>
    </w:pPr>
    <w:rPr>
      <w:rFonts w:eastAsia="Calibri"/>
      <w:b/>
      <w:bCs/>
      <w:i/>
    </w:rPr>
  </w:style>
  <w:style w:type="paragraph" w:styleId="BodyText">
    <w:name w:val="Body Text"/>
    <w:basedOn w:val="Normal"/>
    <w:uiPriority w:val="1"/>
    <w:qFormat/>
    <w:rsid w:val="00460B7F"/>
    <w:pPr>
      <w:spacing w:before="120"/>
      <w:ind w:left="851"/>
      <w:jc w:val="both"/>
    </w:pPr>
    <w:rPr>
      <w:rFonts w:eastAsia="Calibri"/>
      <w:szCs w:val="24"/>
    </w:rPr>
  </w:style>
  <w:style w:type="paragraph" w:styleId="ListParagraph">
    <w:name w:val="List Paragraph"/>
    <w:basedOn w:val="Normal"/>
    <w:uiPriority w:val="1"/>
    <w:qFormat/>
    <w:rsid w:val="000911AB"/>
    <w:pPr>
      <w:spacing w:before="60"/>
      <w:ind w:left="1361" w:firstLine="357"/>
      <w:jc w:val="both"/>
    </w:pPr>
  </w:style>
  <w:style w:type="paragraph" w:customStyle="1" w:styleId="TableParagraph">
    <w:name w:val="Table Paragraph"/>
    <w:basedOn w:val="Normal"/>
    <w:uiPriority w:val="1"/>
    <w:qFormat/>
    <w:rsid w:val="003D47C8"/>
  </w:style>
  <w:style w:type="paragraph" w:styleId="Header">
    <w:name w:val="header"/>
    <w:basedOn w:val="Normal"/>
    <w:link w:val="HeaderChar"/>
    <w:uiPriority w:val="99"/>
    <w:unhideWhenUsed/>
    <w:rsid w:val="00F7090B"/>
    <w:pPr>
      <w:tabs>
        <w:tab w:val="center" w:pos="4536"/>
        <w:tab w:val="right" w:pos="9072"/>
      </w:tabs>
    </w:pPr>
  </w:style>
  <w:style w:type="character" w:customStyle="1" w:styleId="HeaderChar">
    <w:name w:val="Header Char"/>
    <w:basedOn w:val="DefaultParagraphFont"/>
    <w:link w:val="Header"/>
    <w:uiPriority w:val="99"/>
    <w:rsid w:val="00F7090B"/>
  </w:style>
  <w:style w:type="paragraph" w:styleId="Footer">
    <w:name w:val="footer"/>
    <w:basedOn w:val="Normal"/>
    <w:link w:val="FooterChar"/>
    <w:uiPriority w:val="99"/>
    <w:unhideWhenUsed/>
    <w:rsid w:val="00F7090B"/>
    <w:pPr>
      <w:tabs>
        <w:tab w:val="center" w:pos="4536"/>
        <w:tab w:val="right" w:pos="9072"/>
      </w:tabs>
    </w:pPr>
  </w:style>
  <w:style w:type="character" w:customStyle="1" w:styleId="FooterChar">
    <w:name w:val="Footer Char"/>
    <w:basedOn w:val="DefaultParagraphFont"/>
    <w:link w:val="Footer"/>
    <w:uiPriority w:val="99"/>
    <w:rsid w:val="00F7090B"/>
  </w:style>
  <w:style w:type="table" w:styleId="TableGrid">
    <w:name w:val="Table Grid"/>
    <w:basedOn w:val="TableNormal"/>
    <w:uiPriority w:val="39"/>
    <w:rsid w:val="003E1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2E2A"/>
    <w:pPr>
      <w:keepNext/>
      <w:keepLines/>
      <w:widowControl/>
      <w:spacing w:before="240" w:line="259" w:lineRule="auto"/>
      <w:outlineLvl w:val="9"/>
    </w:pPr>
    <w:rPr>
      <w:rFonts w:asciiTheme="majorHAnsi" w:eastAsiaTheme="majorEastAsia" w:hAnsiTheme="majorHAnsi" w:cstheme="majorBidi"/>
      <w:b w:val="0"/>
      <w:bCs w:val="0"/>
      <w:sz w:val="32"/>
      <w:szCs w:val="32"/>
    </w:rPr>
  </w:style>
  <w:style w:type="character" w:styleId="Hyperlink">
    <w:name w:val="Hyperlink"/>
    <w:basedOn w:val="DefaultParagraphFont"/>
    <w:uiPriority w:val="99"/>
    <w:unhideWhenUsed/>
    <w:rsid w:val="00B62E2A"/>
    <w:rPr>
      <w:color w:val="0000FF" w:themeColor="hyperlink"/>
      <w:u w:val="single"/>
    </w:rPr>
  </w:style>
  <w:style w:type="paragraph" w:styleId="BalloonText">
    <w:name w:val="Balloon Text"/>
    <w:basedOn w:val="Normal"/>
    <w:link w:val="BalloonTextChar"/>
    <w:uiPriority w:val="99"/>
    <w:semiHidden/>
    <w:unhideWhenUsed/>
    <w:rsid w:val="00574223"/>
    <w:rPr>
      <w:rFonts w:ascii="Tahoma" w:hAnsi="Tahoma" w:cs="Tahoma"/>
      <w:sz w:val="16"/>
      <w:szCs w:val="16"/>
    </w:rPr>
  </w:style>
  <w:style w:type="character" w:customStyle="1" w:styleId="BalloonTextChar">
    <w:name w:val="Balloon Text Char"/>
    <w:basedOn w:val="DefaultParagraphFont"/>
    <w:link w:val="BalloonText"/>
    <w:uiPriority w:val="99"/>
    <w:semiHidden/>
    <w:rsid w:val="00574223"/>
    <w:rPr>
      <w:rFonts w:ascii="Tahoma" w:hAnsi="Tahoma" w:cs="Tahoma"/>
      <w:sz w:val="16"/>
      <w:szCs w:val="16"/>
    </w:rPr>
  </w:style>
  <w:style w:type="paragraph" w:styleId="NoSpacing">
    <w:name w:val="No Spacing"/>
    <w:uiPriority w:val="1"/>
    <w:qFormat/>
    <w:rsid w:val="00666E35"/>
  </w:style>
  <w:style w:type="numbering" w:customStyle="1" w:styleId="Styl1">
    <w:name w:val="Styl1"/>
    <w:uiPriority w:val="99"/>
    <w:rsid w:val="00B65BED"/>
    <w:pPr>
      <w:numPr>
        <w:numId w:val="17"/>
      </w:numPr>
    </w:pPr>
  </w:style>
  <w:style w:type="paragraph" w:customStyle="1" w:styleId="Heading2-1">
    <w:name w:val="Heading 2-1"/>
    <w:uiPriority w:val="1"/>
    <w:qFormat/>
    <w:rsid w:val="00DE6AC7"/>
    <w:pPr>
      <w:numPr>
        <w:ilvl w:val="2"/>
        <w:numId w:val="18"/>
      </w:numPr>
      <w:spacing w:before="251"/>
    </w:pPr>
    <w:rPr>
      <w:rFonts w:ascii="Calibri" w:hAnsi="Calibri"/>
      <w:color w:val="365F91"/>
      <w:sz w:val="28"/>
      <w:u w:val="single" w:color="365F91"/>
    </w:rPr>
  </w:style>
  <w:style w:type="paragraph" w:customStyle="1" w:styleId="Heading3-1">
    <w:name w:val="Heading 3-1"/>
    <w:basedOn w:val="Heading2-1"/>
    <w:uiPriority w:val="1"/>
    <w:qFormat/>
    <w:rsid w:val="00B135A8"/>
    <w:pPr>
      <w:numPr>
        <w:ilvl w:val="3"/>
      </w:numPr>
    </w:pPr>
    <w:rPr>
      <w:color w:val="auto"/>
      <w:sz w:val="24"/>
      <w:u w:val="none"/>
    </w:rPr>
  </w:style>
  <w:style w:type="paragraph" w:styleId="Title">
    <w:name w:val="Title"/>
    <w:basedOn w:val="Normal"/>
    <w:next w:val="Normal"/>
    <w:link w:val="TitleChar"/>
    <w:uiPriority w:val="10"/>
    <w:qFormat/>
    <w:rsid w:val="009D78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7853"/>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E81E51"/>
    <w:pPr>
      <w:ind w:left="851"/>
      <w:jc w:val="both"/>
    </w:pPr>
    <w:rPr>
      <w:iCs/>
      <w:color w:val="000000" w:themeColor="text1"/>
      <w:sz w:val="16"/>
    </w:rPr>
  </w:style>
  <w:style w:type="character" w:customStyle="1" w:styleId="QuoteChar">
    <w:name w:val="Quote Char"/>
    <w:basedOn w:val="DefaultParagraphFont"/>
    <w:link w:val="Quote"/>
    <w:uiPriority w:val="29"/>
    <w:rsid w:val="00E81E51"/>
    <w:rPr>
      <w:rFonts w:ascii="Calibri" w:hAnsi="Calibri"/>
      <w:iCs/>
      <w:color w:val="000000" w:themeColor="text1"/>
      <w:sz w:val="16"/>
    </w:rPr>
  </w:style>
  <w:style w:type="character" w:styleId="FollowedHyperlink">
    <w:name w:val="FollowedHyperlink"/>
    <w:basedOn w:val="DefaultParagraphFont"/>
    <w:uiPriority w:val="99"/>
    <w:semiHidden/>
    <w:unhideWhenUsed/>
    <w:rsid w:val="005D02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lux.public.lu/leg/a/archives/2008/0172/index.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pdb.era.europa.eu/safety_docs/AnnualReport/search_results.asp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ilinfra.l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3" Type="http://schemas.openxmlformats.org/officeDocument/2006/relationships/hyperlink" Target="http://www.railinfra.lu/" TargetMode="External"/><Relationship Id="rId2" Type="http://schemas.openxmlformats.org/officeDocument/2006/relationships/hyperlink" Target="http://www.gouvernement.lu/" TargetMode="External"/><Relationship Id="rId1" Type="http://schemas.openxmlformats.org/officeDocument/2006/relationships/hyperlink" Target="mailto:contact@acf.etat.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ADDD3-222C-4749-B48E-6C6C5373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10442</Words>
  <Characters>59526</Characters>
  <Application>Microsoft Office Word</Application>
  <DocSecurity>0</DocSecurity>
  <Lines>496</Lines>
  <Paragraphs>139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CDT</Company>
  <LinksUpToDate>false</LinksUpToDate>
  <CharactersWithSpaces>69829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WALRAVENS Brigitte (ERA)</cp:lastModifiedBy>
  <cp:revision>2</cp:revision>
  <cp:lastPrinted>2017-12-07T10:01:00Z</cp:lastPrinted>
  <dcterms:created xsi:type="dcterms:W3CDTF">2018-02-06T13:58:00Z</dcterms:created>
  <dcterms:modified xsi:type="dcterms:W3CDTF">2018-02-06T13:58:00Z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Aspose Ltd.</vt:lpwstr>
  </property>
  <property fmtid="{D5CDD505-2E9C-101B-9397-08002B2CF9AE}" pid="4" name="LastSaved">
    <vt:filetime>2017-11-23T00:00:00Z</vt:filetime>
  </property>
</Properties>
</file>