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914"/>
      </w:tblGrid>
      <w:tr w:rsidR="00507431" w:rsidTr="005F16A2">
        <w:tc>
          <w:tcPr>
            <w:tcW w:w="2235" w:type="dxa"/>
          </w:tcPr>
          <w:p w:rsidR="005F16A2" w:rsidRPr="00EE44D0" w:rsidRDefault="00DB14F7" w:rsidP="001C07B2">
            <w:pPr>
              <w:pStyle w:val="BodyText"/>
              <w:widowControl/>
              <w:spacing w:after="240" w:line="288" w:lineRule="auto"/>
              <w:rPr>
                <w:rFonts w:ascii="Times New Roman"/>
                <w:sz w:val="20"/>
              </w:rPr>
            </w:pPr>
            <w:r w:rsidRPr="00EE44D0">
              <w:rPr>
                <w:noProof/>
                <w:lang w:val="en-US" w:eastAsia="zh-CN" w:bidi="ar-SA"/>
              </w:rPr>
              <w:drawing>
                <wp:inline distT="0" distB="0" distL="0" distR="0">
                  <wp:extent cx="1000125" cy="1390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167561" name=""/>
                          <pic:cNvPicPr/>
                        </pic:nvPicPr>
                        <pic:blipFill>
                          <a:blip r:embed="rId8"/>
                          <a:stretch>
                            <a:fillRect/>
                          </a:stretch>
                        </pic:blipFill>
                        <pic:spPr>
                          <a:xfrm>
                            <a:off x="0" y="0"/>
                            <a:ext cx="1000125" cy="1390650"/>
                          </a:xfrm>
                          <a:prstGeom prst="rect">
                            <a:avLst/>
                          </a:prstGeom>
                        </pic:spPr>
                      </pic:pic>
                    </a:graphicData>
                  </a:graphic>
                </wp:inline>
              </w:drawing>
            </w:r>
          </w:p>
        </w:tc>
        <w:tc>
          <w:tcPr>
            <w:tcW w:w="8037" w:type="dxa"/>
            <w:vAlign w:val="center"/>
          </w:tcPr>
          <w:p w:rsidR="005F16A2" w:rsidRPr="00EE44D0" w:rsidRDefault="00DB14F7" w:rsidP="001C07B2">
            <w:pPr>
              <w:pStyle w:val="BodyText"/>
              <w:widowControl/>
              <w:spacing w:after="240" w:line="288" w:lineRule="auto"/>
              <w:rPr>
                <w:b/>
                <w:caps/>
                <w:smallCaps/>
                <w:sz w:val="20"/>
              </w:rPr>
            </w:pPr>
            <w:r w:rsidRPr="00EE44D0">
              <w:rPr>
                <w:b/>
                <w:smallCaps/>
                <w:sz w:val="20"/>
              </w:rPr>
              <w:t>THE ESTONIAN TECHNICAL REGULATORY AUTHORITY</w:t>
            </w:r>
          </w:p>
        </w:tc>
      </w:tr>
    </w:tbl>
    <w:p w:rsidR="00E3058B" w:rsidRPr="00EE44D0" w:rsidRDefault="00DB14F7" w:rsidP="001C07B2">
      <w:pPr>
        <w:pStyle w:val="BodyText"/>
        <w:widowControl/>
        <w:spacing w:after="240" w:line="288" w:lineRule="auto"/>
        <w:rPr>
          <w:rFonts w:ascii="Times New Roman"/>
          <w:sz w:val="20"/>
        </w:rPr>
      </w:pPr>
      <w:r w:rsidRPr="00EE44D0">
        <w:rPr>
          <w:noProof/>
          <w:lang w:val="en-US" w:eastAsia="zh-CN" w:bidi="ar-SA"/>
        </w:rPr>
        <w:drawing>
          <wp:inline distT="0" distB="0" distL="0" distR="0">
            <wp:extent cx="5798414" cy="398145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98414" cy="3981450"/>
                    </a:xfrm>
                    <a:prstGeom prst="rect">
                      <a:avLst/>
                    </a:prstGeom>
                  </pic:spPr>
                </pic:pic>
              </a:graphicData>
            </a:graphic>
          </wp:inline>
        </w:drawing>
      </w:r>
    </w:p>
    <w:p w:rsidR="00E3058B" w:rsidRPr="00EE44D0" w:rsidRDefault="00E3058B" w:rsidP="001C07B2">
      <w:pPr>
        <w:pStyle w:val="BodyText"/>
        <w:widowControl/>
        <w:spacing w:after="240" w:line="288" w:lineRule="auto"/>
        <w:rPr>
          <w:rFonts w:ascii="Times New Roman"/>
          <w:sz w:val="17"/>
        </w:rPr>
      </w:pPr>
    </w:p>
    <w:p w:rsidR="00E3058B" w:rsidRPr="00EE44D0" w:rsidRDefault="00DB14F7" w:rsidP="001C07B2">
      <w:pPr>
        <w:widowControl/>
        <w:spacing w:after="240" w:line="288" w:lineRule="auto"/>
        <w:jc w:val="center"/>
        <w:rPr>
          <w:sz w:val="36"/>
        </w:rPr>
      </w:pPr>
      <w:r w:rsidRPr="00EE44D0">
        <w:rPr>
          <w:sz w:val="36"/>
        </w:rPr>
        <w:t>TEHNILISE JÄRELEVALVE AMETI 2016. AASTA ARUANNE</w:t>
      </w:r>
    </w:p>
    <w:p w:rsidR="00E3058B" w:rsidRPr="00EE44D0" w:rsidRDefault="00E3058B" w:rsidP="001C07B2">
      <w:pPr>
        <w:pStyle w:val="BodyText"/>
        <w:widowControl/>
        <w:spacing w:after="240" w:line="288" w:lineRule="auto"/>
        <w:rPr>
          <w:sz w:val="40"/>
        </w:rPr>
      </w:pPr>
    </w:p>
    <w:p w:rsidR="005F16A2" w:rsidRPr="00EE44D0" w:rsidRDefault="00DB14F7" w:rsidP="001C07B2">
      <w:pPr>
        <w:widowControl/>
        <w:spacing w:after="240" w:line="288" w:lineRule="auto"/>
        <w:jc w:val="center"/>
        <w:rPr>
          <w:b/>
          <w:sz w:val="36"/>
        </w:rPr>
      </w:pPr>
      <w:r w:rsidRPr="00EE44D0">
        <w:rPr>
          <w:b/>
          <w:sz w:val="36"/>
        </w:rPr>
        <w:t>ANNUAL REPORT OF TECHNICAL REGULATORY AUTHORITY OF ESTONIA</w:t>
      </w:r>
      <w:r w:rsidRPr="00EE44D0">
        <w:rPr>
          <w:b/>
          <w:spacing w:val="-13"/>
          <w:sz w:val="36"/>
        </w:rPr>
        <w:t xml:space="preserve"> </w:t>
      </w:r>
      <w:r w:rsidRPr="00EE44D0">
        <w:rPr>
          <w:b/>
          <w:sz w:val="36"/>
        </w:rPr>
        <w:t>2016</w:t>
      </w:r>
    </w:p>
    <w:p w:rsidR="005F16A2" w:rsidRPr="00EE44D0" w:rsidRDefault="00DB14F7" w:rsidP="001C07B2">
      <w:pPr>
        <w:widowControl/>
        <w:spacing w:line="288" w:lineRule="auto"/>
        <w:rPr>
          <w:b/>
          <w:sz w:val="36"/>
        </w:rPr>
      </w:pPr>
      <w:r w:rsidRPr="00EE44D0">
        <w:br w:type="page"/>
      </w:r>
    </w:p>
    <w:p w:rsidR="00E3058B" w:rsidRPr="00EE44D0" w:rsidRDefault="00DB14F7" w:rsidP="001C07B2">
      <w:pPr>
        <w:pStyle w:val="BodyText"/>
        <w:widowControl/>
        <w:spacing w:after="240" w:line="288" w:lineRule="auto"/>
      </w:pPr>
      <w:r w:rsidRPr="00EE44D0">
        <w:t>Table of contents</w:t>
      </w:r>
    </w:p>
    <w:p w:rsidR="00F54A27" w:rsidRDefault="00DB14F7">
      <w:pPr>
        <w:pStyle w:val="TOC1"/>
        <w:tabs>
          <w:tab w:val="right" w:leader="dot" w:pos="9064"/>
        </w:tabs>
        <w:rPr>
          <w:rFonts w:asciiTheme="minorHAnsi" w:eastAsiaTheme="minorEastAsia" w:hAnsiTheme="minorHAnsi" w:cstheme="minorBidi"/>
          <w:noProof/>
          <w:lang w:val="en-US" w:eastAsia="en-US" w:bidi="ar-SA"/>
        </w:rPr>
      </w:pPr>
      <w:r w:rsidRPr="00EE44D0">
        <w:fldChar w:fldCharType="begin"/>
      </w:r>
      <w:r w:rsidRPr="00EE44D0">
        <w:instrText xml:space="preserve"> TOC \o "1-3" \h \z \u </w:instrText>
      </w:r>
      <w:r w:rsidRPr="00EE44D0">
        <w:fldChar w:fldCharType="separate"/>
      </w:r>
      <w:hyperlink w:anchor="_Toc499795564" w:history="1">
        <w:r w:rsidRPr="00093370">
          <w:rPr>
            <w:rStyle w:val="Hyperlink"/>
            <w:noProof/>
            <w:w w:val="99"/>
          </w:rPr>
          <w:t>A.1</w:t>
        </w:r>
        <w:r>
          <w:rPr>
            <w:rFonts w:asciiTheme="minorHAnsi" w:eastAsiaTheme="minorEastAsia" w:hAnsiTheme="minorHAnsi" w:cstheme="minorBidi"/>
            <w:noProof/>
            <w:lang w:val="en-US" w:eastAsia="en-US" w:bidi="ar-SA"/>
          </w:rPr>
          <w:tab/>
        </w:r>
        <w:r w:rsidRPr="00093370">
          <w:rPr>
            <w:rStyle w:val="Hyperlink"/>
            <w:noProof/>
          </w:rPr>
          <w:t>Summary</w:t>
        </w:r>
        <w:r>
          <w:rPr>
            <w:noProof/>
            <w:webHidden/>
          </w:rPr>
          <w:tab/>
        </w:r>
        <w:r>
          <w:rPr>
            <w:noProof/>
            <w:webHidden/>
          </w:rPr>
          <w:fldChar w:fldCharType="begin"/>
        </w:r>
        <w:r>
          <w:rPr>
            <w:noProof/>
            <w:webHidden/>
          </w:rPr>
          <w:instrText xml:space="preserve"> PAGEREF _Toc499795564 \h </w:instrText>
        </w:r>
        <w:r>
          <w:rPr>
            <w:noProof/>
            <w:webHidden/>
          </w:rPr>
        </w:r>
        <w:r>
          <w:rPr>
            <w:noProof/>
            <w:webHidden/>
          </w:rPr>
          <w:fldChar w:fldCharType="separate"/>
        </w:r>
        <w:r>
          <w:rPr>
            <w:noProof/>
            <w:webHidden/>
          </w:rPr>
          <w:t>3</w:t>
        </w:r>
        <w:r>
          <w:rPr>
            <w:noProof/>
            <w:webHidden/>
          </w:rPr>
          <w:fldChar w:fldCharType="end"/>
        </w:r>
      </w:hyperlink>
    </w:p>
    <w:p w:rsidR="00F54A27" w:rsidRDefault="00DB14F7">
      <w:pPr>
        <w:pStyle w:val="TOC1"/>
        <w:tabs>
          <w:tab w:val="right" w:leader="dot" w:pos="9064"/>
        </w:tabs>
        <w:rPr>
          <w:rFonts w:asciiTheme="minorHAnsi" w:eastAsiaTheme="minorEastAsia" w:hAnsiTheme="minorHAnsi" w:cstheme="minorBidi"/>
          <w:noProof/>
          <w:lang w:val="en-US" w:eastAsia="en-US" w:bidi="ar-SA"/>
        </w:rPr>
      </w:pPr>
      <w:hyperlink w:anchor="_Toc499795565" w:history="1">
        <w:r w:rsidRPr="00093370">
          <w:rPr>
            <w:rStyle w:val="Hyperlink"/>
            <w:noProof/>
            <w:w w:val="99"/>
          </w:rPr>
          <w:t>A.2</w:t>
        </w:r>
        <w:r>
          <w:rPr>
            <w:rFonts w:asciiTheme="minorHAnsi" w:eastAsiaTheme="minorEastAsia" w:hAnsiTheme="minorHAnsi" w:cstheme="minorBidi"/>
            <w:noProof/>
            <w:lang w:val="en-US" w:eastAsia="en-US" w:bidi="ar-SA"/>
          </w:rPr>
          <w:tab/>
        </w:r>
        <w:r w:rsidRPr="00093370">
          <w:rPr>
            <w:rStyle w:val="Hyperlink"/>
            <w:noProof/>
          </w:rPr>
          <w:t>Summary</w:t>
        </w:r>
        <w:r>
          <w:rPr>
            <w:noProof/>
            <w:webHidden/>
          </w:rPr>
          <w:tab/>
        </w:r>
        <w:r>
          <w:rPr>
            <w:noProof/>
            <w:webHidden/>
          </w:rPr>
          <w:fldChar w:fldCharType="begin"/>
        </w:r>
        <w:r>
          <w:rPr>
            <w:noProof/>
            <w:webHidden/>
          </w:rPr>
          <w:instrText xml:space="preserve"> PAGEREF _Toc499795565 \h </w:instrText>
        </w:r>
        <w:r>
          <w:rPr>
            <w:noProof/>
            <w:webHidden/>
          </w:rPr>
        </w:r>
        <w:r>
          <w:rPr>
            <w:noProof/>
            <w:webHidden/>
          </w:rPr>
          <w:fldChar w:fldCharType="separate"/>
        </w:r>
        <w:r>
          <w:rPr>
            <w:noProof/>
            <w:webHidden/>
          </w:rPr>
          <w:t>3</w:t>
        </w:r>
        <w:r>
          <w:rPr>
            <w:noProof/>
            <w:webHidden/>
          </w:rPr>
          <w:fldChar w:fldCharType="end"/>
        </w:r>
      </w:hyperlink>
    </w:p>
    <w:p w:rsidR="00F54A27" w:rsidRDefault="00DB14F7">
      <w:pPr>
        <w:pStyle w:val="TOC1"/>
        <w:tabs>
          <w:tab w:val="right" w:leader="dot" w:pos="9064"/>
        </w:tabs>
        <w:rPr>
          <w:rFonts w:asciiTheme="minorHAnsi" w:eastAsiaTheme="minorEastAsia" w:hAnsiTheme="minorHAnsi" w:cstheme="minorBidi"/>
          <w:noProof/>
          <w:lang w:val="en-US" w:eastAsia="en-US" w:bidi="ar-SA"/>
        </w:rPr>
      </w:pPr>
      <w:hyperlink w:anchor="_Toc499795566" w:history="1">
        <w:r w:rsidRPr="00093370">
          <w:rPr>
            <w:rStyle w:val="Hyperlink"/>
            <w:noProof/>
            <w:w w:val="99"/>
          </w:rPr>
          <w:t>B.</w:t>
        </w:r>
        <w:r>
          <w:rPr>
            <w:rFonts w:asciiTheme="minorHAnsi" w:eastAsiaTheme="minorEastAsia" w:hAnsiTheme="minorHAnsi" w:cstheme="minorBidi"/>
            <w:noProof/>
            <w:lang w:val="en-US" w:eastAsia="en-US" w:bidi="ar-SA"/>
          </w:rPr>
          <w:tab/>
        </w:r>
        <w:r w:rsidRPr="00093370">
          <w:rPr>
            <w:rStyle w:val="Hyperlink"/>
            <w:noProof/>
          </w:rPr>
          <w:t>Introduction</w:t>
        </w:r>
        <w:r>
          <w:rPr>
            <w:noProof/>
            <w:webHidden/>
          </w:rPr>
          <w:tab/>
        </w:r>
        <w:r>
          <w:rPr>
            <w:noProof/>
            <w:webHidden/>
          </w:rPr>
          <w:fldChar w:fldCharType="begin"/>
        </w:r>
        <w:r>
          <w:rPr>
            <w:noProof/>
            <w:webHidden/>
          </w:rPr>
          <w:instrText xml:space="preserve"> PAGEREF _Toc499795566 \h </w:instrText>
        </w:r>
        <w:r>
          <w:rPr>
            <w:noProof/>
            <w:webHidden/>
          </w:rPr>
        </w:r>
        <w:r>
          <w:rPr>
            <w:noProof/>
            <w:webHidden/>
          </w:rPr>
          <w:fldChar w:fldCharType="separate"/>
        </w:r>
        <w:r>
          <w:rPr>
            <w:noProof/>
            <w:webHidden/>
          </w:rPr>
          <w:t>4</w:t>
        </w:r>
        <w:r>
          <w:rPr>
            <w:noProof/>
            <w:webHidden/>
          </w:rPr>
          <w:fldChar w:fldCharType="end"/>
        </w:r>
      </w:hyperlink>
    </w:p>
    <w:p w:rsidR="00F54A27" w:rsidRDefault="00DB14F7">
      <w:pPr>
        <w:pStyle w:val="TOC2"/>
        <w:tabs>
          <w:tab w:val="left" w:pos="880"/>
          <w:tab w:val="right" w:leader="dot" w:pos="9064"/>
        </w:tabs>
        <w:rPr>
          <w:rFonts w:asciiTheme="minorHAnsi" w:eastAsiaTheme="minorEastAsia" w:hAnsiTheme="minorHAnsi" w:cstheme="minorBidi"/>
          <w:noProof/>
          <w:lang w:val="en-US" w:eastAsia="en-US" w:bidi="ar-SA"/>
        </w:rPr>
      </w:pPr>
      <w:hyperlink w:anchor="_Toc499795567" w:history="1">
        <w:r w:rsidRPr="00093370">
          <w:rPr>
            <w:rStyle w:val="Hyperlink"/>
            <w:noProof/>
          </w:rPr>
          <w:t>B.1</w:t>
        </w:r>
        <w:r>
          <w:rPr>
            <w:rFonts w:asciiTheme="minorHAnsi" w:eastAsiaTheme="minorEastAsia" w:hAnsiTheme="minorHAnsi" w:cstheme="minorBidi"/>
            <w:noProof/>
            <w:lang w:val="en-US" w:eastAsia="en-US" w:bidi="ar-SA"/>
          </w:rPr>
          <w:tab/>
        </w:r>
        <w:r w:rsidRPr="00093370">
          <w:rPr>
            <w:rStyle w:val="Hyperlink"/>
            <w:noProof/>
          </w:rPr>
          <w:t>General</w:t>
        </w:r>
        <w:r>
          <w:rPr>
            <w:noProof/>
            <w:webHidden/>
          </w:rPr>
          <w:tab/>
        </w:r>
        <w:r>
          <w:rPr>
            <w:noProof/>
            <w:webHidden/>
          </w:rPr>
          <w:fldChar w:fldCharType="begin"/>
        </w:r>
        <w:r>
          <w:rPr>
            <w:noProof/>
            <w:webHidden/>
          </w:rPr>
          <w:instrText xml:space="preserve"> PAGEREF _Toc499795567 \h </w:instrText>
        </w:r>
        <w:r>
          <w:rPr>
            <w:noProof/>
            <w:webHidden/>
          </w:rPr>
        </w:r>
        <w:r>
          <w:rPr>
            <w:noProof/>
            <w:webHidden/>
          </w:rPr>
          <w:fldChar w:fldCharType="separate"/>
        </w:r>
        <w:r>
          <w:rPr>
            <w:noProof/>
            <w:webHidden/>
          </w:rPr>
          <w:t>4</w:t>
        </w:r>
        <w:r>
          <w:rPr>
            <w:noProof/>
            <w:webHidden/>
          </w:rPr>
          <w:fldChar w:fldCharType="end"/>
        </w:r>
      </w:hyperlink>
    </w:p>
    <w:p w:rsidR="00F54A27" w:rsidRDefault="00DB14F7">
      <w:pPr>
        <w:pStyle w:val="TOC2"/>
        <w:tabs>
          <w:tab w:val="left" w:pos="880"/>
          <w:tab w:val="right" w:leader="dot" w:pos="9064"/>
        </w:tabs>
        <w:rPr>
          <w:rFonts w:asciiTheme="minorHAnsi" w:eastAsiaTheme="minorEastAsia" w:hAnsiTheme="minorHAnsi" w:cstheme="minorBidi"/>
          <w:noProof/>
          <w:lang w:val="en-US" w:eastAsia="en-US" w:bidi="ar-SA"/>
        </w:rPr>
      </w:pPr>
      <w:hyperlink w:anchor="_Toc499795568" w:history="1">
        <w:r w:rsidRPr="00093370">
          <w:rPr>
            <w:rStyle w:val="Hyperlink"/>
            <w:noProof/>
          </w:rPr>
          <w:t>B.2</w:t>
        </w:r>
        <w:r>
          <w:rPr>
            <w:rFonts w:asciiTheme="minorHAnsi" w:eastAsiaTheme="minorEastAsia" w:hAnsiTheme="minorHAnsi" w:cstheme="minorBidi"/>
            <w:noProof/>
            <w:lang w:val="en-US" w:eastAsia="en-US" w:bidi="ar-SA"/>
          </w:rPr>
          <w:tab/>
        </w:r>
        <w:r w:rsidRPr="00093370">
          <w:rPr>
            <w:rStyle w:val="Hyperlink"/>
            <w:noProof/>
          </w:rPr>
          <w:t>Estonia’s railway sector</w:t>
        </w:r>
        <w:r>
          <w:rPr>
            <w:noProof/>
            <w:webHidden/>
          </w:rPr>
          <w:tab/>
        </w:r>
        <w:r>
          <w:rPr>
            <w:noProof/>
            <w:webHidden/>
          </w:rPr>
          <w:fldChar w:fldCharType="begin"/>
        </w:r>
        <w:r>
          <w:rPr>
            <w:noProof/>
            <w:webHidden/>
          </w:rPr>
          <w:instrText xml:space="preserve"> PAGEREF _Toc499795568 \h </w:instrText>
        </w:r>
        <w:r>
          <w:rPr>
            <w:noProof/>
            <w:webHidden/>
          </w:rPr>
        </w:r>
        <w:r>
          <w:rPr>
            <w:noProof/>
            <w:webHidden/>
          </w:rPr>
          <w:fldChar w:fldCharType="separate"/>
        </w:r>
        <w:r>
          <w:rPr>
            <w:noProof/>
            <w:webHidden/>
          </w:rPr>
          <w:t>4</w:t>
        </w:r>
        <w:r>
          <w:rPr>
            <w:noProof/>
            <w:webHidden/>
          </w:rPr>
          <w:fldChar w:fldCharType="end"/>
        </w:r>
      </w:hyperlink>
    </w:p>
    <w:p w:rsidR="00F54A27" w:rsidRDefault="00DB14F7">
      <w:pPr>
        <w:pStyle w:val="TOC3"/>
        <w:tabs>
          <w:tab w:val="right" w:leader="dot" w:pos="9064"/>
        </w:tabs>
        <w:rPr>
          <w:rFonts w:asciiTheme="minorHAnsi" w:eastAsiaTheme="minorEastAsia" w:hAnsiTheme="minorHAnsi" w:cstheme="minorBidi"/>
          <w:noProof/>
          <w:lang w:val="en-US" w:eastAsia="en-US" w:bidi="ar-SA"/>
        </w:rPr>
      </w:pPr>
      <w:hyperlink w:anchor="_Toc499795569" w:history="1">
        <w:r w:rsidRPr="00093370">
          <w:rPr>
            <w:rStyle w:val="Hyperlink"/>
            <w:noProof/>
          </w:rPr>
          <w:t>LISA A.1/ANNEX A.1</w:t>
        </w:r>
        <w:r>
          <w:rPr>
            <w:noProof/>
            <w:webHidden/>
          </w:rPr>
          <w:tab/>
        </w:r>
        <w:r>
          <w:rPr>
            <w:noProof/>
            <w:webHidden/>
          </w:rPr>
          <w:fldChar w:fldCharType="begin"/>
        </w:r>
        <w:r>
          <w:rPr>
            <w:noProof/>
            <w:webHidden/>
          </w:rPr>
          <w:instrText xml:space="preserve"> PAGEREF _Toc499795569 \h </w:instrText>
        </w:r>
        <w:r>
          <w:rPr>
            <w:noProof/>
            <w:webHidden/>
          </w:rPr>
        </w:r>
        <w:r>
          <w:rPr>
            <w:noProof/>
            <w:webHidden/>
          </w:rPr>
          <w:fldChar w:fldCharType="separate"/>
        </w:r>
        <w:r>
          <w:rPr>
            <w:noProof/>
            <w:webHidden/>
          </w:rPr>
          <w:t>5</w:t>
        </w:r>
        <w:r>
          <w:rPr>
            <w:noProof/>
            <w:webHidden/>
          </w:rPr>
          <w:fldChar w:fldCharType="end"/>
        </w:r>
      </w:hyperlink>
    </w:p>
    <w:p w:rsidR="00F54A27" w:rsidRDefault="00DB14F7">
      <w:pPr>
        <w:pStyle w:val="TOC3"/>
        <w:tabs>
          <w:tab w:val="right" w:leader="dot" w:pos="9064"/>
        </w:tabs>
        <w:rPr>
          <w:rFonts w:asciiTheme="minorHAnsi" w:eastAsiaTheme="minorEastAsia" w:hAnsiTheme="minorHAnsi" w:cstheme="minorBidi"/>
          <w:noProof/>
          <w:lang w:val="en-US" w:eastAsia="en-US" w:bidi="ar-SA"/>
        </w:rPr>
      </w:pPr>
      <w:hyperlink w:anchor="_Toc499795570" w:history="1">
        <w:r w:rsidRPr="00093370">
          <w:rPr>
            <w:rStyle w:val="Hyperlink"/>
            <w:noProof/>
          </w:rPr>
          <w:t>LISA A.2.1/ANNEX A.2.1</w:t>
        </w:r>
        <w:r>
          <w:rPr>
            <w:noProof/>
            <w:webHidden/>
          </w:rPr>
          <w:tab/>
        </w:r>
        <w:r>
          <w:rPr>
            <w:noProof/>
            <w:webHidden/>
          </w:rPr>
          <w:fldChar w:fldCharType="begin"/>
        </w:r>
        <w:r>
          <w:rPr>
            <w:noProof/>
            <w:webHidden/>
          </w:rPr>
          <w:instrText xml:space="preserve"> PAGEREF _Toc499795570 \h </w:instrText>
        </w:r>
        <w:r>
          <w:rPr>
            <w:noProof/>
            <w:webHidden/>
          </w:rPr>
        </w:r>
        <w:r>
          <w:rPr>
            <w:noProof/>
            <w:webHidden/>
          </w:rPr>
          <w:fldChar w:fldCharType="separate"/>
        </w:r>
        <w:r>
          <w:rPr>
            <w:noProof/>
            <w:webHidden/>
          </w:rPr>
          <w:t>6</w:t>
        </w:r>
        <w:r>
          <w:rPr>
            <w:noProof/>
            <w:webHidden/>
          </w:rPr>
          <w:fldChar w:fldCharType="end"/>
        </w:r>
      </w:hyperlink>
    </w:p>
    <w:p w:rsidR="00F54A27" w:rsidRDefault="00DB14F7">
      <w:pPr>
        <w:pStyle w:val="TOC3"/>
        <w:tabs>
          <w:tab w:val="right" w:leader="dot" w:pos="9064"/>
        </w:tabs>
        <w:rPr>
          <w:rFonts w:asciiTheme="minorHAnsi" w:eastAsiaTheme="minorEastAsia" w:hAnsiTheme="minorHAnsi" w:cstheme="minorBidi"/>
          <w:noProof/>
          <w:lang w:val="en-US" w:eastAsia="en-US" w:bidi="ar-SA"/>
        </w:rPr>
      </w:pPr>
      <w:hyperlink w:anchor="_Toc499795571" w:history="1">
        <w:r w:rsidRPr="00093370">
          <w:rPr>
            <w:rStyle w:val="Hyperlink"/>
            <w:noProof/>
          </w:rPr>
          <w:t>LISA A.2.2/ANNEX A.2.2</w:t>
        </w:r>
        <w:r>
          <w:rPr>
            <w:noProof/>
            <w:webHidden/>
          </w:rPr>
          <w:tab/>
        </w:r>
        <w:r>
          <w:rPr>
            <w:noProof/>
            <w:webHidden/>
          </w:rPr>
          <w:fldChar w:fldCharType="begin"/>
        </w:r>
        <w:r>
          <w:rPr>
            <w:noProof/>
            <w:webHidden/>
          </w:rPr>
          <w:instrText xml:space="preserve"> PAGEREF _Toc499795571 \h </w:instrText>
        </w:r>
        <w:r>
          <w:rPr>
            <w:noProof/>
            <w:webHidden/>
          </w:rPr>
        </w:r>
        <w:r>
          <w:rPr>
            <w:noProof/>
            <w:webHidden/>
          </w:rPr>
          <w:fldChar w:fldCharType="separate"/>
        </w:r>
        <w:r>
          <w:rPr>
            <w:noProof/>
            <w:webHidden/>
          </w:rPr>
          <w:t>6</w:t>
        </w:r>
        <w:r>
          <w:rPr>
            <w:noProof/>
            <w:webHidden/>
          </w:rPr>
          <w:fldChar w:fldCharType="end"/>
        </w:r>
      </w:hyperlink>
    </w:p>
    <w:p w:rsidR="00F54A27" w:rsidRDefault="00DB14F7">
      <w:pPr>
        <w:pStyle w:val="TOC2"/>
        <w:tabs>
          <w:tab w:val="left" w:pos="880"/>
          <w:tab w:val="right" w:leader="dot" w:pos="9064"/>
        </w:tabs>
        <w:rPr>
          <w:rFonts w:asciiTheme="minorHAnsi" w:eastAsiaTheme="minorEastAsia" w:hAnsiTheme="minorHAnsi" w:cstheme="minorBidi"/>
          <w:noProof/>
          <w:lang w:val="en-US" w:eastAsia="en-US" w:bidi="ar-SA"/>
        </w:rPr>
      </w:pPr>
      <w:hyperlink w:anchor="_Toc499795572" w:history="1">
        <w:r w:rsidRPr="00093370">
          <w:rPr>
            <w:rStyle w:val="Hyperlink"/>
            <w:noProof/>
          </w:rPr>
          <w:t>B.3</w:t>
        </w:r>
        <w:r>
          <w:rPr>
            <w:rFonts w:asciiTheme="minorHAnsi" w:eastAsiaTheme="minorEastAsia" w:hAnsiTheme="minorHAnsi" w:cstheme="minorBidi"/>
            <w:noProof/>
            <w:lang w:val="en-US" w:eastAsia="en-US" w:bidi="ar-SA"/>
          </w:rPr>
          <w:tab/>
        </w:r>
        <w:r w:rsidRPr="00093370">
          <w:rPr>
            <w:rStyle w:val="Hyperlink"/>
            <w:noProof/>
          </w:rPr>
          <w:t xml:space="preserve">Summary – an analysis of general trends (railway safety </w:t>
        </w:r>
        <w:r w:rsidRPr="00093370">
          <w:rPr>
            <w:rStyle w:val="Hyperlink"/>
            <w:noProof/>
          </w:rPr>
          <w:t>development)</w:t>
        </w:r>
        <w:r>
          <w:rPr>
            <w:noProof/>
            <w:webHidden/>
          </w:rPr>
          <w:tab/>
        </w:r>
        <w:r>
          <w:rPr>
            <w:noProof/>
            <w:webHidden/>
          </w:rPr>
          <w:fldChar w:fldCharType="begin"/>
        </w:r>
        <w:r>
          <w:rPr>
            <w:noProof/>
            <w:webHidden/>
          </w:rPr>
          <w:instrText xml:space="preserve"> PAGEREF _Toc499795572 \h </w:instrText>
        </w:r>
        <w:r>
          <w:rPr>
            <w:noProof/>
            <w:webHidden/>
          </w:rPr>
        </w:r>
        <w:r>
          <w:rPr>
            <w:noProof/>
            <w:webHidden/>
          </w:rPr>
          <w:fldChar w:fldCharType="separate"/>
        </w:r>
        <w:r>
          <w:rPr>
            <w:noProof/>
            <w:webHidden/>
          </w:rPr>
          <w:t>7</w:t>
        </w:r>
        <w:r>
          <w:rPr>
            <w:noProof/>
            <w:webHidden/>
          </w:rPr>
          <w:fldChar w:fldCharType="end"/>
        </w:r>
      </w:hyperlink>
    </w:p>
    <w:p w:rsidR="00F54A27" w:rsidRDefault="00DB14F7">
      <w:pPr>
        <w:pStyle w:val="TOC3"/>
        <w:tabs>
          <w:tab w:val="right" w:leader="dot" w:pos="9064"/>
        </w:tabs>
        <w:rPr>
          <w:rFonts w:asciiTheme="minorHAnsi" w:eastAsiaTheme="minorEastAsia" w:hAnsiTheme="minorHAnsi" w:cstheme="minorBidi"/>
          <w:noProof/>
          <w:lang w:val="en-US" w:eastAsia="en-US" w:bidi="ar-SA"/>
        </w:rPr>
      </w:pPr>
      <w:hyperlink w:anchor="_Toc499795573" w:history="1">
        <w:r w:rsidRPr="00093370">
          <w:rPr>
            <w:rStyle w:val="Hyperlink"/>
            <w:noProof/>
          </w:rPr>
          <w:t>LISA B.3.1/ANNEX B.3.1</w:t>
        </w:r>
        <w:r>
          <w:rPr>
            <w:noProof/>
            <w:webHidden/>
          </w:rPr>
          <w:tab/>
        </w:r>
        <w:r>
          <w:rPr>
            <w:noProof/>
            <w:webHidden/>
          </w:rPr>
          <w:fldChar w:fldCharType="begin"/>
        </w:r>
        <w:r>
          <w:rPr>
            <w:noProof/>
            <w:webHidden/>
          </w:rPr>
          <w:instrText xml:space="preserve"> PAGEREF _Toc499795573 \h </w:instrText>
        </w:r>
        <w:r>
          <w:rPr>
            <w:noProof/>
            <w:webHidden/>
          </w:rPr>
        </w:r>
        <w:r>
          <w:rPr>
            <w:noProof/>
            <w:webHidden/>
          </w:rPr>
          <w:fldChar w:fldCharType="separate"/>
        </w:r>
        <w:r>
          <w:rPr>
            <w:noProof/>
            <w:webHidden/>
          </w:rPr>
          <w:t>8</w:t>
        </w:r>
        <w:r>
          <w:rPr>
            <w:noProof/>
            <w:webHidden/>
          </w:rPr>
          <w:fldChar w:fldCharType="end"/>
        </w:r>
      </w:hyperlink>
    </w:p>
    <w:p w:rsidR="00F54A27" w:rsidRDefault="00DB14F7">
      <w:pPr>
        <w:pStyle w:val="TOC3"/>
        <w:tabs>
          <w:tab w:val="right" w:leader="dot" w:pos="9064"/>
        </w:tabs>
        <w:rPr>
          <w:rFonts w:asciiTheme="minorHAnsi" w:eastAsiaTheme="minorEastAsia" w:hAnsiTheme="minorHAnsi" w:cstheme="minorBidi"/>
          <w:noProof/>
          <w:lang w:val="en-US" w:eastAsia="en-US" w:bidi="ar-SA"/>
        </w:rPr>
      </w:pPr>
      <w:hyperlink w:anchor="_Toc499795574" w:history="1">
        <w:r w:rsidRPr="00093370">
          <w:rPr>
            <w:rStyle w:val="Hyperlink"/>
            <w:noProof/>
          </w:rPr>
          <w:t>LISA B.3.2/ANNEX B.3.2</w:t>
        </w:r>
        <w:r>
          <w:rPr>
            <w:noProof/>
            <w:webHidden/>
          </w:rPr>
          <w:tab/>
        </w:r>
        <w:r>
          <w:rPr>
            <w:noProof/>
            <w:webHidden/>
          </w:rPr>
          <w:fldChar w:fldCharType="begin"/>
        </w:r>
        <w:r>
          <w:rPr>
            <w:noProof/>
            <w:webHidden/>
          </w:rPr>
          <w:instrText xml:space="preserve"> PAGEREF _Toc499795574 \h </w:instrText>
        </w:r>
        <w:r>
          <w:rPr>
            <w:noProof/>
            <w:webHidden/>
          </w:rPr>
        </w:r>
        <w:r>
          <w:rPr>
            <w:noProof/>
            <w:webHidden/>
          </w:rPr>
          <w:fldChar w:fldCharType="separate"/>
        </w:r>
        <w:r>
          <w:rPr>
            <w:noProof/>
            <w:webHidden/>
          </w:rPr>
          <w:t>9</w:t>
        </w:r>
        <w:r>
          <w:rPr>
            <w:noProof/>
            <w:webHidden/>
          </w:rPr>
          <w:fldChar w:fldCharType="end"/>
        </w:r>
      </w:hyperlink>
    </w:p>
    <w:p w:rsidR="00F54A27" w:rsidRDefault="00DB14F7">
      <w:pPr>
        <w:pStyle w:val="TOC1"/>
        <w:tabs>
          <w:tab w:val="right" w:leader="dot" w:pos="9064"/>
        </w:tabs>
        <w:rPr>
          <w:rFonts w:asciiTheme="minorHAnsi" w:eastAsiaTheme="minorEastAsia" w:hAnsiTheme="minorHAnsi" w:cstheme="minorBidi"/>
          <w:noProof/>
          <w:lang w:val="en-US" w:eastAsia="en-US" w:bidi="ar-SA"/>
        </w:rPr>
      </w:pPr>
      <w:hyperlink w:anchor="_Toc499795575" w:history="1">
        <w:r w:rsidRPr="00093370">
          <w:rPr>
            <w:rStyle w:val="Hyperlink"/>
            <w:noProof/>
            <w:w w:val="99"/>
          </w:rPr>
          <w:t>C.</w:t>
        </w:r>
        <w:r>
          <w:rPr>
            <w:rFonts w:asciiTheme="minorHAnsi" w:eastAsiaTheme="minorEastAsia" w:hAnsiTheme="minorHAnsi" w:cstheme="minorBidi"/>
            <w:noProof/>
            <w:lang w:val="en-US" w:eastAsia="en-US" w:bidi="ar-SA"/>
          </w:rPr>
          <w:tab/>
        </w:r>
        <w:r w:rsidRPr="00093370">
          <w:rPr>
            <w:rStyle w:val="Hyperlink"/>
            <w:noProof/>
          </w:rPr>
          <w:t>Organisation</w:t>
        </w:r>
        <w:r>
          <w:rPr>
            <w:noProof/>
            <w:webHidden/>
          </w:rPr>
          <w:tab/>
        </w:r>
        <w:r>
          <w:rPr>
            <w:noProof/>
            <w:webHidden/>
          </w:rPr>
          <w:fldChar w:fldCharType="begin"/>
        </w:r>
        <w:r>
          <w:rPr>
            <w:noProof/>
            <w:webHidden/>
          </w:rPr>
          <w:instrText xml:space="preserve"> PAGEREF _Toc499795575 \h </w:instrText>
        </w:r>
        <w:r>
          <w:rPr>
            <w:noProof/>
            <w:webHidden/>
          </w:rPr>
        </w:r>
        <w:r>
          <w:rPr>
            <w:noProof/>
            <w:webHidden/>
          </w:rPr>
          <w:fldChar w:fldCharType="separate"/>
        </w:r>
        <w:r>
          <w:rPr>
            <w:noProof/>
            <w:webHidden/>
          </w:rPr>
          <w:t>10</w:t>
        </w:r>
        <w:r>
          <w:rPr>
            <w:noProof/>
            <w:webHidden/>
          </w:rPr>
          <w:fldChar w:fldCharType="end"/>
        </w:r>
      </w:hyperlink>
    </w:p>
    <w:p w:rsidR="00F54A27" w:rsidRDefault="00DB14F7">
      <w:pPr>
        <w:pStyle w:val="TOC2"/>
        <w:tabs>
          <w:tab w:val="left" w:pos="1100"/>
          <w:tab w:val="right" w:leader="dot" w:pos="9064"/>
        </w:tabs>
        <w:rPr>
          <w:rFonts w:asciiTheme="minorHAnsi" w:eastAsiaTheme="minorEastAsia" w:hAnsiTheme="minorHAnsi" w:cstheme="minorBidi"/>
          <w:noProof/>
          <w:lang w:val="en-US" w:eastAsia="en-US" w:bidi="ar-SA"/>
        </w:rPr>
      </w:pPr>
      <w:hyperlink w:anchor="_Toc499795576" w:history="1">
        <w:r w:rsidRPr="00093370">
          <w:rPr>
            <w:rStyle w:val="Hyperlink"/>
            <w:noProof/>
          </w:rPr>
          <w:t>C.1</w:t>
        </w:r>
        <w:r>
          <w:rPr>
            <w:rFonts w:asciiTheme="minorHAnsi" w:eastAsiaTheme="minorEastAsia" w:hAnsiTheme="minorHAnsi" w:cstheme="minorBidi"/>
            <w:noProof/>
            <w:lang w:val="en-US" w:eastAsia="en-US" w:bidi="ar-SA"/>
          </w:rPr>
          <w:tab/>
        </w:r>
        <w:r w:rsidRPr="00093370">
          <w:rPr>
            <w:rStyle w:val="Hyperlink"/>
            <w:noProof/>
          </w:rPr>
          <w:t>The Estonian Technical Regulatory Authority</w:t>
        </w:r>
        <w:r>
          <w:rPr>
            <w:noProof/>
            <w:webHidden/>
          </w:rPr>
          <w:tab/>
        </w:r>
        <w:r>
          <w:rPr>
            <w:noProof/>
            <w:webHidden/>
          </w:rPr>
          <w:fldChar w:fldCharType="begin"/>
        </w:r>
        <w:r>
          <w:rPr>
            <w:noProof/>
            <w:webHidden/>
          </w:rPr>
          <w:instrText xml:space="preserve"> PAGEREF _Toc499795576 \h </w:instrText>
        </w:r>
        <w:r>
          <w:rPr>
            <w:noProof/>
            <w:webHidden/>
          </w:rPr>
        </w:r>
        <w:r>
          <w:rPr>
            <w:noProof/>
            <w:webHidden/>
          </w:rPr>
          <w:fldChar w:fldCharType="separate"/>
        </w:r>
        <w:r>
          <w:rPr>
            <w:noProof/>
            <w:webHidden/>
          </w:rPr>
          <w:t>10</w:t>
        </w:r>
        <w:r>
          <w:rPr>
            <w:noProof/>
            <w:webHidden/>
          </w:rPr>
          <w:fldChar w:fldCharType="end"/>
        </w:r>
      </w:hyperlink>
    </w:p>
    <w:p w:rsidR="00F54A27" w:rsidRDefault="00DB14F7">
      <w:pPr>
        <w:pStyle w:val="TOC3"/>
        <w:tabs>
          <w:tab w:val="right" w:leader="dot" w:pos="9064"/>
        </w:tabs>
        <w:rPr>
          <w:rFonts w:asciiTheme="minorHAnsi" w:eastAsiaTheme="minorEastAsia" w:hAnsiTheme="minorHAnsi" w:cstheme="minorBidi"/>
          <w:noProof/>
          <w:lang w:val="en-US" w:eastAsia="en-US" w:bidi="ar-SA"/>
        </w:rPr>
      </w:pPr>
      <w:hyperlink w:anchor="_Toc499795577" w:history="1">
        <w:r w:rsidRPr="00093370">
          <w:rPr>
            <w:rStyle w:val="Hyperlink"/>
            <w:noProof/>
          </w:rPr>
          <w:t>LISA B.1/ANNEX B.1</w:t>
        </w:r>
        <w:r>
          <w:rPr>
            <w:noProof/>
            <w:webHidden/>
          </w:rPr>
          <w:tab/>
        </w:r>
        <w:r>
          <w:rPr>
            <w:noProof/>
            <w:webHidden/>
          </w:rPr>
          <w:fldChar w:fldCharType="begin"/>
        </w:r>
        <w:r>
          <w:rPr>
            <w:noProof/>
            <w:webHidden/>
          </w:rPr>
          <w:instrText xml:space="preserve"> PAGEREF _Toc499795577 \h </w:instrText>
        </w:r>
        <w:r>
          <w:rPr>
            <w:noProof/>
            <w:webHidden/>
          </w:rPr>
        </w:r>
        <w:r>
          <w:rPr>
            <w:noProof/>
            <w:webHidden/>
          </w:rPr>
          <w:fldChar w:fldCharType="separate"/>
        </w:r>
        <w:r>
          <w:rPr>
            <w:noProof/>
            <w:webHidden/>
          </w:rPr>
          <w:t>11</w:t>
        </w:r>
        <w:r>
          <w:rPr>
            <w:noProof/>
            <w:webHidden/>
          </w:rPr>
          <w:fldChar w:fldCharType="end"/>
        </w:r>
      </w:hyperlink>
    </w:p>
    <w:p w:rsidR="00F54A27" w:rsidRDefault="00DB14F7">
      <w:pPr>
        <w:pStyle w:val="TOC2"/>
        <w:tabs>
          <w:tab w:val="left" w:pos="1100"/>
          <w:tab w:val="right" w:leader="dot" w:pos="9064"/>
        </w:tabs>
        <w:rPr>
          <w:rFonts w:asciiTheme="minorHAnsi" w:eastAsiaTheme="minorEastAsia" w:hAnsiTheme="minorHAnsi" w:cstheme="minorBidi"/>
          <w:noProof/>
          <w:lang w:val="en-US" w:eastAsia="en-US" w:bidi="ar-SA"/>
        </w:rPr>
      </w:pPr>
      <w:hyperlink w:anchor="_Toc499795578" w:history="1">
        <w:r w:rsidRPr="00093370">
          <w:rPr>
            <w:rStyle w:val="Hyperlink"/>
            <w:noProof/>
          </w:rPr>
          <w:t>C.2</w:t>
        </w:r>
        <w:r>
          <w:rPr>
            <w:rFonts w:asciiTheme="minorHAnsi" w:eastAsiaTheme="minorEastAsia" w:hAnsiTheme="minorHAnsi" w:cstheme="minorBidi"/>
            <w:noProof/>
            <w:lang w:val="en-US" w:eastAsia="en-US" w:bidi="ar-SA"/>
          </w:rPr>
          <w:tab/>
        </w:r>
        <w:r w:rsidRPr="00093370">
          <w:rPr>
            <w:rStyle w:val="Hyperlink"/>
            <w:noProof/>
          </w:rPr>
          <w:t>The division of responsibilities between organisations</w:t>
        </w:r>
        <w:r>
          <w:rPr>
            <w:noProof/>
            <w:webHidden/>
          </w:rPr>
          <w:tab/>
        </w:r>
        <w:r>
          <w:rPr>
            <w:noProof/>
            <w:webHidden/>
          </w:rPr>
          <w:fldChar w:fldCharType="begin"/>
        </w:r>
        <w:r>
          <w:rPr>
            <w:noProof/>
            <w:webHidden/>
          </w:rPr>
          <w:instrText xml:space="preserve"> PAGEREF _Toc499795578 \h </w:instrText>
        </w:r>
        <w:r>
          <w:rPr>
            <w:noProof/>
            <w:webHidden/>
          </w:rPr>
        </w:r>
        <w:r>
          <w:rPr>
            <w:noProof/>
            <w:webHidden/>
          </w:rPr>
          <w:fldChar w:fldCharType="separate"/>
        </w:r>
        <w:r>
          <w:rPr>
            <w:noProof/>
            <w:webHidden/>
          </w:rPr>
          <w:t>11</w:t>
        </w:r>
        <w:r>
          <w:rPr>
            <w:noProof/>
            <w:webHidden/>
          </w:rPr>
          <w:fldChar w:fldCharType="end"/>
        </w:r>
      </w:hyperlink>
    </w:p>
    <w:p w:rsidR="00F54A27" w:rsidRDefault="00DB14F7">
      <w:pPr>
        <w:pStyle w:val="TOC3"/>
        <w:tabs>
          <w:tab w:val="right" w:leader="dot" w:pos="9064"/>
        </w:tabs>
        <w:rPr>
          <w:rFonts w:asciiTheme="minorHAnsi" w:eastAsiaTheme="minorEastAsia" w:hAnsiTheme="minorHAnsi" w:cstheme="minorBidi"/>
          <w:noProof/>
          <w:lang w:val="en-US" w:eastAsia="en-US" w:bidi="ar-SA"/>
        </w:rPr>
      </w:pPr>
      <w:hyperlink w:anchor="_Toc499795579" w:history="1">
        <w:r w:rsidRPr="00093370">
          <w:rPr>
            <w:rStyle w:val="Hyperlink"/>
            <w:noProof/>
          </w:rPr>
          <w:t>LISA B.2/ANNEX B.2</w:t>
        </w:r>
        <w:r>
          <w:rPr>
            <w:noProof/>
            <w:webHidden/>
          </w:rPr>
          <w:tab/>
        </w:r>
        <w:r>
          <w:rPr>
            <w:noProof/>
            <w:webHidden/>
          </w:rPr>
          <w:fldChar w:fldCharType="begin"/>
        </w:r>
        <w:r>
          <w:rPr>
            <w:noProof/>
            <w:webHidden/>
          </w:rPr>
          <w:instrText xml:space="preserve"> PAGEREF _Toc499795579 \h </w:instrText>
        </w:r>
        <w:r>
          <w:rPr>
            <w:noProof/>
            <w:webHidden/>
          </w:rPr>
        </w:r>
        <w:r>
          <w:rPr>
            <w:noProof/>
            <w:webHidden/>
          </w:rPr>
          <w:fldChar w:fldCharType="separate"/>
        </w:r>
        <w:r>
          <w:rPr>
            <w:noProof/>
            <w:webHidden/>
          </w:rPr>
          <w:t>12</w:t>
        </w:r>
        <w:r>
          <w:rPr>
            <w:noProof/>
            <w:webHidden/>
          </w:rPr>
          <w:fldChar w:fldCharType="end"/>
        </w:r>
      </w:hyperlink>
    </w:p>
    <w:p w:rsidR="00F54A27" w:rsidRDefault="00DB14F7">
      <w:pPr>
        <w:pStyle w:val="TOC1"/>
        <w:tabs>
          <w:tab w:val="right" w:leader="dot" w:pos="9064"/>
        </w:tabs>
        <w:rPr>
          <w:rFonts w:asciiTheme="minorHAnsi" w:eastAsiaTheme="minorEastAsia" w:hAnsiTheme="minorHAnsi" w:cstheme="minorBidi"/>
          <w:noProof/>
          <w:lang w:val="en-US" w:eastAsia="en-US" w:bidi="ar-SA"/>
        </w:rPr>
      </w:pPr>
      <w:hyperlink w:anchor="_Toc499795580" w:history="1">
        <w:r w:rsidRPr="00093370">
          <w:rPr>
            <w:rStyle w:val="Hyperlink"/>
            <w:noProof/>
            <w:w w:val="99"/>
          </w:rPr>
          <w:t>D.</w:t>
        </w:r>
        <w:r>
          <w:rPr>
            <w:rFonts w:asciiTheme="minorHAnsi" w:eastAsiaTheme="minorEastAsia" w:hAnsiTheme="minorHAnsi" w:cstheme="minorBidi"/>
            <w:noProof/>
            <w:lang w:val="en-US" w:eastAsia="en-US" w:bidi="ar-SA"/>
          </w:rPr>
          <w:tab/>
        </w:r>
        <w:r w:rsidRPr="00093370">
          <w:rPr>
            <w:rStyle w:val="Hyperlink"/>
            <w:noProof/>
          </w:rPr>
          <w:t xml:space="preserve">The </w:t>
        </w:r>
        <w:r w:rsidRPr="00093370">
          <w:rPr>
            <w:rStyle w:val="Hyperlink"/>
            <w:noProof/>
          </w:rPr>
          <w:t>development of railway safety</w:t>
        </w:r>
        <w:r>
          <w:rPr>
            <w:noProof/>
            <w:webHidden/>
          </w:rPr>
          <w:tab/>
        </w:r>
        <w:r>
          <w:rPr>
            <w:noProof/>
            <w:webHidden/>
          </w:rPr>
          <w:fldChar w:fldCharType="begin"/>
        </w:r>
        <w:r>
          <w:rPr>
            <w:noProof/>
            <w:webHidden/>
          </w:rPr>
          <w:instrText xml:space="preserve"> PAGEREF _Toc499795580 \h </w:instrText>
        </w:r>
        <w:r>
          <w:rPr>
            <w:noProof/>
            <w:webHidden/>
          </w:rPr>
        </w:r>
        <w:r>
          <w:rPr>
            <w:noProof/>
            <w:webHidden/>
          </w:rPr>
          <w:fldChar w:fldCharType="separate"/>
        </w:r>
        <w:r>
          <w:rPr>
            <w:noProof/>
            <w:webHidden/>
          </w:rPr>
          <w:t>12</w:t>
        </w:r>
        <w:r>
          <w:rPr>
            <w:noProof/>
            <w:webHidden/>
          </w:rPr>
          <w:fldChar w:fldCharType="end"/>
        </w:r>
      </w:hyperlink>
    </w:p>
    <w:p w:rsidR="00F54A27" w:rsidRDefault="00DB14F7">
      <w:pPr>
        <w:pStyle w:val="TOC2"/>
        <w:tabs>
          <w:tab w:val="left" w:pos="1100"/>
          <w:tab w:val="right" w:leader="dot" w:pos="9064"/>
        </w:tabs>
        <w:rPr>
          <w:rFonts w:asciiTheme="minorHAnsi" w:eastAsiaTheme="minorEastAsia" w:hAnsiTheme="minorHAnsi" w:cstheme="minorBidi"/>
          <w:noProof/>
          <w:lang w:val="en-US" w:eastAsia="en-US" w:bidi="ar-SA"/>
        </w:rPr>
      </w:pPr>
      <w:hyperlink w:anchor="_Toc499795581" w:history="1">
        <w:r w:rsidRPr="00093370">
          <w:rPr>
            <w:rStyle w:val="Hyperlink"/>
            <w:noProof/>
          </w:rPr>
          <w:t>D.1</w:t>
        </w:r>
        <w:r>
          <w:rPr>
            <w:rFonts w:asciiTheme="minorHAnsi" w:eastAsiaTheme="minorEastAsia" w:hAnsiTheme="minorHAnsi" w:cstheme="minorBidi"/>
            <w:noProof/>
            <w:lang w:val="en-US" w:eastAsia="en-US" w:bidi="ar-SA"/>
          </w:rPr>
          <w:tab/>
        </w:r>
        <w:r w:rsidRPr="00093370">
          <w:rPr>
            <w:rStyle w:val="Hyperlink"/>
            <w:noProof/>
          </w:rPr>
          <w:t>The initiative for maintaining and improving railway safety</w:t>
        </w:r>
        <w:r>
          <w:rPr>
            <w:noProof/>
            <w:webHidden/>
          </w:rPr>
          <w:tab/>
        </w:r>
        <w:r>
          <w:rPr>
            <w:noProof/>
            <w:webHidden/>
          </w:rPr>
          <w:fldChar w:fldCharType="begin"/>
        </w:r>
        <w:r>
          <w:rPr>
            <w:noProof/>
            <w:webHidden/>
          </w:rPr>
          <w:instrText xml:space="preserve"> PAGEREF _Toc499795581 \h </w:instrText>
        </w:r>
        <w:r>
          <w:rPr>
            <w:noProof/>
            <w:webHidden/>
          </w:rPr>
        </w:r>
        <w:r>
          <w:rPr>
            <w:noProof/>
            <w:webHidden/>
          </w:rPr>
          <w:fldChar w:fldCharType="separate"/>
        </w:r>
        <w:r>
          <w:rPr>
            <w:noProof/>
            <w:webHidden/>
          </w:rPr>
          <w:t>12</w:t>
        </w:r>
        <w:r>
          <w:rPr>
            <w:noProof/>
            <w:webHidden/>
          </w:rPr>
          <w:fldChar w:fldCharType="end"/>
        </w:r>
      </w:hyperlink>
    </w:p>
    <w:p w:rsidR="00F54A27" w:rsidRDefault="00DB14F7">
      <w:pPr>
        <w:pStyle w:val="TOC2"/>
        <w:tabs>
          <w:tab w:val="left" w:pos="1100"/>
          <w:tab w:val="right" w:leader="dot" w:pos="9064"/>
        </w:tabs>
        <w:rPr>
          <w:rFonts w:asciiTheme="minorHAnsi" w:eastAsiaTheme="minorEastAsia" w:hAnsiTheme="minorHAnsi" w:cstheme="minorBidi"/>
          <w:noProof/>
          <w:lang w:val="en-US" w:eastAsia="en-US" w:bidi="ar-SA"/>
        </w:rPr>
      </w:pPr>
      <w:hyperlink w:anchor="_Toc499795582" w:history="1">
        <w:r w:rsidRPr="00093370">
          <w:rPr>
            <w:rStyle w:val="Hyperlink"/>
            <w:noProof/>
          </w:rPr>
          <w:t>D.2</w:t>
        </w:r>
        <w:r>
          <w:rPr>
            <w:rFonts w:asciiTheme="minorHAnsi" w:eastAsiaTheme="minorEastAsia" w:hAnsiTheme="minorHAnsi" w:cstheme="minorBidi"/>
            <w:noProof/>
            <w:lang w:val="en-US" w:eastAsia="en-US" w:bidi="ar-SA"/>
          </w:rPr>
          <w:tab/>
        </w:r>
        <w:r w:rsidRPr="00093370">
          <w:rPr>
            <w:rStyle w:val="Hyperlink"/>
            <w:noProof/>
          </w:rPr>
          <w:t>A detailed analysis of data</w:t>
        </w:r>
        <w:r>
          <w:rPr>
            <w:noProof/>
            <w:webHidden/>
          </w:rPr>
          <w:tab/>
        </w:r>
        <w:r>
          <w:rPr>
            <w:noProof/>
            <w:webHidden/>
          </w:rPr>
          <w:fldChar w:fldCharType="begin"/>
        </w:r>
        <w:r>
          <w:rPr>
            <w:noProof/>
            <w:webHidden/>
          </w:rPr>
          <w:instrText xml:space="preserve"> PAGEREF _Toc499795582 \h </w:instrText>
        </w:r>
        <w:r>
          <w:rPr>
            <w:noProof/>
            <w:webHidden/>
          </w:rPr>
        </w:r>
        <w:r>
          <w:rPr>
            <w:noProof/>
            <w:webHidden/>
          </w:rPr>
          <w:fldChar w:fldCharType="separate"/>
        </w:r>
        <w:r>
          <w:rPr>
            <w:noProof/>
            <w:webHidden/>
          </w:rPr>
          <w:t>13</w:t>
        </w:r>
        <w:r>
          <w:rPr>
            <w:noProof/>
            <w:webHidden/>
          </w:rPr>
          <w:fldChar w:fldCharType="end"/>
        </w:r>
      </w:hyperlink>
    </w:p>
    <w:p w:rsidR="00F54A27" w:rsidRDefault="00DB14F7">
      <w:pPr>
        <w:pStyle w:val="TOC3"/>
        <w:tabs>
          <w:tab w:val="right" w:leader="dot" w:pos="9064"/>
        </w:tabs>
        <w:rPr>
          <w:rFonts w:asciiTheme="minorHAnsi" w:eastAsiaTheme="minorEastAsia" w:hAnsiTheme="minorHAnsi" w:cstheme="minorBidi"/>
          <w:noProof/>
          <w:lang w:val="en-US" w:eastAsia="en-US" w:bidi="ar-SA"/>
        </w:rPr>
      </w:pPr>
      <w:hyperlink w:anchor="_Toc499795583" w:history="1">
        <w:r w:rsidRPr="00093370">
          <w:rPr>
            <w:rStyle w:val="Hyperlink"/>
            <w:noProof/>
          </w:rPr>
          <w:t>LISA C/ANNEX C – CSI data</w:t>
        </w:r>
        <w:r>
          <w:rPr>
            <w:noProof/>
            <w:webHidden/>
          </w:rPr>
          <w:tab/>
        </w:r>
        <w:r>
          <w:rPr>
            <w:noProof/>
            <w:webHidden/>
          </w:rPr>
          <w:fldChar w:fldCharType="begin"/>
        </w:r>
        <w:r>
          <w:rPr>
            <w:noProof/>
            <w:webHidden/>
          </w:rPr>
          <w:instrText xml:space="preserve"> PAGEREF _Toc499795583 \h </w:instrText>
        </w:r>
        <w:r>
          <w:rPr>
            <w:noProof/>
            <w:webHidden/>
          </w:rPr>
        </w:r>
        <w:r>
          <w:rPr>
            <w:noProof/>
            <w:webHidden/>
          </w:rPr>
          <w:fldChar w:fldCharType="separate"/>
        </w:r>
        <w:r>
          <w:rPr>
            <w:noProof/>
            <w:webHidden/>
          </w:rPr>
          <w:t>13</w:t>
        </w:r>
        <w:r>
          <w:rPr>
            <w:noProof/>
            <w:webHidden/>
          </w:rPr>
          <w:fldChar w:fldCharType="end"/>
        </w:r>
      </w:hyperlink>
    </w:p>
    <w:p w:rsidR="00F54A27" w:rsidRDefault="00DB14F7">
      <w:pPr>
        <w:pStyle w:val="TOC2"/>
        <w:tabs>
          <w:tab w:val="left" w:pos="1100"/>
          <w:tab w:val="right" w:leader="dot" w:pos="9064"/>
        </w:tabs>
        <w:rPr>
          <w:rFonts w:asciiTheme="minorHAnsi" w:eastAsiaTheme="minorEastAsia" w:hAnsiTheme="minorHAnsi" w:cstheme="minorBidi"/>
          <w:noProof/>
          <w:lang w:val="en-US" w:eastAsia="en-US" w:bidi="ar-SA"/>
        </w:rPr>
      </w:pPr>
      <w:hyperlink w:anchor="_Toc499795584" w:history="1">
        <w:r w:rsidRPr="00093370">
          <w:rPr>
            <w:rStyle w:val="Hyperlink"/>
            <w:noProof/>
          </w:rPr>
          <w:t>D.3</w:t>
        </w:r>
        <w:r>
          <w:rPr>
            <w:rFonts w:asciiTheme="minorHAnsi" w:eastAsiaTheme="minorEastAsia" w:hAnsiTheme="minorHAnsi" w:cstheme="minorBidi"/>
            <w:noProof/>
            <w:lang w:val="en-US" w:eastAsia="en-US" w:bidi="ar-SA"/>
          </w:rPr>
          <w:tab/>
        </w:r>
        <w:r w:rsidRPr="00093370">
          <w:rPr>
            <w:rStyle w:val="Hyperlink"/>
            <w:noProof/>
          </w:rPr>
          <w:t>Safety recommendations summary</w:t>
        </w:r>
        <w:r>
          <w:rPr>
            <w:noProof/>
            <w:webHidden/>
          </w:rPr>
          <w:tab/>
        </w:r>
        <w:r>
          <w:rPr>
            <w:noProof/>
            <w:webHidden/>
          </w:rPr>
          <w:fldChar w:fldCharType="begin"/>
        </w:r>
        <w:r>
          <w:rPr>
            <w:noProof/>
            <w:webHidden/>
          </w:rPr>
          <w:instrText xml:space="preserve"> PAGEREF _Toc499795584 \h </w:instrText>
        </w:r>
        <w:r>
          <w:rPr>
            <w:noProof/>
            <w:webHidden/>
          </w:rPr>
        </w:r>
        <w:r>
          <w:rPr>
            <w:noProof/>
            <w:webHidden/>
          </w:rPr>
          <w:fldChar w:fldCharType="separate"/>
        </w:r>
        <w:r>
          <w:rPr>
            <w:noProof/>
            <w:webHidden/>
          </w:rPr>
          <w:t>14</w:t>
        </w:r>
        <w:r>
          <w:rPr>
            <w:noProof/>
            <w:webHidden/>
          </w:rPr>
          <w:fldChar w:fldCharType="end"/>
        </w:r>
      </w:hyperlink>
    </w:p>
    <w:p w:rsidR="00F54A27" w:rsidRDefault="00DB14F7">
      <w:pPr>
        <w:pStyle w:val="TOC1"/>
        <w:tabs>
          <w:tab w:val="right" w:leader="dot" w:pos="9064"/>
        </w:tabs>
        <w:rPr>
          <w:rFonts w:asciiTheme="minorHAnsi" w:eastAsiaTheme="minorEastAsia" w:hAnsiTheme="minorHAnsi" w:cstheme="minorBidi"/>
          <w:noProof/>
          <w:lang w:val="en-US" w:eastAsia="en-US" w:bidi="ar-SA"/>
        </w:rPr>
      </w:pPr>
      <w:hyperlink w:anchor="_Toc499795585" w:history="1">
        <w:r w:rsidRPr="00093370">
          <w:rPr>
            <w:rStyle w:val="Hyperlink"/>
            <w:noProof/>
            <w:w w:val="99"/>
          </w:rPr>
          <w:t>E.</w:t>
        </w:r>
        <w:r>
          <w:rPr>
            <w:rFonts w:asciiTheme="minorHAnsi" w:eastAsiaTheme="minorEastAsia" w:hAnsiTheme="minorHAnsi" w:cstheme="minorBidi"/>
            <w:noProof/>
            <w:lang w:val="en-US" w:eastAsia="en-US" w:bidi="ar-SA"/>
          </w:rPr>
          <w:tab/>
        </w:r>
        <w:r w:rsidRPr="00093370">
          <w:rPr>
            <w:rStyle w:val="Hyperlink"/>
            <w:noProof/>
          </w:rPr>
          <w:t>Main amendments to legislation</w:t>
        </w:r>
        <w:r>
          <w:rPr>
            <w:noProof/>
            <w:webHidden/>
          </w:rPr>
          <w:tab/>
        </w:r>
        <w:r>
          <w:rPr>
            <w:noProof/>
            <w:webHidden/>
          </w:rPr>
          <w:fldChar w:fldCharType="begin"/>
        </w:r>
        <w:r>
          <w:rPr>
            <w:noProof/>
            <w:webHidden/>
          </w:rPr>
          <w:instrText xml:space="preserve"> PAGEREF _Toc499795585 \h </w:instrText>
        </w:r>
        <w:r>
          <w:rPr>
            <w:noProof/>
            <w:webHidden/>
          </w:rPr>
        </w:r>
        <w:r>
          <w:rPr>
            <w:noProof/>
            <w:webHidden/>
          </w:rPr>
          <w:fldChar w:fldCharType="separate"/>
        </w:r>
        <w:r>
          <w:rPr>
            <w:noProof/>
            <w:webHidden/>
          </w:rPr>
          <w:t>15</w:t>
        </w:r>
        <w:r>
          <w:rPr>
            <w:noProof/>
            <w:webHidden/>
          </w:rPr>
          <w:fldChar w:fldCharType="end"/>
        </w:r>
      </w:hyperlink>
    </w:p>
    <w:p w:rsidR="00F54A27" w:rsidRDefault="00DB14F7">
      <w:pPr>
        <w:pStyle w:val="TOC1"/>
        <w:tabs>
          <w:tab w:val="right" w:leader="dot" w:pos="9064"/>
        </w:tabs>
        <w:rPr>
          <w:rFonts w:asciiTheme="minorHAnsi" w:eastAsiaTheme="minorEastAsia" w:hAnsiTheme="minorHAnsi" w:cstheme="minorBidi"/>
          <w:noProof/>
          <w:lang w:val="en-US" w:eastAsia="en-US" w:bidi="ar-SA"/>
        </w:rPr>
      </w:pPr>
      <w:hyperlink w:anchor="_Toc499795586" w:history="1">
        <w:r w:rsidRPr="00093370">
          <w:rPr>
            <w:rStyle w:val="Hyperlink"/>
            <w:noProof/>
            <w:w w:val="99"/>
          </w:rPr>
          <w:t>F.</w:t>
        </w:r>
        <w:r>
          <w:rPr>
            <w:rFonts w:asciiTheme="minorHAnsi" w:eastAsiaTheme="minorEastAsia" w:hAnsiTheme="minorHAnsi" w:cstheme="minorBidi"/>
            <w:noProof/>
            <w:lang w:val="en-US" w:eastAsia="en-US" w:bidi="ar-SA"/>
          </w:rPr>
          <w:tab/>
        </w:r>
        <w:r w:rsidRPr="00093370">
          <w:rPr>
            <w:rStyle w:val="Hyperlink"/>
            <w:noProof/>
          </w:rPr>
          <w:t>The development and authorisation of safety certificates</w:t>
        </w:r>
        <w:r>
          <w:rPr>
            <w:noProof/>
            <w:webHidden/>
          </w:rPr>
          <w:tab/>
        </w:r>
        <w:r>
          <w:rPr>
            <w:noProof/>
            <w:webHidden/>
          </w:rPr>
          <w:fldChar w:fldCharType="begin"/>
        </w:r>
        <w:r>
          <w:rPr>
            <w:noProof/>
            <w:webHidden/>
          </w:rPr>
          <w:instrText xml:space="preserve"> PAGEREF _Toc499795586 \h </w:instrText>
        </w:r>
        <w:r>
          <w:rPr>
            <w:noProof/>
            <w:webHidden/>
          </w:rPr>
        </w:r>
        <w:r>
          <w:rPr>
            <w:noProof/>
            <w:webHidden/>
          </w:rPr>
          <w:fldChar w:fldCharType="separate"/>
        </w:r>
        <w:r>
          <w:rPr>
            <w:noProof/>
            <w:webHidden/>
          </w:rPr>
          <w:t>15</w:t>
        </w:r>
        <w:r>
          <w:rPr>
            <w:noProof/>
            <w:webHidden/>
          </w:rPr>
          <w:fldChar w:fldCharType="end"/>
        </w:r>
      </w:hyperlink>
    </w:p>
    <w:p w:rsidR="00F54A27" w:rsidRDefault="00DB14F7">
      <w:pPr>
        <w:pStyle w:val="TOC2"/>
        <w:tabs>
          <w:tab w:val="left" w:pos="880"/>
          <w:tab w:val="right" w:leader="dot" w:pos="9064"/>
        </w:tabs>
        <w:rPr>
          <w:rFonts w:asciiTheme="minorHAnsi" w:eastAsiaTheme="minorEastAsia" w:hAnsiTheme="minorHAnsi" w:cstheme="minorBidi"/>
          <w:noProof/>
          <w:lang w:val="en-US" w:eastAsia="en-US" w:bidi="ar-SA"/>
        </w:rPr>
      </w:pPr>
      <w:hyperlink w:anchor="_Toc499795587" w:history="1">
        <w:r w:rsidRPr="00093370">
          <w:rPr>
            <w:rStyle w:val="Hyperlink"/>
            <w:noProof/>
          </w:rPr>
          <w:t>F.1</w:t>
        </w:r>
        <w:r>
          <w:rPr>
            <w:rFonts w:asciiTheme="minorHAnsi" w:eastAsiaTheme="minorEastAsia" w:hAnsiTheme="minorHAnsi" w:cstheme="minorBidi"/>
            <w:noProof/>
            <w:lang w:val="en-US" w:eastAsia="en-US" w:bidi="ar-SA"/>
          </w:rPr>
          <w:tab/>
        </w:r>
        <w:r w:rsidRPr="00093370">
          <w:rPr>
            <w:rStyle w:val="Hyperlink"/>
            <w:noProof/>
          </w:rPr>
          <w:t>National legal space – safety certificates and authorisa</w:t>
        </w:r>
        <w:r w:rsidRPr="00093370">
          <w:rPr>
            <w:rStyle w:val="Hyperlink"/>
            <w:noProof/>
          </w:rPr>
          <w:t>tions</w:t>
        </w:r>
        <w:r>
          <w:rPr>
            <w:noProof/>
            <w:webHidden/>
          </w:rPr>
          <w:tab/>
        </w:r>
        <w:r>
          <w:rPr>
            <w:noProof/>
            <w:webHidden/>
          </w:rPr>
          <w:fldChar w:fldCharType="begin"/>
        </w:r>
        <w:r>
          <w:rPr>
            <w:noProof/>
            <w:webHidden/>
          </w:rPr>
          <w:instrText xml:space="preserve"> PAGEREF _Toc499795587 \h </w:instrText>
        </w:r>
        <w:r>
          <w:rPr>
            <w:noProof/>
            <w:webHidden/>
          </w:rPr>
        </w:r>
        <w:r>
          <w:rPr>
            <w:noProof/>
            <w:webHidden/>
          </w:rPr>
          <w:fldChar w:fldCharType="separate"/>
        </w:r>
        <w:r>
          <w:rPr>
            <w:noProof/>
            <w:webHidden/>
          </w:rPr>
          <w:t>15</w:t>
        </w:r>
        <w:r>
          <w:rPr>
            <w:noProof/>
            <w:webHidden/>
          </w:rPr>
          <w:fldChar w:fldCharType="end"/>
        </w:r>
      </w:hyperlink>
    </w:p>
    <w:p w:rsidR="00F54A27" w:rsidRDefault="00DB14F7">
      <w:pPr>
        <w:pStyle w:val="TOC2"/>
        <w:tabs>
          <w:tab w:val="left" w:pos="880"/>
          <w:tab w:val="right" w:leader="dot" w:pos="9064"/>
        </w:tabs>
        <w:rPr>
          <w:rFonts w:asciiTheme="minorHAnsi" w:eastAsiaTheme="minorEastAsia" w:hAnsiTheme="minorHAnsi" w:cstheme="minorBidi"/>
          <w:noProof/>
          <w:lang w:val="en-US" w:eastAsia="en-US" w:bidi="ar-SA"/>
        </w:rPr>
      </w:pPr>
      <w:hyperlink w:anchor="_Toc499795588" w:history="1">
        <w:r w:rsidRPr="00093370">
          <w:rPr>
            <w:rStyle w:val="Hyperlink"/>
            <w:noProof/>
          </w:rPr>
          <w:t>F.2</w:t>
        </w:r>
        <w:r>
          <w:rPr>
            <w:rFonts w:asciiTheme="minorHAnsi" w:eastAsiaTheme="minorEastAsia" w:hAnsiTheme="minorHAnsi" w:cstheme="minorBidi"/>
            <w:noProof/>
            <w:lang w:val="en-US" w:eastAsia="en-US" w:bidi="ar-SA"/>
          </w:rPr>
          <w:tab/>
        </w:r>
        <w:r w:rsidRPr="00093370">
          <w:rPr>
            <w:rStyle w:val="Hyperlink"/>
            <w:noProof/>
          </w:rPr>
          <w:t>Safety certificates issued (table)</w:t>
        </w:r>
        <w:r>
          <w:rPr>
            <w:noProof/>
            <w:webHidden/>
          </w:rPr>
          <w:tab/>
        </w:r>
        <w:r>
          <w:rPr>
            <w:noProof/>
            <w:webHidden/>
          </w:rPr>
          <w:fldChar w:fldCharType="begin"/>
        </w:r>
        <w:r>
          <w:rPr>
            <w:noProof/>
            <w:webHidden/>
          </w:rPr>
          <w:instrText xml:space="preserve"> PAGEREF _Toc499795588 \h </w:instrText>
        </w:r>
        <w:r>
          <w:rPr>
            <w:noProof/>
            <w:webHidden/>
          </w:rPr>
        </w:r>
        <w:r>
          <w:rPr>
            <w:noProof/>
            <w:webHidden/>
          </w:rPr>
          <w:fldChar w:fldCharType="separate"/>
        </w:r>
        <w:r>
          <w:rPr>
            <w:noProof/>
            <w:webHidden/>
          </w:rPr>
          <w:t>15</w:t>
        </w:r>
        <w:r>
          <w:rPr>
            <w:noProof/>
            <w:webHidden/>
          </w:rPr>
          <w:fldChar w:fldCharType="end"/>
        </w:r>
      </w:hyperlink>
    </w:p>
    <w:p w:rsidR="00F54A27" w:rsidRDefault="00DB14F7">
      <w:pPr>
        <w:pStyle w:val="TOC2"/>
        <w:tabs>
          <w:tab w:val="left" w:pos="880"/>
          <w:tab w:val="right" w:leader="dot" w:pos="9064"/>
        </w:tabs>
        <w:rPr>
          <w:rFonts w:asciiTheme="minorHAnsi" w:eastAsiaTheme="minorEastAsia" w:hAnsiTheme="minorHAnsi" w:cstheme="minorBidi"/>
          <w:noProof/>
          <w:lang w:val="en-US" w:eastAsia="en-US" w:bidi="ar-SA"/>
        </w:rPr>
      </w:pPr>
      <w:hyperlink w:anchor="_Toc499795589" w:history="1">
        <w:r w:rsidRPr="00093370">
          <w:rPr>
            <w:rStyle w:val="Hyperlink"/>
            <w:noProof/>
          </w:rPr>
          <w:t>F.3</w:t>
        </w:r>
        <w:r>
          <w:rPr>
            <w:rFonts w:asciiTheme="minorHAnsi" w:eastAsiaTheme="minorEastAsia" w:hAnsiTheme="minorHAnsi" w:cstheme="minorBidi"/>
            <w:noProof/>
            <w:lang w:val="en-US" w:eastAsia="en-US" w:bidi="ar-SA"/>
          </w:rPr>
          <w:tab/>
        </w:r>
        <w:r w:rsidRPr="00093370">
          <w:rPr>
            <w:rStyle w:val="Hyperlink"/>
            <w:noProof/>
          </w:rPr>
          <w:t>Safety authorisations and safety certificates</w:t>
        </w:r>
        <w:r>
          <w:rPr>
            <w:noProof/>
            <w:webHidden/>
          </w:rPr>
          <w:tab/>
        </w:r>
        <w:r>
          <w:rPr>
            <w:noProof/>
            <w:webHidden/>
          </w:rPr>
          <w:fldChar w:fldCharType="begin"/>
        </w:r>
        <w:r>
          <w:rPr>
            <w:noProof/>
            <w:webHidden/>
          </w:rPr>
          <w:instrText xml:space="preserve"> PAGEREF _Toc499795589 \h </w:instrText>
        </w:r>
        <w:r>
          <w:rPr>
            <w:noProof/>
            <w:webHidden/>
          </w:rPr>
        </w:r>
        <w:r>
          <w:rPr>
            <w:noProof/>
            <w:webHidden/>
          </w:rPr>
          <w:fldChar w:fldCharType="separate"/>
        </w:r>
        <w:r>
          <w:rPr>
            <w:noProof/>
            <w:webHidden/>
          </w:rPr>
          <w:t>15</w:t>
        </w:r>
        <w:r>
          <w:rPr>
            <w:noProof/>
            <w:webHidden/>
          </w:rPr>
          <w:fldChar w:fldCharType="end"/>
        </w:r>
      </w:hyperlink>
    </w:p>
    <w:p w:rsidR="00F54A27" w:rsidRDefault="00DB14F7">
      <w:pPr>
        <w:pStyle w:val="TOC1"/>
        <w:tabs>
          <w:tab w:val="right" w:leader="dot" w:pos="9064"/>
        </w:tabs>
        <w:rPr>
          <w:rFonts w:asciiTheme="minorHAnsi" w:eastAsiaTheme="minorEastAsia" w:hAnsiTheme="minorHAnsi" w:cstheme="minorBidi"/>
          <w:noProof/>
          <w:lang w:val="en-US" w:eastAsia="en-US" w:bidi="ar-SA"/>
        </w:rPr>
      </w:pPr>
      <w:hyperlink w:anchor="_Toc499795590" w:history="1">
        <w:r w:rsidRPr="00093370">
          <w:rPr>
            <w:rStyle w:val="Hyperlink"/>
            <w:noProof/>
            <w:w w:val="99"/>
          </w:rPr>
          <w:t>G.</w:t>
        </w:r>
        <w:r>
          <w:rPr>
            <w:rFonts w:asciiTheme="minorHAnsi" w:eastAsiaTheme="minorEastAsia" w:hAnsiTheme="minorHAnsi" w:cstheme="minorBidi"/>
            <w:noProof/>
            <w:lang w:val="en-US" w:eastAsia="en-US" w:bidi="ar-SA"/>
          </w:rPr>
          <w:tab/>
        </w:r>
        <w:r w:rsidRPr="00093370">
          <w:rPr>
            <w:rStyle w:val="Hyperlink"/>
            <w:noProof/>
          </w:rPr>
          <w:t>Monitoring railway undertakings</w:t>
        </w:r>
        <w:r>
          <w:rPr>
            <w:noProof/>
            <w:webHidden/>
          </w:rPr>
          <w:tab/>
        </w:r>
        <w:r>
          <w:rPr>
            <w:noProof/>
            <w:webHidden/>
          </w:rPr>
          <w:fldChar w:fldCharType="begin"/>
        </w:r>
        <w:r>
          <w:rPr>
            <w:noProof/>
            <w:webHidden/>
          </w:rPr>
          <w:instrText xml:space="preserve"> PAGEREF _Toc499795590 \h </w:instrText>
        </w:r>
        <w:r>
          <w:rPr>
            <w:noProof/>
            <w:webHidden/>
          </w:rPr>
        </w:r>
        <w:r>
          <w:rPr>
            <w:noProof/>
            <w:webHidden/>
          </w:rPr>
          <w:fldChar w:fldCharType="separate"/>
        </w:r>
        <w:r>
          <w:rPr>
            <w:noProof/>
            <w:webHidden/>
          </w:rPr>
          <w:t>16</w:t>
        </w:r>
        <w:r>
          <w:rPr>
            <w:noProof/>
            <w:webHidden/>
          </w:rPr>
          <w:fldChar w:fldCharType="end"/>
        </w:r>
      </w:hyperlink>
    </w:p>
    <w:p w:rsidR="00F54A27" w:rsidRDefault="00DB14F7">
      <w:pPr>
        <w:pStyle w:val="TOC1"/>
        <w:tabs>
          <w:tab w:val="right" w:leader="dot" w:pos="9064"/>
        </w:tabs>
        <w:rPr>
          <w:rFonts w:asciiTheme="minorHAnsi" w:eastAsiaTheme="minorEastAsia" w:hAnsiTheme="minorHAnsi" w:cstheme="minorBidi"/>
          <w:noProof/>
          <w:lang w:val="en-US" w:eastAsia="en-US" w:bidi="ar-SA"/>
        </w:rPr>
      </w:pPr>
      <w:hyperlink w:anchor="_Toc499795591" w:history="1">
        <w:r w:rsidRPr="00093370">
          <w:rPr>
            <w:rStyle w:val="Hyperlink"/>
            <w:noProof/>
            <w:w w:val="99"/>
          </w:rPr>
          <w:t>H.</w:t>
        </w:r>
        <w:r>
          <w:rPr>
            <w:rFonts w:asciiTheme="minorHAnsi" w:eastAsiaTheme="minorEastAsia" w:hAnsiTheme="minorHAnsi" w:cstheme="minorBidi"/>
            <w:noProof/>
            <w:lang w:val="en-US" w:eastAsia="en-US" w:bidi="ar-SA"/>
          </w:rPr>
          <w:tab/>
        </w:r>
        <w:r w:rsidRPr="00093370">
          <w:rPr>
            <w:rStyle w:val="Hyperlink"/>
            <w:noProof/>
          </w:rPr>
          <w:t>Implementation of the Common Safety Methods (CSM) Regulation</w:t>
        </w:r>
        <w:r>
          <w:rPr>
            <w:noProof/>
            <w:webHidden/>
          </w:rPr>
          <w:tab/>
        </w:r>
        <w:r>
          <w:rPr>
            <w:noProof/>
            <w:webHidden/>
          </w:rPr>
          <w:fldChar w:fldCharType="begin"/>
        </w:r>
        <w:r>
          <w:rPr>
            <w:noProof/>
            <w:webHidden/>
          </w:rPr>
          <w:instrText xml:space="preserve"> PAGEREF _Toc499795591 \h </w:instrText>
        </w:r>
        <w:r>
          <w:rPr>
            <w:noProof/>
            <w:webHidden/>
          </w:rPr>
        </w:r>
        <w:r>
          <w:rPr>
            <w:noProof/>
            <w:webHidden/>
          </w:rPr>
          <w:fldChar w:fldCharType="separate"/>
        </w:r>
        <w:r>
          <w:rPr>
            <w:noProof/>
            <w:webHidden/>
          </w:rPr>
          <w:t>17</w:t>
        </w:r>
        <w:r>
          <w:rPr>
            <w:noProof/>
            <w:webHidden/>
          </w:rPr>
          <w:fldChar w:fldCharType="end"/>
        </w:r>
      </w:hyperlink>
    </w:p>
    <w:p w:rsidR="00F54A27" w:rsidRDefault="00DB14F7">
      <w:pPr>
        <w:pStyle w:val="TOC1"/>
        <w:tabs>
          <w:tab w:val="right" w:leader="dot" w:pos="9064"/>
        </w:tabs>
        <w:rPr>
          <w:rFonts w:asciiTheme="minorHAnsi" w:eastAsiaTheme="minorEastAsia" w:hAnsiTheme="minorHAnsi" w:cstheme="minorBidi"/>
          <w:noProof/>
          <w:lang w:val="en-US" w:eastAsia="en-US" w:bidi="ar-SA"/>
        </w:rPr>
      </w:pPr>
      <w:hyperlink w:anchor="_Toc499795592" w:history="1">
        <w:r w:rsidRPr="00093370">
          <w:rPr>
            <w:rStyle w:val="Hyperlink"/>
            <w:noProof/>
            <w:w w:val="99"/>
          </w:rPr>
          <w:t>I.</w:t>
        </w:r>
        <w:r>
          <w:rPr>
            <w:rFonts w:asciiTheme="minorHAnsi" w:eastAsiaTheme="minorEastAsia" w:hAnsiTheme="minorHAnsi" w:cstheme="minorBidi"/>
            <w:noProof/>
            <w:lang w:val="en-US" w:eastAsia="en-US" w:bidi="ar-SA"/>
          </w:rPr>
          <w:tab/>
        </w:r>
        <w:r w:rsidRPr="00093370">
          <w:rPr>
            <w:rStyle w:val="Hyperlink"/>
            <w:noProof/>
          </w:rPr>
          <w:t>Summary, conclusions, priorities</w:t>
        </w:r>
        <w:r>
          <w:rPr>
            <w:noProof/>
            <w:webHidden/>
          </w:rPr>
          <w:tab/>
        </w:r>
        <w:r>
          <w:rPr>
            <w:noProof/>
            <w:webHidden/>
          </w:rPr>
          <w:fldChar w:fldCharType="begin"/>
        </w:r>
        <w:r>
          <w:rPr>
            <w:noProof/>
            <w:webHidden/>
          </w:rPr>
          <w:instrText xml:space="preserve"> PAGEREF _Toc4997955</w:instrText>
        </w:r>
        <w:r>
          <w:rPr>
            <w:noProof/>
            <w:webHidden/>
          </w:rPr>
          <w:instrText xml:space="preserve">92 \h </w:instrText>
        </w:r>
        <w:r>
          <w:rPr>
            <w:noProof/>
            <w:webHidden/>
          </w:rPr>
        </w:r>
        <w:r>
          <w:rPr>
            <w:noProof/>
            <w:webHidden/>
          </w:rPr>
          <w:fldChar w:fldCharType="separate"/>
        </w:r>
        <w:r>
          <w:rPr>
            <w:noProof/>
            <w:webHidden/>
          </w:rPr>
          <w:t>17</w:t>
        </w:r>
        <w:r>
          <w:rPr>
            <w:noProof/>
            <w:webHidden/>
          </w:rPr>
          <w:fldChar w:fldCharType="end"/>
        </w:r>
      </w:hyperlink>
    </w:p>
    <w:p w:rsidR="00F54A27" w:rsidRDefault="00DB14F7">
      <w:pPr>
        <w:pStyle w:val="TOC1"/>
        <w:tabs>
          <w:tab w:val="right" w:leader="dot" w:pos="9064"/>
        </w:tabs>
        <w:rPr>
          <w:rFonts w:asciiTheme="minorHAnsi" w:eastAsiaTheme="minorEastAsia" w:hAnsiTheme="minorHAnsi" w:cstheme="minorBidi"/>
          <w:noProof/>
          <w:lang w:val="en-US" w:eastAsia="en-US" w:bidi="ar-SA"/>
        </w:rPr>
      </w:pPr>
      <w:hyperlink w:anchor="_Toc499795593" w:history="1">
        <w:r w:rsidRPr="00093370">
          <w:rPr>
            <w:rStyle w:val="Hyperlink"/>
            <w:noProof/>
            <w:w w:val="99"/>
          </w:rPr>
          <w:t>J.</w:t>
        </w:r>
        <w:r>
          <w:rPr>
            <w:rFonts w:asciiTheme="minorHAnsi" w:eastAsiaTheme="minorEastAsia" w:hAnsiTheme="minorHAnsi" w:cstheme="minorBidi"/>
            <w:noProof/>
            <w:lang w:val="en-US" w:eastAsia="en-US" w:bidi="ar-SA"/>
          </w:rPr>
          <w:tab/>
        </w:r>
        <w:r w:rsidRPr="00093370">
          <w:rPr>
            <w:rStyle w:val="Hyperlink"/>
            <w:noProof/>
          </w:rPr>
          <w:t>Primary information sources</w:t>
        </w:r>
        <w:r>
          <w:rPr>
            <w:noProof/>
            <w:webHidden/>
          </w:rPr>
          <w:tab/>
        </w:r>
        <w:r>
          <w:rPr>
            <w:noProof/>
            <w:webHidden/>
          </w:rPr>
          <w:fldChar w:fldCharType="begin"/>
        </w:r>
        <w:r>
          <w:rPr>
            <w:noProof/>
            <w:webHidden/>
          </w:rPr>
          <w:instrText xml:space="preserve"> PAGEREF _Toc499795593 \h </w:instrText>
        </w:r>
        <w:r>
          <w:rPr>
            <w:noProof/>
            <w:webHidden/>
          </w:rPr>
        </w:r>
        <w:r>
          <w:rPr>
            <w:noProof/>
            <w:webHidden/>
          </w:rPr>
          <w:fldChar w:fldCharType="separate"/>
        </w:r>
        <w:r>
          <w:rPr>
            <w:noProof/>
            <w:webHidden/>
          </w:rPr>
          <w:t>17</w:t>
        </w:r>
        <w:r>
          <w:rPr>
            <w:noProof/>
            <w:webHidden/>
          </w:rPr>
          <w:fldChar w:fldCharType="end"/>
        </w:r>
      </w:hyperlink>
    </w:p>
    <w:p w:rsidR="006D6ED6" w:rsidRPr="00EE44D0" w:rsidRDefault="00DB14F7" w:rsidP="001C07B2">
      <w:pPr>
        <w:pStyle w:val="TOC1"/>
        <w:widowControl/>
        <w:tabs>
          <w:tab w:val="right" w:leader="dot" w:pos="9064"/>
        </w:tabs>
        <w:rPr>
          <w:rFonts w:asciiTheme="minorHAnsi" w:eastAsiaTheme="minorEastAsia" w:hAnsiTheme="minorHAnsi" w:cstheme="minorBidi"/>
          <w:noProof/>
        </w:rPr>
      </w:pPr>
      <w:r w:rsidRPr="00EE44D0">
        <w:fldChar w:fldCharType="end"/>
      </w:r>
    </w:p>
    <w:p w:rsidR="005774F2" w:rsidRPr="00EE44D0" w:rsidRDefault="00DB14F7" w:rsidP="001C07B2">
      <w:pPr>
        <w:widowControl/>
      </w:pPr>
      <w:r w:rsidRPr="00EE44D0">
        <w:br w:type="page"/>
      </w:r>
    </w:p>
    <w:p w:rsidR="005774F2" w:rsidRPr="00EE44D0" w:rsidRDefault="005774F2" w:rsidP="001C07B2">
      <w:pPr>
        <w:pStyle w:val="BodyText"/>
        <w:widowControl/>
        <w:spacing w:after="240" w:line="288" w:lineRule="auto"/>
      </w:pPr>
    </w:p>
    <w:p w:rsidR="00E3058B" w:rsidRPr="00EE44D0" w:rsidRDefault="00DB14F7" w:rsidP="001C07B2">
      <w:pPr>
        <w:pStyle w:val="Heading1"/>
        <w:widowControl/>
        <w:numPr>
          <w:ilvl w:val="1"/>
          <w:numId w:val="3"/>
        </w:numPr>
        <w:spacing w:after="240" w:line="288" w:lineRule="auto"/>
        <w:ind w:left="0" w:firstLine="0"/>
      </w:pPr>
      <w:bookmarkStart w:id="0" w:name="_bookmark0"/>
      <w:bookmarkStart w:id="1" w:name="_Toc496109848"/>
      <w:bookmarkStart w:id="2" w:name="_Toc499795564"/>
      <w:bookmarkEnd w:id="0"/>
      <w:r w:rsidRPr="00EE44D0">
        <w:t>Summary</w:t>
      </w:r>
      <w:bookmarkEnd w:id="1"/>
      <w:bookmarkEnd w:id="2"/>
    </w:p>
    <w:p w:rsidR="00E3058B" w:rsidRPr="00EE44D0" w:rsidRDefault="00DB14F7" w:rsidP="001C07B2">
      <w:pPr>
        <w:pStyle w:val="BodyText"/>
        <w:widowControl/>
        <w:spacing w:after="240" w:line="288" w:lineRule="auto"/>
        <w:jc w:val="both"/>
      </w:pPr>
      <w:r w:rsidRPr="00EE44D0">
        <w:t>This annual report provides an overview of the Estonian railway sector and the development of railway safety in 2016. The report has been put together by the Technical Regul</w:t>
      </w:r>
      <w:r w:rsidRPr="00EE44D0">
        <w:t>atory Authority (hereinafter referred to as the TRA).</w:t>
      </w:r>
    </w:p>
    <w:p w:rsidR="00E3058B" w:rsidRPr="00EE44D0" w:rsidRDefault="00DB14F7" w:rsidP="001C07B2">
      <w:pPr>
        <w:pStyle w:val="BodyText"/>
        <w:widowControl/>
        <w:spacing w:after="240" w:line="288" w:lineRule="auto"/>
        <w:jc w:val="both"/>
      </w:pPr>
      <w:r w:rsidRPr="00EE44D0">
        <w:t>In 2016, the TRA’s priority was to improve the efficiency of supervisory activities and safety-related preventive activities.</w:t>
      </w:r>
    </w:p>
    <w:p w:rsidR="00E3058B" w:rsidRPr="00EE44D0" w:rsidRDefault="00DB14F7" w:rsidP="001C07B2">
      <w:pPr>
        <w:pStyle w:val="BodyText"/>
        <w:widowControl/>
        <w:spacing w:after="240" w:line="288" w:lineRule="auto"/>
        <w:jc w:val="both"/>
      </w:pPr>
      <w:r w:rsidRPr="00EE44D0">
        <w:t>The supervision work that was carried out by the TRA’s Transportation Servic</w:t>
      </w:r>
      <w:r w:rsidRPr="00EE44D0">
        <w:t>e in 2016 focused on checking the company’s safety activities in terms of issues related to rolling stock, infrastructure, safety documentation, and ensuring safety, as well as carrying out prevention activities. These supervisory activities demonstrated t</w:t>
      </w:r>
      <w:r w:rsidRPr="00EE44D0">
        <w:t>hat the companies are aware of the safety risks, and employees who are responsible for managing safety issues are in possession of the required professional certificates and attend regular training courses. The company is sufficiently competent in the exec</w:t>
      </w:r>
      <w:r w:rsidRPr="00EE44D0">
        <w:t xml:space="preserve">ution of its duties, and possesses the required skills to be able to properly operate under emergency conditions. In conclusion, the companies are operating under the umbrella of risk management, and preventive action is something that is constantly being </w:t>
      </w:r>
      <w:r w:rsidRPr="00EE44D0">
        <w:t>taken.</w:t>
      </w:r>
    </w:p>
    <w:p w:rsidR="00E3058B" w:rsidRPr="00EE44D0" w:rsidRDefault="00DB14F7" w:rsidP="001C07B2">
      <w:pPr>
        <w:pStyle w:val="BodyText"/>
        <w:widowControl/>
        <w:spacing w:after="240" w:line="288" w:lineRule="auto"/>
        <w:jc w:val="both"/>
      </w:pPr>
      <w:r w:rsidRPr="00EE44D0">
        <w:t>In 2016, there were a total of 13 rail accidents, a significantly lower figure compared to the years 2015 and 2014 (in which there were nineteen and 20 accidents respectively). In 2016, there were five collisions with persons on the railway and eigh</w:t>
      </w:r>
      <w:r w:rsidRPr="00EE44D0">
        <w:t>t collisions between trains and motor vehicles or all-terrain vehicles (ATVs). There were a total of seven persons injured, four of whom were injured during collisions and three upon impact. One person died during these accidents. This was a collision in w</w:t>
      </w:r>
      <w:r w:rsidRPr="00EE44D0">
        <w:t>hich the individual’s premeditated action was established and therefore the case has been classified as suicide. The main cause of accidents is the lack of attention paid by road users and an underestimation of the risks related to interaction with the rai</w:t>
      </w:r>
      <w:r w:rsidRPr="00EE44D0">
        <w:t>lway.</w:t>
      </w:r>
    </w:p>
    <w:p w:rsidR="00E3058B" w:rsidRPr="00EE44D0" w:rsidRDefault="00DB14F7" w:rsidP="001C07B2">
      <w:pPr>
        <w:pStyle w:val="Heading1"/>
        <w:widowControl/>
        <w:numPr>
          <w:ilvl w:val="1"/>
          <w:numId w:val="3"/>
        </w:numPr>
        <w:spacing w:after="240" w:line="288" w:lineRule="auto"/>
        <w:ind w:left="0" w:firstLine="0"/>
      </w:pPr>
      <w:bookmarkStart w:id="3" w:name="_bookmark1"/>
      <w:bookmarkStart w:id="4" w:name="_Toc496109849"/>
      <w:bookmarkStart w:id="5" w:name="_Toc499795565"/>
      <w:bookmarkEnd w:id="3"/>
      <w:r w:rsidRPr="00EE44D0">
        <w:t>Summary</w:t>
      </w:r>
      <w:bookmarkStart w:id="6" w:name="_Toc495677851"/>
      <w:bookmarkEnd w:id="4"/>
      <w:bookmarkEnd w:id="5"/>
      <w:bookmarkEnd w:id="6"/>
    </w:p>
    <w:p w:rsidR="00E3058B" w:rsidRPr="00EE44D0" w:rsidRDefault="00DB14F7" w:rsidP="001C07B2">
      <w:pPr>
        <w:pStyle w:val="BodyText"/>
        <w:widowControl/>
        <w:spacing w:after="240" w:line="288" w:lineRule="auto"/>
        <w:jc w:val="both"/>
      </w:pPr>
      <w:r w:rsidRPr="00EE44D0">
        <w:t>This annual report provides an overview of the current situation in Estonia railway sector in 2016. The report has been composed by the Technical Regulatory Authority.</w:t>
      </w:r>
    </w:p>
    <w:p w:rsidR="00E3058B" w:rsidRPr="00EE44D0" w:rsidRDefault="00DB14F7" w:rsidP="001C07B2">
      <w:pPr>
        <w:pStyle w:val="BodyText"/>
        <w:widowControl/>
        <w:spacing w:after="240" w:line="288" w:lineRule="auto"/>
        <w:jc w:val="both"/>
      </w:pPr>
      <w:r w:rsidRPr="00EE44D0">
        <w:t>In</w:t>
      </w:r>
      <w:r w:rsidRPr="00EE44D0">
        <w:rPr>
          <w:spacing w:val="-7"/>
        </w:rPr>
        <w:t xml:space="preserve"> </w:t>
      </w:r>
      <w:r w:rsidRPr="00EE44D0">
        <w:t>2016</w:t>
      </w:r>
      <w:r w:rsidRPr="00EE44D0">
        <w:rPr>
          <w:spacing w:val="-10"/>
        </w:rPr>
        <w:t xml:space="preserve"> </w:t>
      </w:r>
      <w:r w:rsidRPr="00EE44D0">
        <w:t>our</w:t>
      </w:r>
      <w:r w:rsidRPr="00EE44D0">
        <w:rPr>
          <w:spacing w:val="-9"/>
        </w:rPr>
        <w:t xml:space="preserve"> </w:t>
      </w:r>
      <w:r w:rsidRPr="00EE44D0">
        <w:t>main</w:t>
      </w:r>
      <w:r w:rsidRPr="00EE44D0">
        <w:rPr>
          <w:spacing w:val="-7"/>
        </w:rPr>
        <w:t xml:space="preserve"> </w:t>
      </w:r>
      <w:r w:rsidRPr="00EE44D0">
        <w:t>priorities</w:t>
      </w:r>
      <w:r w:rsidRPr="00EE44D0">
        <w:rPr>
          <w:spacing w:val="-7"/>
        </w:rPr>
        <w:t xml:space="preserve"> </w:t>
      </w:r>
      <w:r w:rsidRPr="00EE44D0">
        <w:t>were</w:t>
      </w:r>
      <w:r w:rsidRPr="00EE44D0">
        <w:rPr>
          <w:spacing w:val="-7"/>
        </w:rPr>
        <w:t xml:space="preserve"> </w:t>
      </w:r>
      <w:r w:rsidRPr="00EE44D0">
        <w:t>related</w:t>
      </w:r>
      <w:r w:rsidRPr="00EE44D0">
        <w:rPr>
          <w:spacing w:val="-10"/>
        </w:rPr>
        <w:t xml:space="preserve"> </w:t>
      </w:r>
      <w:r w:rsidRPr="00EE44D0">
        <w:t>to</w:t>
      </w:r>
      <w:r w:rsidRPr="00EE44D0">
        <w:rPr>
          <w:spacing w:val="-10"/>
        </w:rPr>
        <w:t xml:space="preserve"> </w:t>
      </w:r>
      <w:r w:rsidRPr="00EE44D0">
        <w:t>making</w:t>
      </w:r>
      <w:r w:rsidRPr="00EE44D0">
        <w:rPr>
          <w:spacing w:val="-7"/>
        </w:rPr>
        <w:t xml:space="preserve"> </w:t>
      </w:r>
      <w:r w:rsidRPr="00EE44D0">
        <w:t>our</w:t>
      </w:r>
      <w:r w:rsidRPr="00EE44D0">
        <w:rPr>
          <w:spacing w:val="-6"/>
        </w:rPr>
        <w:t xml:space="preserve"> </w:t>
      </w:r>
      <w:r w:rsidRPr="00EE44D0">
        <w:t>surveillance</w:t>
      </w:r>
      <w:r w:rsidRPr="00EE44D0">
        <w:rPr>
          <w:spacing w:val="-7"/>
        </w:rPr>
        <w:t xml:space="preserve"> </w:t>
      </w:r>
      <w:r w:rsidRPr="00EE44D0">
        <w:t>activities</w:t>
      </w:r>
      <w:r w:rsidRPr="00EE44D0">
        <w:rPr>
          <w:spacing w:val="-5"/>
        </w:rPr>
        <w:t xml:space="preserve"> </w:t>
      </w:r>
      <w:r w:rsidRPr="00EE44D0">
        <w:t>more</w:t>
      </w:r>
      <w:r w:rsidRPr="00EE44D0">
        <w:rPr>
          <w:spacing w:val="-10"/>
        </w:rPr>
        <w:t xml:space="preserve"> </w:t>
      </w:r>
      <w:r w:rsidRPr="00EE44D0">
        <w:t>efficient</w:t>
      </w:r>
      <w:r w:rsidRPr="00EE44D0">
        <w:rPr>
          <w:spacing w:val="-3"/>
        </w:rPr>
        <w:t xml:space="preserve"> </w:t>
      </w:r>
      <w:r w:rsidRPr="00EE44D0">
        <w:t>and contributing to safety prevention activities. The auditing carried out by the Estonian NSA Railway Transport Department in 2016 focused on monitoring company's safety performance in terms of rolling stock, infrastructure, safe</w:t>
      </w:r>
      <w:r w:rsidRPr="00EE44D0">
        <w:t>ty documentation and general safety and prevention. Surveillance activities showed that companies are aware of safety risks, the responsible</w:t>
      </w:r>
      <w:r w:rsidRPr="00EE44D0">
        <w:rPr>
          <w:spacing w:val="-16"/>
        </w:rPr>
        <w:t xml:space="preserve"> </w:t>
      </w:r>
      <w:r w:rsidRPr="00EE44D0">
        <w:t>employees</w:t>
      </w:r>
      <w:r w:rsidRPr="00EE44D0">
        <w:rPr>
          <w:spacing w:val="-16"/>
        </w:rPr>
        <w:t xml:space="preserve"> </w:t>
      </w:r>
      <w:r w:rsidRPr="00EE44D0">
        <w:t>have</w:t>
      </w:r>
      <w:r w:rsidRPr="00EE44D0">
        <w:rPr>
          <w:spacing w:val="-16"/>
        </w:rPr>
        <w:t xml:space="preserve"> </w:t>
      </w:r>
      <w:r w:rsidRPr="00EE44D0">
        <w:t>the</w:t>
      </w:r>
      <w:r w:rsidRPr="00EE44D0">
        <w:rPr>
          <w:spacing w:val="-16"/>
        </w:rPr>
        <w:t xml:space="preserve"> </w:t>
      </w:r>
      <w:r w:rsidRPr="00EE44D0">
        <w:t>corresponding</w:t>
      </w:r>
      <w:r w:rsidRPr="00EE44D0">
        <w:rPr>
          <w:spacing w:val="-16"/>
        </w:rPr>
        <w:t xml:space="preserve"> </w:t>
      </w:r>
      <w:r w:rsidRPr="00EE44D0">
        <w:t>qualifications</w:t>
      </w:r>
      <w:r w:rsidRPr="00EE44D0">
        <w:rPr>
          <w:spacing w:val="-16"/>
        </w:rPr>
        <w:t xml:space="preserve"> </w:t>
      </w:r>
      <w:r w:rsidRPr="00EE44D0">
        <w:t>and</w:t>
      </w:r>
      <w:r w:rsidRPr="00EE44D0">
        <w:rPr>
          <w:spacing w:val="-18"/>
        </w:rPr>
        <w:t xml:space="preserve"> </w:t>
      </w:r>
      <w:r w:rsidRPr="00EE44D0">
        <w:t>take</w:t>
      </w:r>
      <w:r w:rsidRPr="00EE44D0">
        <w:rPr>
          <w:spacing w:val="-16"/>
        </w:rPr>
        <w:t xml:space="preserve"> </w:t>
      </w:r>
      <w:r w:rsidRPr="00EE44D0">
        <w:t>part</w:t>
      </w:r>
      <w:r w:rsidRPr="00EE44D0">
        <w:rPr>
          <w:spacing w:val="-15"/>
        </w:rPr>
        <w:t xml:space="preserve"> </w:t>
      </w:r>
      <w:r w:rsidRPr="00EE44D0">
        <w:t>in</w:t>
      </w:r>
      <w:r w:rsidRPr="00EE44D0">
        <w:rPr>
          <w:spacing w:val="-16"/>
        </w:rPr>
        <w:t xml:space="preserve"> </w:t>
      </w:r>
      <w:r w:rsidRPr="00EE44D0">
        <w:t>regular</w:t>
      </w:r>
      <w:r w:rsidRPr="00EE44D0">
        <w:rPr>
          <w:spacing w:val="-17"/>
        </w:rPr>
        <w:t xml:space="preserve"> </w:t>
      </w:r>
      <w:r w:rsidRPr="00EE44D0">
        <w:t>trainings. Railway</w:t>
      </w:r>
      <w:r w:rsidRPr="00EE44D0">
        <w:rPr>
          <w:spacing w:val="-8"/>
        </w:rPr>
        <w:t xml:space="preserve"> </w:t>
      </w:r>
      <w:r w:rsidRPr="00EE44D0">
        <w:t>companies</w:t>
      </w:r>
      <w:r w:rsidRPr="00EE44D0">
        <w:rPr>
          <w:spacing w:val="-6"/>
        </w:rPr>
        <w:t xml:space="preserve"> </w:t>
      </w:r>
      <w:r w:rsidRPr="00EE44D0">
        <w:t>have</w:t>
      </w:r>
      <w:r w:rsidRPr="00EE44D0">
        <w:rPr>
          <w:spacing w:val="-6"/>
        </w:rPr>
        <w:t xml:space="preserve"> </w:t>
      </w:r>
      <w:r w:rsidRPr="00EE44D0">
        <w:t>sufficie</w:t>
      </w:r>
      <w:r w:rsidRPr="00EE44D0">
        <w:t>nt</w:t>
      </w:r>
      <w:r w:rsidRPr="00EE44D0">
        <w:rPr>
          <w:spacing w:val="-7"/>
        </w:rPr>
        <w:t xml:space="preserve"> </w:t>
      </w:r>
      <w:r w:rsidRPr="00EE44D0">
        <w:t>competence</w:t>
      </w:r>
      <w:r w:rsidRPr="00EE44D0">
        <w:rPr>
          <w:spacing w:val="-9"/>
        </w:rPr>
        <w:t xml:space="preserve"> </w:t>
      </w:r>
      <w:r w:rsidRPr="00EE44D0">
        <w:t>and</w:t>
      </w:r>
      <w:r w:rsidRPr="00EE44D0">
        <w:rPr>
          <w:spacing w:val="-7"/>
        </w:rPr>
        <w:t xml:space="preserve"> </w:t>
      </w:r>
      <w:r w:rsidRPr="00EE44D0">
        <w:t>essential</w:t>
      </w:r>
      <w:r w:rsidRPr="00EE44D0">
        <w:rPr>
          <w:spacing w:val="-7"/>
        </w:rPr>
        <w:t xml:space="preserve"> </w:t>
      </w:r>
      <w:r w:rsidRPr="00EE44D0">
        <w:t>skills</w:t>
      </w:r>
      <w:r w:rsidRPr="00EE44D0">
        <w:rPr>
          <w:spacing w:val="-6"/>
        </w:rPr>
        <w:t xml:space="preserve"> </w:t>
      </w:r>
      <w:r w:rsidRPr="00EE44D0">
        <w:t>to</w:t>
      </w:r>
      <w:r w:rsidRPr="00EE44D0">
        <w:rPr>
          <w:spacing w:val="-9"/>
        </w:rPr>
        <w:t xml:space="preserve"> </w:t>
      </w:r>
      <w:r w:rsidRPr="00EE44D0">
        <w:t>be</w:t>
      </w:r>
      <w:r w:rsidRPr="00EE44D0">
        <w:rPr>
          <w:spacing w:val="-9"/>
        </w:rPr>
        <w:t xml:space="preserve"> </w:t>
      </w:r>
      <w:r w:rsidRPr="00EE44D0">
        <w:t>prepared</w:t>
      </w:r>
      <w:r w:rsidRPr="00EE44D0">
        <w:rPr>
          <w:spacing w:val="-9"/>
        </w:rPr>
        <w:t xml:space="preserve"> </w:t>
      </w:r>
      <w:r w:rsidRPr="00EE44D0">
        <w:t>to</w:t>
      </w:r>
      <w:r w:rsidRPr="00EE44D0">
        <w:rPr>
          <w:spacing w:val="-9"/>
        </w:rPr>
        <w:t xml:space="preserve"> </w:t>
      </w:r>
      <w:r w:rsidRPr="00EE44D0">
        <w:t>act</w:t>
      </w:r>
      <w:r w:rsidRPr="00EE44D0">
        <w:rPr>
          <w:spacing w:val="-7"/>
        </w:rPr>
        <w:t xml:space="preserve"> </w:t>
      </w:r>
      <w:r w:rsidRPr="00EE44D0">
        <w:t>in</w:t>
      </w:r>
      <w:r w:rsidRPr="00EE44D0">
        <w:rPr>
          <w:spacing w:val="-6"/>
        </w:rPr>
        <w:t xml:space="preserve"> </w:t>
      </w:r>
      <w:r w:rsidRPr="00EE44D0">
        <w:t>an</w:t>
      </w:r>
      <w:r w:rsidR="00F161FB">
        <w:t xml:space="preserve"> </w:t>
      </w:r>
      <w:r w:rsidRPr="00EE44D0">
        <w:t>emergency. All in all, companies have set a purpose to minimize risks and prevention is ongoing.</w:t>
      </w:r>
    </w:p>
    <w:p w:rsidR="00E3058B" w:rsidRPr="00EE44D0" w:rsidRDefault="00DB14F7" w:rsidP="001C07B2">
      <w:pPr>
        <w:pStyle w:val="BodyText"/>
        <w:widowControl/>
        <w:spacing w:after="240" w:line="288" w:lineRule="auto"/>
        <w:jc w:val="both"/>
      </w:pPr>
      <w:r w:rsidRPr="00EE44D0">
        <w:t>A</w:t>
      </w:r>
      <w:r w:rsidRPr="00EE44D0">
        <w:rPr>
          <w:spacing w:val="-4"/>
        </w:rPr>
        <w:t xml:space="preserve"> </w:t>
      </w:r>
      <w:r w:rsidRPr="00EE44D0">
        <w:t>total</w:t>
      </w:r>
      <w:r w:rsidRPr="00EE44D0">
        <w:rPr>
          <w:spacing w:val="-4"/>
        </w:rPr>
        <w:t xml:space="preserve"> </w:t>
      </w:r>
      <w:r w:rsidRPr="00EE44D0">
        <w:t>of</w:t>
      </w:r>
      <w:r w:rsidRPr="00EE44D0">
        <w:rPr>
          <w:spacing w:val="-3"/>
        </w:rPr>
        <w:t xml:space="preserve"> </w:t>
      </w:r>
      <w:r w:rsidRPr="00EE44D0">
        <w:t>13</w:t>
      </w:r>
      <w:r w:rsidRPr="00EE44D0">
        <w:rPr>
          <w:spacing w:val="-4"/>
        </w:rPr>
        <w:t xml:space="preserve"> </w:t>
      </w:r>
      <w:r w:rsidRPr="00EE44D0">
        <w:t>railway</w:t>
      </w:r>
      <w:r w:rsidRPr="00EE44D0">
        <w:rPr>
          <w:spacing w:val="-6"/>
        </w:rPr>
        <w:t xml:space="preserve"> </w:t>
      </w:r>
      <w:r w:rsidRPr="00EE44D0">
        <w:t>accidents</w:t>
      </w:r>
      <w:r w:rsidRPr="00EE44D0">
        <w:rPr>
          <w:spacing w:val="-3"/>
        </w:rPr>
        <w:t xml:space="preserve"> </w:t>
      </w:r>
      <w:r w:rsidRPr="00EE44D0">
        <w:t>were</w:t>
      </w:r>
      <w:r w:rsidRPr="00EE44D0">
        <w:rPr>
          <w:spacing w:val="-4"/>
        </w:rPr>
        <w:t xml:space="preserve"> </w:t>
      </w:r>
      <w:r w:rsidRPr="00EE44D0">
        <w:t>registered</w:t>
      </w:r>
      <w:r w:rsidRPr="00EE44D0">
        <w:rPr>
          <w:spacing w:val="-4"/>
        </w:rPr>
        <w:t xml:space="preserve"> </w:t>
      </w:r>
      <w:r w:rsidRPr="00EE44D0">
        <w:t>in</w:t>
      </w:r>
      <w:r w:rsidRPr="00EE44D0">
        <w:rPr>
          <w:spacing w:val="-6"/>
        </w:rPr>
        <w:t xml:space="preserve"> </w:t>
      </w:r>
      <w:r w:rsidRPr="00EE44D0">
        <w:t>2016,</w:t>
      </w:r>
      <w:r w:rsidRPr="00EE44D0">
        <w:rPr>
          <w:spacing w:val="-3"/>
        </w:rPr>
        <w:t xml:space="preserve"> </w:t>
      </w:r>
      <w:r w:rsidRPr="00EE44D0">
        <w:t>which</w:t>
      </w:r>
      <w:r w:rsidRPr="00EE44D0">
        <w:rPr>
          <w:spacing w:val="-4"/>
        </w:rPr>
        <w:t xml:space="preserve"> </w:t>
      </w:r>
      <w:r w:rsidRPr="00EE44D0">
        <w:t>is</w:t>
      </w:r>
      <w:r w:rsidRPr="00EE44D0">
        <w:rPr>
          <w:spacing w:val="-4"/>
        </w:rPr>
        <w:t xml:space="preserve"> </w:t>
      </w:r>
      <w:r w:rsidRPr="00EE44D0">
        <w:t>significantly</w:t>
      </w:r>
      <w:r w:rsidRPr="00EE44D0">
        <w:rPr>
          <w:spacing w:val="-6"/>
        </w:rPr>
        <w:t xml:space="preserve"> </w:t>
      </w:r>
      <w:r w:rsidRPr="00EE44D0">
        <w:t>less</w:t>
      </w:r>
      <w:r w:rsidRPr="00EE44D0">
        <w:rPr>
          <w:spacing w:val="-4"/>
        </w:rPr>
        <w:t xml:space="preserve"> </w:t>
      </w:r>
      <w:r w:rsidRPr="00EE44D0">
        <w:t>than</w:t>
      </w:r>
      <w:r w:rsidRPr="00EE44D0">
        <w:rPr>
          <w:spacing w:val="-4"/>
        </w:rPr>
        <w:t xml:space="preserve"> </w:t>
      </w:r>
      <w:r w:rsidRPr="00EE44D0">
        <w:t>in</w:t>
      </w:r>
      <w:r w:rsidRPr="00EE44D0">
        <w:rPr>
          <w:spacing w:val="-4"/>
        </w:rPr>
        <w:t xml:space="preserve"> </w:t>
      </w:r>
      <w:r w:rsidRPr="00EE44D0">
        <w:t>2015 (19 accidents) and 2014 (20 accidents). There were 5 accidents to persons caused by rolling stock</w:t>
      </w:r>
      <w:r w:rsidRPr="00EE44D0">
        <w:rPr>
          <w:spacing w:val="-9"/>
        </w:rPr>
        <w:t xml:space="preserve"> </w:t>
      </w:r>
      <w:r w:rsidRPr="00EE44D0">
        <w:t>in</w:t>
      </w:r>
      <w:r w:rsidRPr="00EE44D0">
        <w:rPr>
          <w:spacing w:val="-13"/>
        </w:rPr>
        <w:t xml:space="preserve"> </w:t>
      </w:r>
      <w:r w:rsidRPr="00EE44D0">
        <w:t>motion</w:t>
      </w:r>
      <w:r w:rsidRPr="00EE44D0">
        <w:rPr>
          <w:spacing w:val="-11"/>
        </w:rPr>
        <w:t xml:space="preserve"> </w:t>
      </w:r>
      <w:r w:rsidRPr="00EE44D0">
        <w:t>and</w:t>
      </w:r>
      <w:r w:rsidRPr="00EE44D0">
        <w:rPr>
          <w:spacing w:val="-10"/>
        </w:rPr>
        <w:t xml:space="preserve"> </w:t>
      </w:r>
      <w:r w:rsidRPr="00EE44D0">
        <w:t>8</w:t>
      </w:r>
      <w:r w:rsidRPr="00EE44D0">
        <w:rPr>
          <w:spacing w:val="-14"/>
        </w:rPr>
        <w:t xml:space="preserve"> </w:t>
      </w:r>
      <w:r w:rsidRPr="00EE44D0">
        <w:t>collisions</w:t>
      </w:r>
      <w:r w:rsidRPr="00EE44D0">
        <w:rPr>
          <w:spacing w:val="-11"/>
        </w:rPr>
        <w:t xml:space="preserve"> </w:t>
      </w:r>
      <w:r w:rsidRPr="00EE44D0">
        <w:t>between</w:t>
      </w:r>
      <w:r w:rsidRPr="00EE44D0">
        <w:rPr>
          <w:spacing w:val="-11"/>
        </w:rPr>
        <w:t xml:space="preserve"> </w:t>
      </w:r>
      <w:r w:rsidRPr="00EE44D0">
        <w:t>rolling</w:t>
      </w:r>
      <w:r w:rsidRPr="00EE44D0">
        <w:rPr>
          <w:spacing w:val="-9"/>
        </w:rPr>
        <w:t xml:space="preserve"> </w:t>
      </w:r>
      <w:r w:rsidRPr="00EE44D0">
        <w:t>stock</w:t>
      </w:r>
      <w:r w:rsidRPr="00EE44D0">
        <w:rPr>
          <w:spacing w:val="-11"/>
        </w:rPr>
        <w:t xml:space="preserve"> </w:t>
      </w:r>
      <w:r w:rsidRPr="00EE44D0">
        <w:t>and</w:t>
      </w:r>
      <w:r w:rsidRPr="00EE44D0">
        <w:rPr>
          <w:spacing w:val="-13"/>
        </w:rPr>
        <w:t xml:space="preserve"> </w:t>
      </w:r>
      <w:r w:rsidRPr="00EE44D0">
        <w:t>road</w:t>
      </w:r>
      <w:r w:rsidRPr="00EE44D0">
        <w:rPr>
          <w:spacing w:val="-11"/>
        </w:rPr>
        <w:t xml:space="preserve"> </w:t>
      </w:r>
      <w:r w:rsidRPr="00EE44D0">
        <w:t>vehicles.</w:t>
      </w:r>
      <w:r w:rsidRPr="00EE44D0">
        <w:rPr>
          <w:spacing w:val="-10"/>
        </w:rPr>
        <w:t xml:space="preserve"> </w:t>
      </w:r>
      <w:r w:rsidRPr="00EE44D0">
        <w:t>In</w:t>
      </w:r>
      <w:r w:rsidRPr="00EE44D0">
        <w:rPr>
          <w:spacing w:val="-11"/>
        </w:rPr>
        <w:t xml:space="preserve"> </w:t>
      </w:r>
      <w:r w:rsidRPr="00EE44D0">
        <w:t>2016,</w:t>
      </w:r>
      <w:r w:rsidRPr="00EE44D0">
        <w:rPr>
          <w:spacing w:val="-10"/>
        </w:rPr>
        <w:t xml:space="preserve"> </w:t>
      </w:r>
      <w:r w:rsidRPr="00EE44D0">
        <w:t>1</w:t>
      </w:r>
      <w:r w:rsidRPr="00EE44D0">
        <w:rPr>
          <w:spacing w:val="-11"/>
        </w:rPr>
        <w:t xml:space="preserve"> </w:t>
      </w:r>
      <w:r w:rsidRPr="00EE44D0">
        <w:t>person</w:t>
      </w:r>
      <w:r w:rsidRPr="00EE44D0">
        <w:rPr>
          <w:spacing w:val="-14"/>
        </w:rPr>
        <w:t xml:space="preserve"> </w:t>
      </w:r>
      <w:r w:rsidRPr="00EE44D0">
        <w:t>was killed</w:t>
      </w:r>
      <w:r w:rsidRPr="00EE44D0">
        <w:rPr>
          <w:spacing w:val="-14"/>
        </w:rPr>
        <w:t xml:space="preserve"> </w:t>
      </w:r>
      <w:r w:rsidRPr="00EE44D0">
        <w:t>and</w:t>
      </w:r>
      <w:r w:rsidRPr="00EE44D0">
        <w:rPr>
          <w:spacing w:val="-16"/>
        </w:rPr>
        <w:t xml:space="preserve"> </w:t>
      </w:r>
      <w:r w:rsidRPr="00EE44D0">
        <w:t>7</w:t>
      </w:r>
      <w:r w:rsidRPr="00EE44D0">
        <w:rPr>
          <w:spacing w:val="-16"/>
        </w:rPr>
        <w:t xml:space="preserve"> </w:t>
      </w:r>
      <w:r w:rsidRPr="00EE44D0">
        <w:t>were</w:t>
      </w:r>
      <w:r w:rsidRPr="00EE44D0">
        <w:rPr>
          <w:spacing w:val="-13"/>
        </w:rPr>
        <w:t xml:space="preserve"> </w:t>
      </w:r>
      <w:r w:rsidRPr="00EE44D0">
        <w:t>injured</w:t>
      </w:r>
      <w:r w:rsidRPr="00EE44D0">
        <w:rPr>
          <w:spacing w:val="-16"/>
        </w:rPr>
        <w:t xml:space="preserve"> </w:t>
      </w:r>
      <w:r w:rsidRPr="00EE44D0">
        <w:t>in</w:t>
      </w:r>
      <w:r w:rsidRPr="00EE44D0">
        <w:rPr>
          <w:spacing w:val="-13"/>
        </w:rPr>
        <w:t xml:space="preserve"> </w:t>
      </w:r>
      <w:r w:rsidRPr="00EE44D0">
        <w:t>railway</w:t>
      </w:r>
      <w:r w:rsidRPr="00EE44D0">
        <w:rPr>
          <w:spacing w:val="-16"/>
        </w:rPr>
        <w:t xml:space="preserve"> </w:t>
      </w:r>
      <w:r w:rsidRPr="00EE44D0">
        <w:t>accidents</w:t>
      </w:r>
      <w:r w:rsidRPr="00EE44D0">
        <w:rPr>
          <w:spacing w:val="-11"/>
        </w:rPr>
        <w:t xml:space="preserve"> </w:t>
      </w:r>
      <w:r w:rsidRPr="00EE44D0">
        <w:t>–</w:t>
      </w:r>
      <w:r w:rsidRPr="00EE44D0">
        <w:rPr>
          <w:spacing w:val="-16"/>
        </w:rPr>
        <w:t xml:space="preserve"> </w:t>
      </w:r>
      <w:r w:rsidRPr="00EE44D0">
        <w:t>3</w:t>
      </w:r>
      <w:r w:rsidRPr="00EE44D0">
        <w:rPr>
          <w:spacing w:val="-16"/>
        </w:rPr>
        <w:t xml:space="preserve"> </w:t>
      </w:r>
      <w:r w:rsidRPr="00EE44D0">
        <w:t>of</w:t>
      </w:r>
      <w:r w:rsidRPr="00EE44D0">
        <w:rPr>
          <w:spacing w:val="-17"/>
        </w:rPr>
        <w:t xml:space="preserve"> </w:t>
      </w:r>
      <w:r w:rsidRPr="00EE44D0">
        <w:t>them</w:t>
      </w:r>
      <w:r w:rsidRPr="00EE44D0">
        <w:rPr>
          <w:spacing w:val="-15"/>
        </w:rPr>
        <w:t xml:space="preserve"> </w:t>
      </w:r>
      <w:r w:rsidRPr="00EE44D0">
        <w:t>in</w:t>
      </w:r>
      <w:r w:rsidRPr="00EE44D0">
        <w:rPr>
          <w:spacing w:val="-16"/>
        </w:rPr>
        <w:t xml:space="preserve"> </w:t>
      </w:r>
      <w:r w:rsidRPr="00EE44D0">
        <w:t>collisions</w:t>
      </w:r>
      <w:r w:rsidRPr="00EE44D0">
        <w:rPr>
          <w:spacing w:val="-13"/>
        </w:rPr>
        <w:t xml:space="preserve"> </w:t>
      </w:r>
      <w:r w:rsidRPr="00EE44D0">
        <w:t>and</w:t>
      </w:r>
      <w:r w:rsidRPr="00EE44D0">
        <w:rPr>
          <w:spacing w:val="-16"/>
        </w:rPr>
        <w:t xml:space="preserve"> </w:t>
      </w:r>
      <w:r w:rsidRPr="00EE44D0">
        <w:t>4</w:t>
      </w:r>
      <w:r w:rsidRPr="00EE44D0">
        <w:rPr>
          <w:spacing w:val="-16"/>
        </w:rPr>
        <w:t xml:space="preserve"> </w:t>
      </w:r>
      <w:r w:rsidRPr="00EE44D0">
        <w:t>of</w:t>
      </w:r>
      <w:r w:rsidRPr="00EE44D0">
        <w:rPr>
          <w:spacing w:val="-15"/>
        </w:rPr>
        <w:t xml:space="preserve"> </w:t>
      </w:r>
      <w:r w:rsidRPr="00EE44D0">
        <w:t>them</w:t>
      </w:r>
      <w:r w:rsidRPr="00EE44D0">
        <w:rPr>
          <w:spacing w:val="-15"/>
        </w:rPr>
        <w:t xml:space="preserve"> </w:t>
      </w:r>
      <w:r w:rsidRPr="00EE44D0">
        <w:t>in</w:t>
      </w:r>
      <w:r w:rsidRPr="00EE44D0">
        <w:rPr>
          <w:spacing w:val="-13"/>
        </w:rPr>
        <w:t xml:space="preserve"> </w:t>
      </w:r>
      <w:r w:rsidRPr="00EE44D0">
        <w:t xml:space="preserve">accidents to persons. Regarding the one accident where a person was killed, we can say that the road user planned the activity in advance and therefore the accidents is categorized as a suicide. The main reason for accidents is </w:t>
      </w:r>
      <w:r w:rsidRPr="00EE44D0">
        <w:t>the inattentiveness of road users and the underestimation</w:t>
      </w:r>
      <w:r w:rsidRPr="00EE44D0">
        <w:rPr>
          <w:spacing w:val="-40"/>
        </w:rPr>
        <w:t xml:space="preserve"> </w:t>
      </w:r>
      <w:r w:rsidRPr="00EE44D0">
        <w:t>of rail-related</w:t>
      </w:r>
      <w:r w:rsidRPr="00EE44D0">
        <w:rPr>
          <w:spacing w:val="-6"/>
        </w:rPr>
        <w:t xml:space="preserve"> </w:t>
      </w:r>
      <w:r w:rsidRPr="00EE44D0">
        <w:t>hazards.</w:t>
      </w:r>
    </w:p>
    <w:p w:rsidR="00E3058B" w:rsidRPr="00EE44D0" w:rsidRDefault="00DB14F7" w:rsidP="001C07B2">
      <w:pPr>
        <w:pStyle w:val="Heading1"/>
        <w:widowControl/>
        <w:numPr>
          <w:ilvl w:val="0"/>
          <w:numId w:val="2"/>
        </w:numPr>
        <w:spacing w:after="240" w:line="288" w:lineRule="auto"/>
        <w:ind w:left="0" w:firstLine="0"/>
      </w:pPr>
      <w:bookmarkStart w:id="7" w:name="_bookmark2"/>
      <w:bookmarkStart w:id="8" w:name="_Toc496109850"/>
      <w:bookmarkStart w:id="9" w:name="_Toc499795566"/>
      <w:bookmarkEnd w:id="7"/>
      <w:r w:rsidRPr="00EE44D0">
        <w:t>Introduction</w:t>
      </w:r>
      <w:bookmarkEnd w:id="8"/>
      <w:bookmarkEnd w:id="9"/>
    </w:p>
    <w:p w:rsidR="00E3058B" w:rsidRPr="00EE44D0" w:rsidRDefault="00DB14F7" w:rsidP="001C07B2">
      <w:pPr>
        <w:pStyle w:val="Heading2"/>
        <w:widowControl/>
        <w:numPr>
          <w:ilvl w:val="1"/>
          <w:numId w:val="2"/>
        </w:numPr>
        <w:spacing w:after="240" w:line="288" w:lineRule="auto"/>
        <w:ind w:left="0" w:firstLine="0"/>
      </w:pPr>
      <w:bookmarkStart w:id="10" w:name="_bookmark3"/>
      <w:bookmarkStart w:id="11" w:name="_Toc496109851"/>
      <w:bookmarkStart w:id="12" w:name="_Toc499795567"/>
      <w:bookmarkEnd w:id="10"/>
      <w:r w:rsidRPr="00EE44D0">
        <w:t>General</w:t>
      </w:r>
      <w:bookmarkEnd w:id="11"/>
      <w:bookmarkEnd w:id="12"/>
    </w:p>
    <w:p w:rsidR="00E3058B" w:rsidRPr="00EE44D0" w:rsidRDefault="00DB14F7" w:rsidP="001C07B2">
      <w:pPr>
        <w:pStyle w:val="BodyText"/>
        <w:widowControl/>
        <w:spacing w:after="240" w:line="288" w:lineRule="auto"/>
        <w:jc w:val="both"/>
      </w:pPr>
      <w:r w:rsidRPr="00EE44D0">
        <w:t>This 2016 report is the eleventh report on railway safety to have been prepared by the TRA (earlier reports date from 2006 to 2015). Based on an analysi</w:t>
      </w:r>
      <w:r w:rsidRPr="00EE44D0">
        <w:t>s of the main safety indicators (accidents at level crossings, collisions, etc.), the safety report provides an overview of the developments in railway safety in Estonia. This report has been prepared for the European Union Agency for Railways (ERA) in ord</w:t>
      </w:r>
      <w:r w:rsidRPr="00EE44D0">
        <w:t xml:space="preserve">er to provide an update on developments concerning railway safety in Estonia. The safety report is publicly available on the website </w:t>
      </w:r>
      <w:hyperlink r:id="rId10" w:history="1">
        <w:r w:rsidRPr="00EE44D0">
          <w:rPr>
            <w:color w:val="1154CC"/>
            <w:u w:val="single" w:color="1154CC"/>
          </w:rPr>
          <w:t>www.tja.ee</w:t>
        </w:r>
      </w:hyperlink>
    </w:p>
    <w:p w:rsidR="00E3058B" w:rsidRPr="00EE44D0" w:rsidRDefault="00DB14F7" w:rsidP="001C07B2">
      <w:pPr>
        <w:pStyle w:val="Heading2"/>
        <w:widowControl/>
        <w:numPr>
          <w:ilvl w:val="1"/>
          <w:numId w:val="2"/>
        </w:numPr>
        <w:spacing w:after="240" w:line="288" w:lineRule="auto"/>
        <w:ind w:left="0" w:firstLine="0"/>
      </w:pPr>
      <w:bookmarkStart w:id="13" w:name="_bookmark4"/>
      <w:bookmarkStart w:id="14" w:name="_Toc496109852"/>
      <w:bookmarkStart w:id="15" w:name="_Toc499795568"/>
      <w:bookmarkEnd w:id="13"/>
      <w:r w:rsidRPr="00EE44D0">
        <w:t>Estonia’s railway sector</w:t>
      </w:r>
      <w:bookmarkEnd w:id="14"/>
      <w:bookmarkEnd w:id="15"/>
    </w:p>
    <w:p w:rsidR="00E3058B" w:rsidRPr="00EE44D0" w:rsidRDefault="00DB14F7" w:rsidP="001C07B2">
      <w:pPr>
        <w:widowControl/>
        <w:spacing w:after="240" w:line="288" w:lineRule="auto"/>
        <w:rPr>
          <w:b/>
          <w:i/>
        </w:rPr>
      </w:pPr>
      <w:r w:rsidRPr="00EE44D0">
        <w:rPr>
          <w:b/>
          <w:i/>
        </w:rPr>
        <w:t>Raudteede kaart</w:t>
      </w:r>
      <w:r w:rsidRPr="00EE44D0">
        <w:rPr>
          <w:b/>
          <w:i/>
        </w:rPr>
        <w:t xml:space="preserve"> / Railway infrastructure (public railway)</w:t>
      </w:r>
    </w:p>
    <w:p w:rsidR="00E3058B" w:rsidRPr="00EE44D0" w:rsidRDefault="00DB14F7" w:rsidP="001C07B2">
      <w:pPr>
        <w:pStyle w:val="Heading3"/>
        <w:pageBreakBefore/>
        <w:widowControl/>
        <w:spacing w:after="240" w:line="288" w:lineRule="auto"/>
        <w:ind w:left="0"/>
      </w:pPr>
      <w:bookmarkStart w:id="16" w:name="_bookmark5"/>
      <w:bookmarkStart w:id="17" w:name="_Toc496109853"/>
      <w:bookmarkStart w:id="18" w:name="_Toc499795569"/>
      <w:bookmarkEnd w:id="16"/>
      <w:r w:rsidRPr="00EE44D0">
        <w:t>LISA A.1/ANNEX A.1</w:t>
      </w:r>
      <w:bookmarkEnd w:id="17"/>
      <w:bookmarkEnd w:id="18"/>
    </w:p>
    <w:p w:rsidR="005F16A2" w:rsidRPr="00EE44D0" w:rsidRDefault="00DB14F7" w:rsidP="001C07B2">
      <w:pPr>
        <w:pStyle w:val="BodyText"/>
        <w:widowControl/>
        <w:spacing w:before="7" w:line="288" w:lineRule="auto"/>
        <w:rPr>
          <w:i/>
          <w:sz w:val="25"/>
        </w:rPr>
      </w:pPr>
      <w:r w:rsidRPr="00EE44D0">
        <w:rPr>
          <w:noProof/>
          <w:lang w:val="en-US" w:eastAsia="zh-CN" w:bidi="ar-SA"/>
        </w:rPr>
        <w:drawing>
          <wp:anchor distT="0" distB="0" distL="0" distR="0" simplePos="0" relativeHeight="251658240" behindDoc="0" locked="0" layoutInCell="1" allowOverlap="1">
            <wp:simplePos x="0" y="0"/>
            <wp:positionH relativeFrom="page">
              <wp:posOffset>522605</wp:posOffset>
            </wp:positionH>
            <wp:positionV relativeFrom="paragraph">
              <wp:posOffset>211798</wp:posOffset>
            </wp:positionV>
            <wp:extent cx="6490358" cy="4405979"/>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6490358" cy="4405979"/>
                    </a:xfrm>
                    <a:prstGeom prst="rect">
                      <a:avLst/>
                    </a:prstGeom>
                  </pic:spPr>
                </pic:pic>
              </a:graphicData>
            </a:graphic>
          </wp:anchor>
        </w:drawing>
      </w:r>
    </w:p>
    <w:p w:rsidR="00E3058B" w:rsidRPr="00EE44D0" w:rsidRDefault="00DB14F7" w:rsidP="001C07B2">
      <w:pPr>
        <w:pStyle w:val="BodyText"/>
        <w:widowControl/>
        <w:spacing w:after="240" w:line="288" w:lineRule="auto"/>
        <w:jc w:val="both"/>
      </w:pPr>
      <w:r w:rsidRPr="00EE44D0">
        <w:t>In 2016, the total length of the Estonian railways was 2 144 km, of which 1 508 km have been declared as public railways in accordance with Estonian legislation. Public railways are managed by</w:t>
      </w:r>
      <w:r w:rsidRPr="00EE44D0">
        <w:t xml:space="preserve"> AS Eesti Raudtee and Edelaraudtee Infrastruktuuri AS.</w:t>
      </w:r>
    </w:p>
    <w:p w:rsidR="00E3058B" w:rsidRPr="00EE44D0" w:rsidRDefault="00DB14F7" w:rsidP="001C07B2">
      <w:pPr>
        <w:pStyle w:val="BodyText"/>
        <w:widowControl/>
        <w:spacing w:after="240" w:line="288" w:lineRule="auto"/>
        <w:jc w:val="both"/>
      </w:pPr>
      <w:r w:rsidRPr="00EE44D0">
        <w:t>AS Eesti Raudtee (a state-owned company) owns and manages 1 285 km of the railway (including double-track railways and electrified lines). Edelaraudtee Infrastruktuuri AS, a private undertaking which i</w:t>
      </w:r>
      <w:r w:rsidRPr="00EE44D0">
        <w:t>s a subsidiary of Edelaraudtee AS, owns and manages 223 km of the railway.</w:t>
      </w:r>
    </w:p>
    <w:p w:rsidR="00E3058B" w:rsidRPr="00EE44D0" w:rsidRDefault="00DB14F7" w:rsidP="001C07B2">
      <w:pPr>
        <w:pStyle w:val="BodyText"/>
        <w:widowControl/>
        <w:spacing w:after="240" w:line="288" w:lineRule="auto"/>
        <w:jc w:val="both"/>
      </w:pPr>
      <w:r w:rsidRPr="00EE44D0">
        <w:t>A total of 916 km of the entire length of Estonia’s railways are primary tracks on public railways, and 132 km of railway has been electrified.</w:t>
      </w:r>
    </w:p>
    <w:p w:rsidR="00E3058B" w:rsidRPr="00EE44D0" w:rsidRDefault="00DB14F7" w:rsidP="001C07B2">
      <w:pPr>
        <w:pStyle w:val="BodyText"/>
        <w:widowControl/>
        <w:spacing w:after="240" w:line="288" w:lineRule="auto"/>
        <w:jc w:val="both"/>
        <w:rPr>
          <w:i/>
        </w:rPr>
      </w:pPr>
      <w:r w:rsidRPr="00EE44D0">
        <w:t>As of the end of 2016, the Estonian s</w:t>
      </w:r>
      <w:r w:rsidRPr="00EE44D0">
        <w:t>tate railway traffic register included 281 locomotives, 19 electric and 49 diesel railcars, 276 passenger coaches, and 21 586 freight wagons. In 2016, one locomotive was commissioned from new, and 157 freight wagons were registered as new</w:t>
      </w:r>
      <w:r w:rsidRPr="00EE44D0">
        <w:rPr>
          <w:i/>
        </w:rPr>
        <w:t>.</w:t>
      </w:r>
    </w:p>
    <w:p w:rsidR="00E3058B" w:rsidRPr="00EE44D0" w:rsidRDefault="00DB14F7" w:rsidP="001C07B2">
      <w:pPr>
        <w:pStyle w:val="BodyText"/>
        <w:widowControl/>
        <w:spacing w:after="240" w:line="288" w:lineRule="auto"/>
        <w:jc w:val="both"/>
      </w:pPr>
      <w:r w:rsidRPr="00EE44D0">
        <w:t xml:space="preserve">Over the course </w:t>
      </w:r>
      <w:r w:rsidRPr="00EE44D0">
        <w:t>of the year, the number of passengers travelling by rail increased by 4% and the total number of railway passengers reached 6.9 million in 2016. There were a total of 6.8 million passengers who used domestic railways (a 3% increase over the previous year),</w:t>
      </w:r>
      <w:r w:rsidRPr="00EE44D0">
        <w:t xml:space="preserve"> and 102 800 passengers travelled on international railway lines (doubling the figure from the previous year). Railway passenger turnover increased by 11% within a year, reaching 315.9 million passenger kilometres in 2016.</w:t>
      </w:r>
    </w:p>
    <w:p w:rsidR="00E3058B" w:rsidRPr="00EE44D0" w:rsidRDefault="00DB14F7" w:rsidP="001C07B2">
      <w:pPr>
        <w:pStyle w:val="Heading3"/>
        <w:keepNext/>
        <w:widowControl/>
        <w:spacing w:after="240" w:line="288" w:lineRule="auto"/>
        <w:ind w:left="0"/>
        <w:jc w:val="left"/>
      </w:pPr>
      <w:bookmarkStart w:id="19" w:name="_bookmark6"/>
      <w:bookmarkStart w:id="20" w:name="_Toc496109854"/>
      <w:bookmarkStart w:id="21" w:name="_Toc499795570"/>
      <w:bookmarkEnd w:id="19"/>
      <w:r w:rsidRPr="00EE44D0">
        <w:t>LISA A.2.1/ANNEX A.2.1</w:t>
      </w:r>
      <w:bookmarkEnd w:id="20"/>
      <w:bookmarkEnd w:id="21"/>
    </w:p>
    <w:tbl>
      <w:tblPr>
        <w:tblW w:w="9055"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12"/>
        <w:gridCol w:w="5843"/>
      </w:tblGrid>
      <w:tr w:rsidR="00507431" w:rsidTr="005F16A2">
        <w:trPr>
          <w:trHeight w:hRule="exact" w:val="622"/>
        </w:trPr>
        <w:tc>
          <w:tcPr>
            <w:tcW w:w="9055" w:type="dxa"/>
            <w:gridSpan w:val="2"/>
          </w:tcPr>
          <w:p w:rsidR="00E3058B" w:rsidRPr="00EE44D0" w:rsidRDefault="00DB14F7" w:rsidP="001C07B2">
            <w:pPr>
              <w:pStyle w:val="TableParagraph"/>
              <w:widowControl/>
              <w:spacing w:before="0" w:after="240" w:line="288" w:lineRule="auto"/>
              <w:ind w:left="0"/>
              <w:rPr>
                <w:i/>
              </w:rPr>
            </w:pPr>
            <w:r w:rsidRPr="00EE44D0">
              <w:rPr>
                <w:b/>
              </w:rPr>
              <w:t>Avaliku ra</w:t>
            </w:r>
            <w:r w:rsidRPr="00EE44D0">
              <w:rPr>
                <w:b/>
              </w:rPr>
              <w:t xml:space="preserve">udteeinfrastruktuuri majandajad / </w:t>
            </w:r>
            <w:r w:rsidRPr="00EE44D0">
              <w:rPr>
                <w:i/>
              </w:rPr>
              <w:t>Public Railway Infrastructure Managers</w:t>
            </w:r>
          </w:p>
        </w:tc>
      </w:tr>
      <w:tr w:rsidR="00507431" w:rsidTr="005F16A2">
        <w:trPr>
          <w:trHeight w:hRule="exact" w:val="999"/>
        </w:trPr>
        <w:tc>
          <w:tcPr>
            <w:tcW w:w="3212" w:type="dxa"/>
          </w:tcPr>
          <w:p w:rsidR="00E3058B" w:rsidRPr="00EE44D0" w:rsidRDefault="00DB14F7" w:rsidP="001C07B2">
            <w:pPr>
              <w:pStyle w:val="TableParagraph"/>
              <w:widowControl/>
              <w:spacing w:before="0" w:after="240" w:line="288" w:lineRule="auto"/>
              <w:ind w:left="0"/>
            </w:pPr>
            <w:r w:rsidRPr="00EE44D0">
              <w:t>1. AS Eesti Raudtee</w:t>
            </w:r>
          </w:p>
        </w:tc>
        <w:tc>
          <w:tcPr>
            <w:tcW w:w="5843" w:type="dxa"/>
          </w:tcPr>
          <w:p w:rsidR="00E3058B" w:rsidRPr="00EE44D0" w:rsidRDefault="00DB14F7" w:rsidP="001C07B2">
            <w:pPr>
              <w:pStyle w:val="TableParagraph"/>
              <w:widowControl/>
              <w:spacing w:before="0" w:after="240" w:line="288" w:lineRule="auto"/>
              <w:ind w:left="0"/>
            </w:pPr>
            <w:r w:rsidRPr="00EE44D0">
              <w:t>TEN-T (except Valga-Koidula, Keila-Riisipere and Klooga-Klooga-Ranna)</w:t>
            </w:r>
          </w:p>
        </w:tc>
      </w:tr>
      <w:tr w:rsidR="00507431" w:rsidTr="005F16A2">
        <w:trPr>
          <w:trHeight w:hRule="exact" w:val="804"/>
        </w:trPr>
        <w:tc>
          <w:tcPr>
            <w:tcW w:w="3212" w:type="dxa"/>
          </w:tcPr>
          <w:p w:rsidR="00E3058B" w:rsidRPr="00EE44D0" w:rsidRDefault="00DB14F7" w:rsidP="001C07B2">
            <w:pPr>
              <w:pStyle w:val="TableParagraph"/>
              <w:widowControl/>
              <w:spacing w:before="0" w:after="240" w:line="288" w:lineRule="auto"/>
              <w:ind w:left="0"/>
            </w:pPr>
            <w:r w:rsidRPr="00EE44D0">
              <w:t>2. Edelaraudtee Infrastruktuuri AS</w:t>
            </w:r>
          </w:p>
        </w:tc>
        <w:tc>
          <w:tcPr>
            <w:tcW w:w="5843" w:type="dxa"/>
          </w:tcPr>
          <w:p w:rsidR="00E3058B" w:rsidRPr="00EE44D0" w:rsidRDefault="00DB14F7" w:rsidP="001C07B2">
            <w:pPr>
              <w:pStyle w:val="TableParagraph"/>
              <w:widowControl/>
              <w:spacing w:before="0" w:after="240" w:line="288" w:lineRule="auto"/>
              <w:ind w:left="0"/>
            </w:pPr>
            <w:r w:rsidRPr="00EE44D0">
              <w:t>Non-TEN-T</w:t>
            </w:r>
          </w:p>
        </w:tc>
      </w:tr>
    </w:tbl>
    <w:p w:rsidR="00E3058B" w:rsidRPr="00EE44D0" w:rsidRDefault="00E3058B" w:rsidP="001C07B2">
      <w:pPr>
        <w:pStyle w:val="BodyText"/>
        <w:widowControl/>
        <w:spacing w:after="240" w:line="288" w:lineRule="auto"/>
        <w:rPr>
          <w:i/>
          <w:sz w:val="20"/>
        </w:rPr>
      </w:pPr>
    </w:p>
    <w:p w:rsidR="00E3058B" w:rsidRPr="00EE44D0" w:rsidRDefault="00DB14F7" w:rsidP="001C07B2">
      <w:pPr>
        <w:pStyle w:val="Heading3"/>
        <w:widowControl/>
        <w:spacing w:after="240" w:line="288" w:lineRule="auto"/>
        <w:ind w:left="0"/>
      </w:pPr>
      <w:bookmarkStart w:id="22" w:name="_bookmark7"/>
      <w:bookmarkStart w:id="23" w:name="_Toc496109855"/>
      <w:bookmarkStart w:id="24" w:name="_Toc499795571"/>
      <w:bookmarkEnd w:id="22"/>
      <w:r w:rsidRPr="00EE44D0">
        <w:t>LISA A.2.2/ANNEX A.2.2</w:t>
      </w:r>
      <w:bookmarkEnd w:id="23"/>
      <w:bookmarkEnd w:id="24"/>
    </w:p>
    <w:p w:rsidR="00E3058B" w:rsidRPr="00EE44D0" w:rsidRDefault="00DB14F7" w:rsidP="001C07B2">
      <w:pPr>
        <w:pStyle w:val="BodyText"/>
        <w:widowControl/>
        <w:spacing w:after="240" w:line="288" w:lineRule="auto"/>
        <w:jc w:val="both"/>
      </w:pPr>
      <w:r w:rsidRPr="00EE44D0">
        <w:t xml:space="preserve">In comparison with 2015, we have added to the table infrastructure managers operating in Estonia who have been granted safety certificates, Parts A and B, but who are operating primarily on a local basis at the various stations. During previous years, the </w:t>
      </w:r>
      <w:r w:rsidRPr="00EE44D0">
        <w:t>table has shown the main infrastructure managers, ERS, operating on the Estonian public infrastructure. AS and EVR Cargo AS.</w:t>
      </w:r>
    </w:p>
    <w:tbl>
      <w:tblPr>
        <w:tblW w:w="9072"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52"/>
        <w:gridCol w:w="6520"/>
      </w:tblGrid>
      <w:tr w:rsidR="00507431" w:rsidTr="00C87860">
        <w:trPr>
          <w:trHeight w:val="20"/>
        </w:trPr>
        <w:tc>
          <w:tcPr>
            <w:tcW w:w="9072" w:type="dxa"/>
            <w:gridSpan w:val="2"/>
          </w:tcPr>
          <w:p w:rsidR="00E3058B" w:rsidRPr="00EE44D0" w:rsidRDefault="00DB14F7" w:rsidP="001C07B2">
            <w:pPr>
              <w:pStyle w:val="TableParagraph"/>
              <w:widowControl/>
              <w:spacing w:before="0" w:line="288" w:lineRule="auto"/>
              <w:ind w:left="0"/>
              <w:rPr>
                <w:b/>
              </w:rPr>
            </w:pPr>
            <w:r w:rsidRPr="00EE44D0">
              <w:rPr>
                <w:b/>
              </w:rPr>
              <w:t>Railway undertakings (cargo transport on the public railway infrastructure in Estonia)</w:t>
            </w:r>
          </w:p>
          <w:p w:rsidR="00E3058B" w:rsidRPr="00EE44D0" w:rsidRDefault="00DB14F7" w:rsidP="001C07B2">
            <w:pPr>
              <w:pStyle w:val="TableParagraph"/>
              <w:widowControl/>
              <w:spacing w:before="0" w:after="240" w:line="288" w:lineRule="auto"/>
              <w:ind w:left="0"/>
              <w:rPr>
                <w:i/>
              </w:rPr>
            </w:pPr>
            <w:r w:rsidRPr="00EE44D0">
              <w:rPr>
                <w:i/>
              </w:rPr>
              <w:t>Railway Undertakings (cargo)</w:t>
            </w:r>
          </w:p>
        </w:tc>
      </w:tr>
      <w:tr w:rsidR="00507431" w:rsidTr="00C87860">
        <w:trPr>
          <w:trHeight w:val="20"/>
        </w:trPr>
        <w:tc>
          <w:tcPr>
            <w:tcW w:w="2552" w:type="dxa"/>
          </w:tcPr>
          <w:p w:rsidR="00E3058B" w:rsidRPr="00EE44D0" w:rsidRDefault="00DB14F7" w:rsidP="001C07B2">
            <w:pPr>
              <w:pStyle w:val="TableParagraph"/>
              <w:widowControl/>
              <w:spacing w:before="0" w:line="288" w:lineRule="auto"/>
              <w:ind w:left="0"/>
            </w:pPr>
            <w:r w:rsidRPr="00EE44D0">
              <w:t>1. ERS AS</w:t>
            </w:r>
          </w:p>
        </w:tc>
        <w:tc>
          <w:tcPr>
            <w:tcW w:w="6520" w:type="dxa"/>
          </w:tcPr>
          <w:p w:rsidR="00E3058B" w:rsidRPr="00EE44D0" w:rsidRDefault="00DB14F7" w:rsidP="001C07B2">
            <w:pPr>
              <w:pStyle w:val="TableParagraph"/>
              <w:widowControl/>
              <w:spacing w:before="0" w:line="288" w:lineRule="auto"/>
              <w:ind w:left="0"/>
            </w:pPr>
            <w:r w:rsidRPr="00EE44D0">
              <w:t>Ohut</w:t>
            </w:r>
            <w:r w:rsidRPr="00EE44D0">
              <w:t>ustunnistus väljastatud 2013</w:t>
            </w:r>
          </w:p>
          <w:p w:rsidR="00E3058B" w:rsidRPr="00EE44D0" w:rsidRDefault="00DB14F7" w:rsidP="001C07B2">
            <w:pPr>
              <w:pStyle w:val="TableParagraph"/>
              <w:widowControl/>
              <w:spacing w:before="0" w:after="120" w:line="288" w:lineRule="auto"/>
              <w:ind w:left="0"/>
              <w:rPr>
                <w:i/>
              </w:rPr>
            </w:pPr>
            <w:r w:rsidRPr="00EE44D0">
              <w:rPr>
                <w:i/>
              </w:rPr>
              <w:t>Safety certificate issued 2013</w:t>
            </w:r>
          </w:p>
        </w:tc>
      </w:tr>
      <w:tr w:rsidR="00507431" w:rsidTr="00C87860">
        <w:trPr>
          <w:trHeight w:val="20"/>
        </w:trPr>
        <w:tc>
          <w:tcPr>
            <w:tcW w:w="2552" w:type="dxa"/>
          </w:tcPr>
          <w:p w:rsidR="00E3058B" w:rsidRPr="00EE44D0" w:rsidRDefault="00DB14F7" w:rsidP="001C07B2">
            <w:pPr>
              <w:pStyle w:val="TableParagraph"/>
              <w:widowControl/>
              <w:spacing w:before="0" w:line="288" w:lineRule="auto"/>
              <w:ind w:left="0"/>
            </w:pPr>
            <w:r w:rsidRPr="00EE44D0">
              <w:t>2. EVR Cargo AS</w:t>
            </w:r>
          </w:p>
        </w:tc>
        <w:tc>
          <w:tcPr>
            <w:tcW w:w="6520" w:type="dxa"/>
          </w:tcPr>
          <w:p w:rsidR="00E3058B" w:rsidRPr="00EE44D0" w:rsidRDefault="00DB14F7" w:rsidP="001C07B2">
            <w:pPr>
              <w:pStyle w:val="TableParagraph"/>
              <w:widowControl/>
              <w:spacing w:before="0" w:line="288" w:lineRule="auto"/>
              <w:ind w:left="0"/>
            </w:pPr>
            <w:r w:rsidRPr="00EE44D0">
              <w:t>Ohutustunnistus väljastatud 2014</w:t>
            </w:r>
          </w:p>
          <w:p w:rsidR="00E3058B" w:rsidRPr="00EE44D0" w:rsidRDefault="00DB14F7" w:rsidP="001C07B2">
            <w:pPr>
              <w:pStyle w:val="TableParagraph"/>
              <w:widowControl/>
              <w:spacing w:before="0" w:after="120" w:line="288" w:lineRule="auto"/>
              <w:ind w:left="0"/>
              <w:rPr>
                <w:i/>
              </w:rPr>
            </w:pPr>
            <w:r w:rsidRPr="00EE44D0">
              <w:rPr>
                <w:i/>
              </w:rPr>
              <w:t>Safety certificate issued 2014</w:t>
            </w:r>
          </w:p>
        </w:tc>
      </w:tr>
      <w:tr w:rsidR="00507431" w:rsidTr="00C87860">
        <w:trPr>
          <w:trHeight w:val="20"/>
        </w:trPr>
        <w:tc>
          <w:tcPr>
            <w:tcW w:w="2552" w:type="dxa"/>
          </w:tcPr>
          <w:p w:rsidR="00E3058B" w:rsidRPr="00EE44D0" w:rsidRDefault="00DB14F7" w:rsidP="001C07B2">
            <w:pPr>
              <w:pStyle w:val="TableParagraph"/>
              <w:widowControl/>
              <w:spacing w:before="0" w:line="288" w:lineRule="auto"/>
              <w:ind w:left="0"/>
            </w:pPr>
            <w:r w:rsidRPr="00EE44D0">
              <w:t>3. Alexela Terminal AS</w:t>
            </w:r>
          </w:p>
        </w:tc>
        <w:tc>
          <w:tcPr>
            <w:tcW w:w="6520" w:type="dxa"/>
          </w:tcPr>
          <w:p w:rsidR="00E3058B" w:rsidRPr="00EE44D0" w:rsidRDefault="00DB14F7" w:rsidP="001C07B2">
            <w:pPr>
              <w:pStyle w:val="TableParagraph"/>
              <w:widowControl/>
              <w:spacing w:before="0" w:line="288" w:lineRule="auto"/>
              <w:ind w:left="0"/>
            </w:pPr>
            <w:r w:rsidRPr="00EE44D0">
              <w:t>Ohutustunnistus väljastatud 2015</w:t>
            </w:r>
          </w:p>
          <w:p w:rsidR="00E3058B" w:rsidRPr="00EE44D0" w:rsidRDefault="00DB14F7" w:rsidP="001C07B2">
            <w:pPr>
              <w:pStyle w:val="TableParagraph"/>
              <w:widowControl/>
              <w:spacing w:before="0" w:after="120" w:line="288" w:lineRule="auto"/>
              <w:ind w:left="0"/>
              <w:rPr>
                <w:i/>
              </w:rPr>
            </w:pPr>
            <w:r w:rsidRPr="00EE44D0">
              <w:rPr>
                <w:i/>
              </w:rPr>
              <w:t>Safety certificate issued 2015</w:t>
            </w:r>
          </w:p>
        </w:tc>
      </w:tr>
      <w:tr w:rsidR="00507431" w:rsidTr="00C87860">
        <w:trPr>
          <w:trHeight w:val="20"/>
        </w:trPr>
        <w:tc>
          <w:tcPr>
            <w:tcW w:w="2552" w:type="dxa"/>
          </w:tcPr>
          <w:p w:rsidR="00E3058B" w:rsidRPr="00EE44D0" w:rsidRDefault="00DB14F7" w:rsidP="001C07B2">
            <w:pPr>
              <w:pStyle w:val="TableParagraph"/>
              <w:widowControl/>
              <w:spacing w:before="0" w:line="288" w:lineRule="auto"/>
              <w:ind w:left="0"/>
            </w:pPr>
            <w:r w:rsidRPr="00EE44D0">
              <w:t>4. Enefit Kaevandused AS</w:t>
            </w:r>
          </w:p>
        </w:tc>
        <w:tc>
          <w:tcPr>
            <w:tcW w:w="6520" w:type="dxa"/>
          </w:tcPr>
          <w:p w:rsidR="00E3058B" w:rsidRPr="00EE44D0" w:rsidRDefault="00DB14F7" w:rsidP="001C07B2">
            <w:pPr>
              <w:pStyle w:val="TableParagraph"/>
              <w:widowControl/>
              <w:spacing w:before="0" w:line="288" w:lineRule="auto"/>
              <w:ind w:left="0"/>
            </w:pPr>
            <w:r w:rsidRPr="00EE44D0">
              <w:t>Ohutustunnistus väljastatud 2015</w:t>
            </w:r>
          </w:p>
          <w:p w:rsidR="00E3058B" w:rsidRPr="00EE44D0" w:rsidRDefault="00DB14F7" w:rsidP="001C07B2">
            <w:pPr>
              <w:pStyle w:val="TableParagraph"/>
              <w:widowControl/>
              <w:spacing w:before="0" w:after="120" w:line="288" w:lineRule="auto"/>
              <w:ind w:left="0"/>
              <w:rPr>
                <w:i/>
              </w:rPr>
            </w:pPr>
            <w:r w:rsidRPr="00EE44D0">
              <w:rPr>
                <w:i/>
              </w:rPr>
              <w:t>Safety certificate issued 2015</w:t>
            </w:r>
          </w:p>
        </w:tc>
      </w:tr>
      <w:tr w:rsidR="00507431" w:rsidTr="00C87860">
        <w:trPr>
          <w:trHeight w:val="20"/>
        </w:trPr>
        <w:tc>
          <w:tcPr>
            <w:tcW w:w="2552" w:type="dxa"/>
            <w:tcBorders>
              <w:bottom w:val="single" w:sz="8" w:space="0" w:color="000000"/>
            </w:tcBorders>
          </w:tcPr>
          <w:p w:rsidR="00E3058B" w:rsidRPr="00EE44D0" w:rsidRDefault="00DB14F7" w:rsidP="001C07B2">
            <w:pPr>
              <w:pStyle w:val="TableParagraph"/>
              <w:widowControl/>
              <w:spacing w:before="0" w:line="288" w:lineRule="auto"/>
              <w:ind w:left="0"/>
            </w:pPr>
            <w:r w:rsidRPr="00EE44D0">
              <w:t>5. Edelaraudtee AS</w:t>
            </w:r>
          </w:p>
        </w:tc>
        <w:tc>
          <w:tcPr>
            <w:tcW w:w="6520" w:type="dxa"/>
            <w:tcBorders>
              <w:bottom w:val="single" w:sz="8" w:space="0" w:color="000000"/>
            </w:tcBorders>
          </w:tcPr>
          <w:p w:rsidR="00E3058B" w:rsidRPr="00EE44D0" w:rsidRDefault="00DB14F7" w:rsidP="001C07B2">
            <w:pPr>
              <w:pStyle w:val="TableParagraph"/>
              <w:widowControl/>
              <w:spacing w:before="0" w:line="288" w:lineRule="auto"/>
              <w:ind w:left="0"/>
            </w:pPr>
            <w:r w:rsidRPr="00EE44D0">
              <w:t>Ohutustunnistus väljastatud 2014</w:t>
            </w:r>
          </w:p>
          <w:p w:rsidR="00E3058B" w:rsidRPr="00EE44D0" w:rsidRDefault="00DB14F7" w:rsidP="001C07B2">
            <w:pPr>
              <w:pStyle w:val="TableParagraph"/>
              <w:widowControl/>
              <w:spacing w:before="0" w:after="120" w:line="288" w:lineRule="auto"/>
              <w:ind w:left="0"/>
              <w:rPr>
                <w:i/>
              </w:rPr>
            </w:pPr>
            <w:r w:rsidRPr="00EE44D0">
              <w:rPr>
                <w:i/>
              </w:rPr>
              <w:t>Safety certificate issued 2014</w:t>
            </w:r>
          </w:p>
        </w:tc>
      </w:tr>
      <w:tr w:rsidR="00507431" w:rsidTr="00C87860">
        <w:trPr>
          <w:trHeight w:val="20"/>
        </w:trPr>
        <w:tc>
          <w:tcPr>
            <w:tcW w:w="2552" w:type="dxa"/>
            <w:tcBorders>
              <w:bottom w:val="nil"/>
            </w:tcBorders>
          </w:tcPr>
          <w:p w:rsidR="00E3058B" w:rsidRPr="00EE44D0" w:rsidRDefault="00DB14F7" w:rsidP="001C07B2">
            <w:pPr>
              <w:pStyle w:val="TableParagraph"/>
              <w:widowControl/>
              <w:spacing w:before="0" w:line="288" w:lineRule="auto"/>
              <w:ind w:left="0"/>
            </w:pPr>
            <w:r w:rsidRPr="00EE44D0">
              <w:t>6. AS Kunda Trans</w:t>
            </w:r>
          </w:p>
        </w:tc>
        <w:tc>
          <w:tcPr>
            <w:tcW w:w="6520" w:type="dxa"/>
            <w:tcBorders>
              <w:bottom w:val="nil"/>
            </w:tcBorders>
          </w:tcPr>
          <w:p w:rsidR="00E3058B" w:rsidRPr="00EE44D0" w:rsidRDefault="00DB14F7" w:rsidP="001C07B2">
            <w:pPr>
              <w:pStyle w:val="TableParagraph"/>
              <w:widowControl/>
              <w:spacing w:before="0" w:line="288" w:lineRule="auto"/>
              <w:ind w:left="0"/>
            </w:pPr>
            <w:r w:rsidRPr="00EE44D0">
              <w:t>Ohutustunnistus väljastatud 2013</w:t>
            </w:r>
          </w:p>
          <w:p w:rsidR="00E3058B" w:rsidRPr="00EE44D0" w:rsidRDefault="00DB14F7" w:rsidP="001C07B2">
            <w:pPr>
              <w:pStyle w:val="TableParagraph"/>
              <w:widowControl/>
              <w:spacing w:before="0" w:after="120" w:line="288" w:lineRule="auto"/>
              <w:ind w:left="0"/>
              <w:rPr>
                <w:i/>
              </w:rPr>
            </w:pPr>
            <w:r w:rsidRPr="00EE44D0">
              <w:rPr>
                <w:i/>
              </w:rPr>
              <w:t>Safety certificate issued 2013</w:t>
            </w:r>
          </w:p>
        </w:tc>
      </w:tr>
    </w:tbl>
    <w:p w:rsidR="00E3058B" w:rsidRPr="00EE44D0" w:rsidRDefault="00E3058B" w:rsidP="001C07B2">
      <w:pPr>
        <w:widowControl/>
        <w:spacing w:line="288" w:lineRule="auto"/>
        <w:sectPr w:rsidR="00E3058B" w:rsidRPr="00EE44D0" w:rsidSect="005774F2">
          <w:headerReference w:type="even" r:id="rId12"/>
          <w:headerReference w:type="default" r:id="rId13"/>
          <w:footerReference w:type="even" r:id="rId14"/>
          <w:footerReference w:type="default" r:id="rId15"/>
          <w:headerReference w:type="first" r:id="rId16"/>
          <w:footerReference w:type="first" r:id="rId17"/>
          <w:type w:val="continuous"/>
          <w:pgSz w:w="11910" w:h="16840"/>
          <w:pgMar w:top="1418" w:right="1418" w:bottom="1418" w:left="1418" w:header="1134" w:footer="567" w:gutter="0"/>
          <w:cols w:space="720"/>
          <w:noEndnote/>
          <w:titlePg/>
          <w:docGrid w:linePitch="299"/>
        </w:sectPr>
      </w:pPr>
    </w:p>
    <w:tbl>
      <w:tblPr>
        <w:tblW w:w="0" w:type="auto"/>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51"/>
        <w:gridCol w:w="6521"/>
      </w:tblGrid>
      <w:tr w:rsidR="00507431" w:rsidTr="00C87860">
        <w:trPr>
          <w:trHeight w:hRule="exact" w:val="852"/>
        </w:trPr>
        <w:tc>
          <w:tcPr>
            <w:tcW w:w="2551" w:type="dxa"/>
          </w:tcPr>
          <w:p w:rsidR="00E3058B" w:rsidRPr="00EE44D0" w:rsidRDefault="00DB14F7" w:rsidP="001C07B2">
            <w:pPr>
              <w:pStyle w:val="TableParagraph"/>
              <w:widowControl/>
              <w:spacing w:before="0" w:line="288" w:lineRule="auto"/>
              <w:ind w:left="0"/>
            </w:pPr>
            <w:r w:rsidRPr="00EE44D0">
              <w:t>7. Vesta Terminal Tallinn OÜ</w:t>
            </w:r>
          </w:p>
        </w:tc>
        <w:tc>
          <w:tcPr>
            <w:tcW w:w="6521" w:type="dxa"/>
          </w:tcPr>
          <w:p w:rsidR="00E3058B" w:rsidRPr="00EE44D0" w:rsidRDefault="00DB14F7" w:rsidP="001C07B2">
            <w:pPr>
              <w:pStyle w:val="TableParagraph"/>
              <w:widowControl/>
              <w:spacing w:before="0" w:line="288" w:lineRule="auto"/>
              <w:ind w:left="0"/>
            </w:pPr>
            <w:r w:rsidRPr="00EE44D0">
              <w:t>Ohutustunnistus väljastatud 2013</w:t>
            </w:r>
          </w:p>
          <w:p w:rsidR="00E3058B" w:rsidRPr="00EE44D0" w:rsidRDefault="00DB14F7" w:rsidP="001C07B2">
            <w:pPr>
              <w:pStyle w:val="TableParagraph"/>
              <w:widowControl/>
              <w:spacing w:before="0" w:line="288" w:lineRule="auto"/>
              <w:ind w:left="0"/>
              <w:rPr>
                <w:i/>
              </w:rPr>
            </w:pPr>
            <w:r w:rsidRPr="00EE44D0">
              <w:rPr>
                <w:i/>
              </w:rPr>
              <w:t>Safety certificate issued 2013</w:t>
            </w:r>
          </w:p>
        </w:tc>
      </w:tr>
      <w:tr w:rsidR="00507431" w:rsidTr="00C87860">
        <w:trPr>
          <w:trHeight w:hRule="exact" w:val="802"/>
        </w:trPr>
        <w:tc>
          <w:tcPr>
            <w:tcW w:w="2551" w:type="dxa"/>
          </w:tcPr>
          <w:p w:rsidR="00E3058B" w:rsidRPr="00EE44D0" w:rsidRDefault="00DB14F7" w:rsidP="001C07B2">
            <w:pPr>
              <w:pStyle w:val="TableParagraph"/>
              <w:widowControl/>
              <w:spacing w:before="0" w:line="288" w:lineRule="auto"/>
              <w:ind w:left="0"/>
            </w:pPr>
            <w:r w:rsidRPr="00EE44D0">
              <w:t>8. Westgate Transport OÜ</w:t>
            </w:r>
          </w:p>
        </w:tc>
        <w:tc>
          <w:tcPr>
            <w:tcW w:w="6521" w:type="dxa"/>
          </w:tcPr>
          <w:p w:rsidR="00E3058B" w:rsidRPr="00EE44D0" w:rsidRDefault="00DB14F7" w:rsidP="001C07B2">
            <w:pPr>
              <w:pStyle w:val="TableParagraph"/>
              <w:widowControl/>
              <w:spacing w:before="0" w:line="288" w:lineRule="auto"/>
              <w:ind w:left="0"/>
            </w:pPr>
            <w:r w:rsidRPr="00EE44D0">
              <w:t>Ohutustunnistus väljastatud 2013</w:t>
            </w:r>
          </w:p>
          <w:p w:rsidR="00E3058B" w:rsidRPr="00EE44D0" w:rsidRDefault="00DB14F7" w:rsidP="001C07B2">
            <w:pPr>
              <w:pStyle w:val="TableParagraph"/>
              <w:widowControl/>
              <w:spacing w:before="0" w:line="288" w:lineRule="auto"/>
              <w:ind w:left="0"/>
              <w:rPr>
                <w:i/>
              </w:rPr>
            </w:pPr>
            <w:r w:rsidRPr="00EE44D0">
              <w:rPr>
                <w:i/>
              </w:rPr>
              <w:t>Safety certificate issued 2013</w:t>
            </w:r>
          </w:p>
        </w:tc>
      </w:tr>
      <w:tr w:rsidR="00507431" w:rsidTr="00C87860">
        <w:trPr>
          <w:trHeight w:hRule="exact" w:val="802"/>
        </w:trPr>
        <w:tc>
          <w:tcPr>
            <w:tcW w:w="2551" w:type="dxa"/>
          </w:tcPr>
          <w:p w:rsidR="00E3058B" w:rsidRPr="00EE44D0" w:rsidRDefault="00DB14F7" w:rsidP="001C07B2">
            <w:pPr>
              <w:pStyle w:val="TableParagraph"/>
              <w:widowControl/>
              <w:spacing w:before="0" w:line="288" w:lineRule="auto"/>
              <w:ind w:left="0"/>
            </w:pPr>
            <w:r w:rsidRPr="00EE44D0">
              <w:t>9. AS Maardu Raudtee</w:t>
            </w:r>
          </w:p>
        </w:tc>
        <w:tc>
          <w:tcPr>
            <w:tcW w:w="6521" w:type="dxa"/>
          </w:tcPr>
          <w:p w:rsidR="00E3058B" w:rsidRPr="00EE44D0" w:rsidRDefault="00DB14F7" w:rsidP="001C07B2">
            <w:pPr>
              <w:pStyle w:val="TableParagraph"/>
              <w:widowControl/>
              <w:spacing w:before="0" w:line="288" w:lineRule="auto"/>
              <w:ind w:left="0"/>
            </w:pPr>
            <w:r w:rsidRPr="00EE44D0">
              <w:t>Ohutustunnistus väljastatud 2013</w:t>
            </w:r>
          </w:p>
          <w:p w:rsidR="00E3058B" w:rsidRPr="00EE44D0" w:rsidRDefault="00DB14F7" w:rsidP="001C07B2">
            <w:pPr>
              <w:pStyle w:val="TableParagraph"/>
              <w:widowControl/>
              <w:spacing w:before="0" w:line="288" w:lineRule="auto"/>
              <w:ind w:left="0"/>
              <w:rPr>
                <w:i/>
              </w:rPr>
            </w:pPr>
            <w:r w:rsidRPr="00EE44D0">
              <w:rPr>
                <w:i/>
              </w:rPr>
              <w:t>Safety certificate issued 2013</w:t>
            </w:r>
          </w:p>
        </w:tc>
      </w:tr>
      <w:tr w:rsidR="00507431" w:rsidTr="00C87860">
        <w:trPr>
          <w:trHeight w:hRule="exact" w:val="802"/>
        </w:trPr>
        <w:tc>
          <w:tcPr>
            <w:tcW w:w="2551" w:type="dxa"/>
          </w:tcPr>
          <w:p w:rsidR="00E3058B" w:rsidRPr="00EE44D0" w:rsidRDefault="00DB14F7" w:rsidP="001C07B2">
            <w:pPr>
              <w:pStyle w:val="TableParagraph"/>
              <w:widowControl/>
              <w:spacing w:before="0" w:line="288" w:lineRule="auto"/>
              <w:ind w:left="0"/>
            </w:pPr>
            <w:r w:rsidRPr="00EE44D0">
              <w:t>10. Dekoil OÜ</w:t>
            </w:r>
          </w:p>
        </w:tc>
        <w:tc>
          <w:tcPr>
            <w:tcW w:w="6521" w:type="dxa"/>
          </w:tcPr>
          <w:p w:rsidR="00E3058B" w:rsidRPr="00EE44D0" w:rsidRDefault="00DB14F7" w:rsidP="001C07B2">
            <w:pPr>
              <w:pStyle w:val="TableParagraph"/>
              <w:widowControl/>
              <w:spacing w:before="0" w:line="288" w:lineRule="auto"/>
              <w:ind w:left="0"/>
            </w:pPr>
            <w:r w:rsidRPr="00EE44D0">
              <w:t>Ohutustunnistus väljastatud 2013</w:t>
            </w:r>
          </w:p>
          <w:p w:rsidR="00E3058B" w:rsidRPr="00EE44D0" w:rsidRDefault="00DB14F7" w:rsidP="001C07B2">
            <w:pPr>
              <w:pStyle w:val="TableParagraph"/>
              <w:widowControl/>
              <w:spacing w:before="0" w:line="288" w:lineRule="auto"/>
              <w:ind w:left="0"/>
              <w:rPr>
                <w:i/>
              </w:rPr>
            </w:pPr>
            <w:r w:rsidRPr="00EE44D0">
              <w:rPr>
                <w:i/>
              </w:rPr>
              <w:t>Safety certificate issued 2013</w:t>
            </w:r>
          </w:p>
        </w:tc>
      </w:tr>
      <w:tr w:rsidR="00507431" w:rsidTr="00C87860">
        <w:trPr>
          <w:trHeight w:hRule="exact" w:val="802"/>
        </w:trPr>
        <w:tc>
          <w:tcPr>
            <w:tcW w:w="2551" w:type="dxa"/>
          </w:tcPr>
          <w:p w:rsidR="00E3058B" w:rsidRPr="00EE44D0" w:rsidRDefault="00DB14F7" w:rsidP="001C07B2">
            <w:pPr>
              <w:pStyle w:val="TableParagraph"/>
              <w:widowControl/>
              <w:spacing w:before="0" w:line="288" w:lineRule="auto"/>
              <w:ind w:left="0"/>
            </w:pPr>
            <w:r w:rsidRPr="00EE44D0">
              <w:t>11. AS Railservis</w:t>
            </w:r>
          </w:p>
        </w:tc>
        <w:tc>
          <w:tcPr>
            <w:tcW w:w="6521" w:type="dxa"/>
          </w:tcPr>
          <w:p w:rsidR="00E3058B" w:rsidRPr="00EE44D0" w:rsidRDefault="00DB14F7" w:rsidP="001C07B2">
            <w:pPr>
              <w:pStyle w:val="TableParagraph"/>
              <w:widowControl/>
              <w:spacing w:before="0" w:line="288" w:lineRule="auto"/>
              <w:ind w:left="0"/>
            </w:pPr>
            <w:r w:rsidRPr="00EE44D0">
              <w:t>Ohutustunnistus väljastatud 2013</w:t>
            </w:r>
          </w:p>
          <w:p w:rsidR="00E3058B" w:rsidRPr="00EE44D0" w:rsidRDefault="00DB14F7" w:rsidP="001C07B2">
            <w:pPr>
              <w:pStyle w:val="TableParagraph"/>
              <w:widowControl/>
              <w:spacing w:before="0" w:line="288" w:lineRule="auto"/>
              <w:ind w:left="0"/>
              <w:rPr>
                <w:i/>
              </w:rPr>
            </w:pPr>
            <w:r w:rsidRPr="00EE44D0">
              <w:rPr>
                <w:i/>
              </w:rPr>
              <w:t>Safety certificate issued 2013</w:t>
            </w:r>
          </w:p>
        </w:tc>
      </w:tr>
      <w:tr w:rsidR="00507431" w:rsidTr="00C87860">
        <w:trPr>
          <w:trHeight w:hRule="exact" w:val="804"/>
        </w:trPr>
        <w:tc>
          <w:tcPr>
            <w:tcW w:w="2551" w:type="dxa"/>
          </w:tcPr>
          <w:p w:rsidR="00E3058B" w:rsidRPr="00EE44D0" w:rsidRDefault="00DB14F7" w:rsidP="001C07B2">
            <w:pPr>
              <w:pStyle w:val="TableParagraph"/>
              <w:widowControl/>
              <w:spacing w:before="0" w:line="288" w:lineRule="auto"/>
              <w:ind w:left="0"/>
            </w:pPr>
            <w:r w:rsidRPr="00EE44D0">
              <w:t>12. AS Sillamäe Sadam</w:t>
            </w:r>
          </w:p>
        </w:tc>
        <w:tc>
          <w:tcPr>
            <w:tcW w:w="6521" w:type="dxa"/>
          </w:tcPr>
          <w:p w:rsidR="00E3058B" w:rsidRPr="00EE44D0" w:rsidRDefault="00DB14F7" w:rsidP="001C07B2">
            <w:pPr>
              <w:pStyle w:val="TableParagraph"/>
              <w:widowControl/>
              <w:spacing w:before="0" w:line="288" w:lineRule="auto"/>
              <w:ind w:left="0"/>
            </w:pPr>
            <w:r w:rsidRPr="00EE44D0">
              <w:t>Ohutustunnistus väljastatud 2013</w:t>
            </w:r>
          </w:p>
          <w:p w:rsidR="00E3058B" w:rsidRPr="00EE44D0" w:rsidRDefault="00DB14F7" w:rsidP="001C07B2">
            <w:pPr>
              <w:pStyle w:val="TableParagraph"/>
              <w:widowControl/>
              <w:spacing w:before="0" w:line="288" w:lineRule="auto"/>
              <w:ind w:left="0"/>
              <w:rPr>
                <w:i/>
              </w:rPr>
            </w:pPr>
            <w:r w:rsidRPr="00EE44D0">
              <w:rPr>
                <w:i/>
              </w:rPr>
              <w:t>Safety certificate issued 2013</w:t>
            </w:r>
          </w:p>
        </w:tc>
      </w:tr>
      <w:tr w:rsidR="00507431" w:rsidTr="00C87860">
        <w:trPr>
          <w:trHeight w:hRule="exact" w:val="806"/>
        </w:trPr>
        <w:tc>
          <w:tcPr>
            <w:tcW w:w="2551" w:type="dxa"/>
          </w:tcPr>
          <w:p w:rsidR="00E3058B" w:rsidRPr="00EE44D0" w:rsidRDefault="00DB14F7" w:rsidP="001C07B2">
            <w:pPr>
              <w:pStyle w:val="TableParagraph"/>
              <w:widowControl/>
              <w:spacing w:before="0" w:line="288" w:lineRule="auto"/>
              <w:ind w:left="0"/>
            </w:pPr>
            <w:r w:rsidRPr="00EE44D0">
              <w:t>13. Leonhard Weiss RTE AS</w:t>
            </w:r>
          </w:p>
        </w:tc>
        <w:tc>
          <w:tcPr>
            <w:tcW w:w="6521" w:type="dxa"/>
          </w:tcPr>
          <w:p w:rsidR="00E3058B" w:rsidRPr="00EE44D0" w:rsidRDefault="00DB14F7" w:rsidP="001C07B2">
            <w:pPr>
              <w:pStyle w:val="TableParagraph"/>
              <w:widowControl/>
              <w:spacing w:before="0" w:line="288" w:lineRule="auto"/>
              <w:ind w:left="0"/>
            </w:pPr>
            <w:r w:rsidRPr="00EE44D0">
              <w:t>Ohutustunnistus väljastatud 2012</w:t>
            </w:r>
          </w:p>
          <w:p w:rsidR="00E3058B" w:rsidRPr="00EE44D0" w:rsidRDefault="00DB14F7" w:rsidP="001C07B2">
            <w:pPr>
              <w:pStyle w:val="TableParagraph"/>
              <w:widowControl/>
              <w:spacing w:before="0" w:line="288" w:lineRule="auto"/>
              <w:ind w:left="0"/>
              <w:rPr>
                <w:i/>
              </w:rPr>
            </w:pPr>
            <w:r w:rsidRPr="00EE44D0">
              <w:rPr>
                <w:i/>
              </w:rPr>
              <w:t>Safety certificate issued 2012</w:t>
            </w:r>
          </w:p>
        </w:tc>
      </w:tr>
      <w:tr w:rsidR="00507431" w:rsidTr="00C87860">
        <w:trPr>
          <w:trHeight w:hRule="exact" w:val="1160"/>
        </w:trPr>
        <w:tc>
          <w:tcPr>
            <w:tcW w:w="9072" w:type="dxa"/>
            <w:gridSpan w:val="2"/>
          </w:tcPr>
          <w:p w:rsidR="00E3058B" w:rsidRPr="00EE44D0" w:rsidRDefault="00DB14F7" w:rsidP="001C07B2">
            <w:pPr>
              <w:pStyle w:val="TableParagraph"/>
              <w:widowControl/>
              <w:spacing w:before="0" w:line="288" w:lineRule="auto"/>
              <w:ind w:left="0"/>
              <w:rPr>
                <w:b/>
              </w:rPr>
            </w:pPr>
            <w:r w:rsidRPr="00EE44D0">
              <w:rPr>
                <w:b/>
              </w:rPr>
              <w:t xml:space="preserve">Railway </w:t>
            </w:r>
            <w:r w:rsidRPr="00EE44D0">
              <w:rPr>
                <w:b/>
              </w:rPr>
              <w:t>companies involved in transporting passengers in Estonia</w:t>
            </w:r>
          </w:p>
          <w:p w:rsidR="00E3058B" w:rsidRPr="00EE44D0" w:rsidRDefault="00DB14F7" w:rsidP="001C07B2">
            <w:pPr>
              <w:pStyle w:val="TableParagraph"/>
              <w:widowControl/>
              <w:spacing w:before="0" w:line="288" w:lineRule="auto"/>
              <w:ind w:left="0"/>
              <w:rPr>
                <w:i/>
              </w:rPr>
            </w:pPr>
            <w:r w:rsidRPr="00EE44D0">
              <w:rPr>
                <w:i/>
              </w:rPr>
              <w:t>Railway undertakings (passenger)</w:t>
            </w:r>
          </w:p>
        </w:tc>
      </w:tr>
      <w:tr w:rsidR="00507431" w:rsidTr="00C87860">
        <w:trPr>
          <w:trHeight w:hRule="exact" w:val="1385"/>
        </w:trPr>
        <w:tc>
          <w:tcPr>
            <w:tcW w:w="2551" w:type="dxa"/>
          </w:tcPr>
          <w:p w:rsidR="00E3058B" w:rsidRPr="00EE44D0" w:rsidRDefault="00DB14F7" w:rsidP="001C07B2">
            <w:pPr>
              <w:pStyle w:val="TableParagraph"/>
              <w:widowControl/>
              <w:spacing w:before="0" w:line="288" w:lineRule="auto"/>
              <w:ind w:left="0"/>
            </w:pPr>
            <w:r w:rsidRPr="00EE44D0">
              <w:t>1. GoRail AS</w:t>
            </w:r>
          </w:p>
        </w:tc>
        <w:tc>
          <w:tcPr>
            <w:tcW w:w="6521" w:type="dxa"/>
          </w:tcPr>
          <w:p w:rsidR="00E3058B" w:rsidRPr="00EE44D0" w:rsidRDefault="00DB14F7" w:rsidP="001C07B2">
            <w:pPr>
              <w:pStyle w:val="TableParagraph"/>
              <w:widowControl/>
              <w:spacing w:before="0" w:line="288" w:lineRule="auto"/>
              <w:ind w:left="0"/>
            </w:pPr>
            <w:r w:rsidRPr="00EE44D0">
              <w:t>Rahvusvaheline reisijatevedu</w:t>
            </w:r>
            <w:r w:rsidRPr="00EE44D0">
              <w:tab/>
              <w:t>veduriteenuse osutamisena Tallinn-Peterburg-</w:t>
            </w:r>
            <w:r w:rsidRPr="00EE44D0">
              <w:rPr>
                <w:spacing w:val="-11"/>
              </w:rPr>
              <w:t xml:space="preserve"> </w:t>
            </w:r>
            <w:r w:rsidRPr="00EE44D0">
              <w:t>Moskva</w:t>
            </w:r>
          </w:p>
          <w:p w:rsidR="00E3058B" w:rsidRPr="00EE44D0" w:rsidRDefault="00DB14F7" w:rsidP="001C07B2">
            <w:pPr>
              <w:pStyle w:val="TableParagraph"/>
              <w:widowControl/>
              <w:spacing w:before="0" w:line="288" w:lineRule="auto"/>
              <w:ind w:left="0"/>
              <w:rPr>
                <w:i/>
              </w:rPr>
            </w:pPr>
            <w:r w:rsidRPr="00EE44D0">
              <w:rPr>
                <w:i/>
              </w:rPr>
              <w:t>Providing locomotive running service</w:t>
            </w:r>
            <w:r w:rsidRPr="00EE44D0">
              <w:tab/>
            </w:r>
            <w:r w:rsidRPr="00EE44D0">
              <w:rPr>
                <w:i/>
              </w:rPr>
              <w:t xml:space="preserve"> in </w:t>
            </w:r>
            <w:r w:rsidRPr="00EE44D0">
              <w:rPr>
                <w:i/>
                <w:spacing w:val="-1"/>
              </w:rPr>
              <w:t xml:space="preserve">international </w:t>
            </w:r>
            <w:r w:rsidRPr="00EE44D0">
              <w:rPr>
                <w:i/>
              </w:rPr>
              <w:t xml:space="preserve">passenger-train </w:t>
            </w:r>
            <w:r w:rsidRPr="00EE44D0">
              <w:rPr>
                <w:i/>
              </w:rPr>
              <w:t>service Tallinn-St. Petersburg -</w:t>
            </w:r>
            <w:r w:rsidRPr="00EE44D0">
              <w:rPr>
                <w:i/>
                <w:spacing w:val="-15"/>
              </w:rPr>
              <w:t xml:space="preserve"> </w:t>
            </w:r>
            <w:r w:rsidRPr="00EE44D0">
              <w:rPr>
                <w:i/>
              </w:rPr>
              <w:t>Moscow</w:t>
            </w:r>
          </w:p>
        </w:tc>
      </w:tr>
      <w:tr w:rsidR="00507431" w:rsidTr="00C87860">
        <w:trPr>
          <w:trHeight w:hRule="exact" w:val="852"/>
        </w:trPr>
        <w:tc>
          <w:tcPr>
            <w:tcW w:w="2551" w:type="dxa"/>
          </w:tcPr>
          <w:p w:rsidR="00E3058B" w:rsidRPr="00EE44D0" w:rsidRDefault="00DB14F7" w:rsidP="001C07B2">
            <w:pPr>
              <w:pStyle w:val="TableParagraph"/>
              <w:widowControl/>
              <w:spacing w:before="0" w:line="288" w:lineRule="auto"/>
              <w:ind w:left="0"/>
            </w:pPr>
            <w:r w:rsidRPr="00EE44D0">
              <w:t>2. Eesti Liinirongid AS (Elron)</w:t>
            </w:r>
          </w:p>
        </w:tc>
        <w:tc>
          <w:tcPr>
            <w:tcW w:w="6521" w:type="dxa"/>
          </w:tcPr>
          <w:p w:rsidR="00E3058B" w:rsidRPr="00EE44D0" w:rsidRDefault="00DB14F7" w:rsidP="001C07B2">
            <w:pPr>
              <w:pStyle w:val="TableParagraph"/>
              <w:widowControl/>
              <w:spacing w:before="0" w:line="288" w:lineRule="auto"/>
              <w:ind w:left="0"/>
            </w:pPr>
            <w:r w:rsidRPr="00EE44D0">
              <w:t>Riigisisene reisijatevedu diisel- ja elektrirongidega</w:t>
            </w:r>
          </w:p>
          <w:p w:rsidR="00E3058B" w:rsidRPr="00EE44D0" w:rsidRDefault="00DB14F7" w:rsidP="001C07B2">
            <w:pPr>
              <w:pStyle w:val="TableParagraph"/>
              <w:widowControl/>
              <w:spacing w:before="0" w:line="288" w:lineRule="auto"/>
              <w:ind w:left="0"/>
              <w:rPr>
                <w:i/>
              </w:rPr>
            </w:pPr>
            <w:r w:rsidRPr="00EE44D0">
              <w:rPr>
                <w:i/>
              </w:rPr>
              <w:t>National passenger-train service by EMU-s and DMU-s</w:t>
            </w:r>
          </w:p>
        </w:tc>
      </w:tr>
      <w:tr w:rsidR="00507431" w:rsidTr="00C87860">
        <w:trPr>
          <w:trHeight w:hRule="exact" w:val="804"/>
        </w:trPr>
        <w:tc>
          <w:tcPr>
            <w:tcW w:w="2551" w:type="dxa"/>
          </w:tcPr>
          <w:p w:rsidR="00E3058B" w:rsidRPr="00EE44D0" w:rsidRDefault="00DB14F7" w:rsidP="001C07B2">
            <w:pPr>
              <w:pStyle w:val="TableParagraph"/>
              <w:widowControl/>
              <w:spacing w:before="0" w:line="288" w:lineRule="auto"/>
              <w:ind w:left="0"/>
            </w:pPr>
            <w:r w:rsidRPr="00EE44D0">
              <w:t>3. Edelaraudtee AS</w:t>
            </w:r>
          </w:p>
        </w:tc>
        <w:tc>
          <w:tcPr>
            <w:tcW w:w="6521" w:type="dxa"/>
          </w:tcPr>
          <w:p w:rsidR="00E3058B" w:rsidRPr="00EE44D0" w:rsidRDefault="00DB14F7" w:rsidP="001C07B2">
            <w:pPr>
              <w:pStyle w:val="TableParagraph"/>
              <w:widowControl/>
              <w:spacing w:before="0" w:line="288" w:lineRule="auto"/>
              <w:ind w:left="0"/>
            </w:pPr>
            <w:r w:rsidRPr="00EE44D0">
              <w:t>Riigisisene reisijatevedu diiselrongidega</w:t>
            </w:r>
          </w:p>
          <w:p w:rsidR="00E3058B" w:rsidRPr="00EE44D0" w:rsidRDefault="00DB14F7" w:rsidP="001C07B2">
            <w:pPr>
              <w:pStyle w:val="TableParagraph"/>
              <w:widowControl/>
              <w:spacing w:before="0" w:line="288" w:lineRule="auto"/>
              <w:ind w:left="0"/>
              <w:rPr>
                <w:i/>
              </w:rPr>
            </w:pPr>
            <w:r w:rsidRPr="00EE44D0">
              <w:rPr>
                <w:i/>
              </w:rPr>
              <w:t xml:space="preserve">National </w:t>
            </w:r>
            <w:r w:rsidRPr="00EE44D0">
              <w:rPr>
                <w:i/>
              </w:rPr>
              <w:t>passenger-train service by DMU-s</w:t>
            </w:r>
          </w:p>
        </w:tc>
      </w:tr>
    </w:tbl>
    <w:p w:rsidR="00E3058B" w:rsidRPr="00EE44D0" w:rsidRDefault="00E3058B" w:rsidP="001C07B2">
      <w:pPr>
        <w:pStyle w:val="BodyText"/>
        <w:widowControl/>
        <w:spacing w:after="240" w:line="288" w:lineRule="auto"/>
        <w:rPr>
          <w:sz w:val="20"/>
        </w:rPr>
      </w:pPr>
    </w:p>
    <w:p w:rsidR="00E3058B" w:rsidRPr="00EE44D0" w:rsidRDefault="00DB14F7" w:rsidP="001C07B2">
      <w:pPr>
        <w:pStyle w:val="Heading2"/>
        <w:keepNext/>
        <w:widowControl/>
        <w:numPr>
          <w:ilvl w:val="1"/>
          <w:numId w:val="2"/>
        </w:numPr>
        <w:spacing w:after="240" w:line="288" w:lineRule="auto"/>
        <w:ind w:left="0" w:firstLine="0"/>
      </w:pPr>
      <w:bookmarkStart w:id="25" w:name="_bookmark8"/>
      <w:bookmarkStart w:id="26" w:name="_Toc496109856"/>
      <w:bookmarkStart w:id="27" w:name="_Toc499795572"/>
      <w:bookmarkEnd w:id="25"/>
      <w:r w:rsidRPr="00EE44D0">
        <w:t>Summary – an analysis of general trends (railway safety development)</w:t>
      </w:r>
      <w:bookmarkEnd w:id="26"/>
      <w:bookmarkEnd w:id="27"/>
    </w:p>
    <w:p w:rsidR="00E3058B" w:rsidRPr="00EE44D0" w:rsidRDefault="00DB14F7" w:rsidP="001C07B2">
      <w:pPr>
        <w:pStyle w:val="BodyText"/>
        <w:widowControl/>
        <w:spacing w:after="240" w:line="288" w:lineRule="auto"/>
        <w:jc w:val="both"/>
      </w:pPr>
      <w:r w:rsidRPr="00EE44D0">
        <w:t xml:space="preserve">In order to assess the level of railway safety and the quality of train services, we have taken into account safety indicators related to accidents and </w:t>
      </w:r>
      <w:r w:rsidRPr="00EE44D0">
        <w:t>incidents that have occurred during the year.</w:t>
      </w:r>
    </w:p>
    <w:p w:rsidR="00E3058B" w:rsidRPr="00EE44D0" w:rsidRDefault="00DB14F7" w:rsidP="001C07B2">
      <w:pPr>
        <w:pStyle w:val="BodyText"/>
        <w:widowControl/>
        <w:spacing w:after="240" w:line="288" w:lineRule="auto"/>
        <w:jc w:val="both"/>
      </w:pPr>
      <w:r w:rsidRPr="00EE44D0">
        <w:t>When calculating the level of railway safety, three indicators are used – the number of deaths, the number of injuries, and the number of suicides. In the case of railway traffic safety levels, cases that influ</w:t>
      </w:r>
      <w:r w:rsidRPr="00EE44D0">
        <w:t>ence railway traffic safety (such as incidents involving signals passed at danger), technical incidents (such as rail breakages), and third party-related cases that include rolling stock collisions with obstacles in free dimensions, and road vehicle collis</w:t>
      </w:r>
      <w:r w:rsidRPr="00EE44D0">
        <w:t>ions involving</w:t>
      </w:r>
      <w:r w:rsidR="00CE18AC">
        <w:t xml:space="preserve"> </w:t>
      </w:r>
      <w:r w:rsidRPr="00EE44D0">
        <w:t>rolling stock at level crossings. These three indicators each have a different share of safety indicators. In the case of both public railway safety levels and railway traffic safety levels, the result is a ratio which depends upon the numbe</w:t>
      </w:r>
      <w:r w:rsidRPr="00EE44D0">
        <w:t>r of train-kilometres travelled.</w:t>
      </w:r>
    </w:p>
    <w:p w:rsidR="00E3058B" w:rsidRPr="00EE44D0" w:rsidRDefault="00DB14F7" w:rsidP="001C07B2">
      <w:pPr>
        <w:pStyle w:val="BodyText"/>
        <w:widowControl/>
        <w:spacing w:after="240" w:line="288" w:lineRule="auto"/>
        <w:jc w:val="both"/>
      </w:pPr>
      <w:r w:rsidRPr="00EE44D0">
        <w:t>When compared to previous years, public railway safety levels have improved significantly (from 0.26 to 0.10), with the main reason being the fewer number of deaths. When compared to 2016, the railway traffic safety level h</w:t>
      </w:r>
      <w:r w:rsidRPr="00EE44D0">
        <w:t>as deteriorated somewhat (from 0.74 to 0.80), which can be explained by technical incidents and the higher total number of third party-related cases.</w:t>
      </w:r>
    </w:p>
    <w:p w:rsidR="00E3058B" w:rsidRPr="00EE44D0" w:rsidRDefault="00DB14F7" w:rsidP="001C07B2">
      <w:pPr>
        <w:pStyle w:val="BodyText"/>
        <w:widowControl/>
        <w:spacing w:after="240" w:line="288" w:lineRule="auto"/>
        <w:jc w:val="both"/>
      </w:pPr>
      <w:r w:rsidRPr="00EE44D0">
        <w:t>In 2016, processing of the 2030+ county plans was fully completed. In total, 12 county plans and seven com</w:t>
      </w:r>
      <w:r w:rsidRPr="00EE44D0">
        <w:t>prehensive plans were processed. It should be noted the people responsible for drafting the plans have started to add issues to the explanatory notes for the plans where these are related to railway safety. In details which describe level crossings, attent</w:t>
      </w:r>
      <w:r w:rsidRPr="00EE44D0">
        <w:t>ion is paid to visibility.</w:t>
      </w:r>
    </w:p>
    <w:p w:rsidR="00E3058B" w:rsidRPr="00EE44D0" w:rsidRDefault="00DB14F7" w:rsidP="001C07B2">
      <w:pPr>
        <w:pStyle w:val="Heading3"/>
        <w:widowControl/>
        <w:spacing w:after="240" w:line="288" w:lineRule="auto"/>
        <w:ind w:left="0"/>
      </w:pPr>
      <w:bookmarkStart w:id="28" w:name="_bookmark9"/>
      <w:bookmarkStart w:id="29" w:name="_Toc496109857"/>
      <w:bookmarkStart w:id="30" w:name="_Toc499795573"/>
      <w:bookmarkEnd w:id="28"/>
      <w:r w:rsidRPr="00EE44D0">
        <w:t>LISA B.3.1/ANNEX B.3.1</w:t>
      </w:r>
      <w:bookmarkEnd w:id="29"/>
      <w:bookmarkEnd w:id="30"/>
    </w:p>
    <w:p w:rsidR="00E3058B" w:rsidRPr="00EE44D0" w:rsidRDefault="00DB14F7" w:rsidP="001C07B2">
      <w:pPr>
        <w:widowControl/>
        <w:spacing w:after="240" w:line="288" w:lineRule="auto"/>
        <w:jc w:val="both"/>
        <w:rPr>
          <w:i/>
        </w:rPr>
      </w:pPr>
      <w:r w:rsidRPr="00EE44D0">
        <w:t xml:space="preserve">Raudteeveeremi ja maanteesõiduki kokkupõrked raudteeületuskohtadel (2006-2016) / </w:t>
      </w:r>
      <w:r w:rsidRPr="00EE44D0">
        <w:rPr>
          <w:i/>
        </w:rPr>
        <w:t>Level crossing accidents (excluding accidents involving pedestrians at level crossings), collisions (2006-2016)</w:t>
      </w:r>
    </w:p>
    <w:p w:rsidR="006D6ED6" w:rsidRPr="00EE44D0" w:rsidRDefault="00DB14F7" w:rsidP="001C07B2">
      <w:pPr>
        <w:pStyle w:val="BodyText"/>
        <w:widowControl/>
        <w:spacing w:after="240" w:line="288" w:lineRule="auto"/>
        <w:rPr>
          <w:i/>
          <w:sz w:val="27"/>
        </w:rPr>
      </w:pPr>
      <w:r w:rsidRPr="00EE44D0">
        <w:rPr>
          <w:noProof/>
          <w:lang w:val="en-US" w:eastAsia="zh-CN" w:bidi="ar-SA"/>
        </w:rPr>
        <w:drawing>
          <wp:inline distT="0" distB="0" distL="0" distR="0">
            <wp:extent cx="5391150" cy="3533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791124" name=""/>
                    <pic:cNvPicPr/>
                  </pic:nvPicPr>
                  <pic:blipFill>
                    <a:blip r:embed="rId18"/>
                    <a:stretch>
                      <a:fillRect/>
                    </a:stretch>
                  </pic:blipFill>
                  <pic:spPr>
                    <a:xfrm>
                      <a:off x="0" y="0"/>
                      <a:ext cx="5391150" cy="3533775"/>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4535"/>
      </w:tblGrid>
      <w:tr w:rsidR="00507431" w:rsidTr="00222D39">
        <w:tc>
          <w:tcPr>
            <w:tcW w:w="4535" w:type="dxa"/>
            <w:shd w:val="clear" w:color="auto" w:fill="auto"/>
          </w:tcPr>
          <w:p w:rsidR="006D6ED6" w:rsidRPr="00EE44D0" w:rsidRDefault="00DB14F7" w:rsidP="001C07B2">
            <w:pPr>
              <w:widowControl/>
              <w:spacing w:line="286" w:lineRule="exact"/>
              <w:rPr>
                <w:rFonts w:ascii="Calibri" w:hAnsi="Calibri"/>
                <w:color w:val="585858"/>
                <w:sz w:val="20"/>
                <w:szCs w:val="20"/>
              </w:rPr>
            </w:pPr>
            <w:r w:rsidRPr="00EE44D0">
              <w:rPr>
                <w:rFonts w:ascii="Calibri" w:hAnsi="Calibri"/>
                <w:color w:val="585858"/>
                <w:sz w:val="20"/>
              </w:rPr>
              <w:t>Raudteeveer</w:t>
            </w:r>
            <w:r w:rsidRPr="00EE44D0">
              <w:rPr>
                <w:rFonts w:ascii="Calibri" w:hAnsi="Calibri"/>
                <w:color w:val="585858"/>
                <w:sz w:val="20"/>
              </w:rPr>
              <w:t>emi ja maanteesõiduki kokkupõrked raudteeületuskohtadel (2006-2016)</w:t>
            </w:r>
          </w:p>
        </w:tc>
        <w:tc>
          <w:tcPr>
            <w:tcW w:w="4535" w:type="dxa"/>
          </w:tcPr>
          <w:p w:rsidR="006D6ED6" w:rsidRPr="00EE44D0" w:rsidRDefault="00DB14F7" w:rsidP="001C07B2">
            <w:pPr>
              <w:widowControl/>
              <w:spacing w:line="286" w:lineRule="exact"/>
              <w:rPr>
                <w:rFonts w:ascii="Calibri" w:hAnsi="Calibri"/>
                <w:color w:val="585858"/>
                <w:sz w:val="20"/>
                <w:szCs w:val="20"/>
              </w:rPr>
            </w:pPr>
            <w:r w:rsidRPr="00EE44D0">
              <w:rPr>
                <w:rFonts w:ascii="Calibri" w:hAnsi="Calibri"/>
                <w:color w:val="585858"/>
                <w:sz w:val="20"/>
              </w:rPr>
              <w:t>Level crossing accidents involving the railway and road vehicles (2006-2016)</w:t>
            </w:r>
          </w:p>
        </w:tc>
      </w:tr>
      <w:tr w:rsidR="00507431" w:rsidTr="00222D39">
        <w:tc>
          <w:tcPr>
            <w:tcW w:w="4535" w:type="dxa"/>
            <w:shd w:val="clear" w:color="auto" w:fill="auto"/>
          </w:tcPr>
          <w:p w:rsidR="006D6ED6" w:rsidRPr="00EE44D0" w:rsidRDefault="00DB14F7" w:rsidP="001C07B2">
            <w:pPr>
              <w:widowControl/>
              <w:spacing w:line="286" w:lineRule="exact"/>
              <w:rPr>
                <w:rFonts w:ascii="Calibri"/>
                <w:sz w:val="20"/>
                <w:szCs w:val="20"/>
              </w:rPr>
            </w:pPr>
            <w:r w:rsidRPr="00EE44D0">
              <w:rPr>
                <w:rFonts w:ascii="Calibri" w:hAnsi="Calibri"/>
                <w:color w:val="585858"/>
                <w:sz w:val="20"/>
              </w:rPr>
              <w:t>Hukkunud</w:t>
            </w:r>
          </w:p>
        </w:tc>
        <w:tc>
          <w:tcPr>
            <w:tcW w:w="4535" w:type="dxa"/>
          </w:tcPr>
          <w:p w:rsidR="006D6ED6" w:rsidRPr="00EE44D0" w:rsidRDefault="00DB14F7" w:rsidP="001C07B2">
            <w:pPr>
              <w:widowControl/>
              <w:spacing w:line="286" w:lineRule="exact"/>
              <w:rPr>
                <w:rFonts w:ascii="Calibri"/>
                <w:sz w:val="20"/>
                <w:szCs w:val="20"/>
              </w:rPr>
            </w:pPr>
            <w:r w:rsidRPr="00EE44D0">
              <w:rPr>
                <w:rFonts w:ascii="Calibri" w:hAnsi="Calibri"/>
                <w:color w:val="585858"/>
                <w:sz w:val="20"/>
              </w:rPr>
              <w:t>Deaths</w:t>
            </w:r>
          </w:p>
        </w:tc>
      </w:tr>
    </w:tbl>
    <w:p w:rsidR="006D6ED6" w:rsidRPr="00EE44D0" w:rsidRDefault="006D6ED6" w:rsidP="001C07B2">
      <w:pPr>
        <w:widowControl/>
        <w:spacing w:line="286" w:lineRule="exact"/>
        <w:ind w:left="88" w:right="18"/>
        <w:jc w:val="center"/>
        <w:rPr>
          <w:rFonts w:ascii="Calibri" w:hAnsi="Calibri"/>
          <w:sz w:val="28"/>
        </w:rPr>
      </w:pPr>
    </w:p>
    <w:p w:rsidR="00E3058B" w:rsidRPr="00EE44D0" w:rsidRDefault="00DB14F7" w:rsidP="001C07B2">
      <w:pPr>
        <w:pStyle w:val="BodyText"/>
        <w:widowControl/>
        <w:spacing w:after="240" w:line="288" w:lineRule="auto"/>
        <w:jc w:val="both"/>
      </w:pPr>
      <w:r w:rsidRPr="00EE44D0">
        <w:t xml:space="preserve">In 2016, there were a total of 13 railway accidents, a significantly lower number than </w:t>
      </w:r>
      <w:r w:rsidRPr="00EE44D0">
        <w:t>in 2015 and 2014 (where there were 19 and 20 accidents respectively). There were eight collisions between motor or all-terrain vehicles (ATV) and trains. A total of seven persons were injured in accidents, three of them in collisions.</w:t>
      </w:r>
    </w:p>
    <w:p w:rsidR="00E3058B" w:rsidRPr="00EE44D0" w:rsidRDefault="00DB14F7" w:rsidP="001C07B2">
      <w:pPr>
        <w:pStyle w:val="BodyText"/>
        <w:widowControl/>
        <w:spacing w:after="240" w:line="288" w:lineRule="auto"/>
        <w:jc w:val="both"/>
      </w:pPr>
      <w:r w:rsidRPr="00EE44D0">
        <w:t>The main cause of acc</w:t>
      </w:r>
      <w:r w:rsidRPr="00EE44D0">
        <w:t>idents is the lack of attention paid by road users and an underestimation of the risks related to interaction with the railway.</w:t>
      </w:r>
    </w:p>
    <w:p w:rsidR="00E3058B" w:rsidRPr="00EE44D0" w:rsidRDefault="00DB14F7" w:rsidP="001C07B2">
      <w:pPr>
        <w:pStyle w:val="BodyText"/>
        <w:widowControl/>
        <w:spacing w:after="240" w:line="288" w:lineRule="auto"/>
        <w:jc w:val="both"/>
      </w:pPr>
      <w:r w:rsidRPr="00EE44D0">
        <w:t>An analysis of the causes of the accidents shows that, in order to be able to prevent dangerous situations and tragic consequenc</w:t>
      </w:r>
      <w:r w:rsidRPr="00EE44D0">
        <w:t>es, road users need to improve their behaviour on the road and be aware that railways are a high risk area.</w:t>
      </w:r>
    </w:p>
    <w:p w:rsidR="00E3058B" w:rsidRPr="00EE44D0" w:rsidRDefault="00DB14F7" w:rsidP="001C07B2">
      <w:pPr>
        <w:pStyle w:val="Heading3"/>
        <w:keepNext/>
        <w:widowControl/>
        <w:spacing w:after="240" w:line="288" w:lineRule="auto"/>
        <w:ind w:left="0"/>
      </w:pPr>
      <w:bookmarkStart w:id="31" w:name="_bookmark10"/>
      <w:bookmarkStart w:id="32" w:name="_Toc496109858"/>
      <w:bookmarkStart w:id="33" w:name="_Toc499795574"/>
      <w:bookmarkEnd w:id="31"/>
      <w:r w:rsidRPr="00EE44D0">
        <w:t>LISA B.3.2/ANNEX B.3.2</w:t>
      </w:r>
      <w:bookmarkEnd w:id="32"/>
      <w:bookmarkEnd w:id="33"/>
    </w:p>
    <w:p w:rsidR="00E3058B" w:rsidRPr="00EE44D0" w:rsidRDefault="00DB14F7" w:rsidP="001C07B2">
      <w:pPr>
        <w:widowControl/>
        <w:spacing w:after="240" w:line="288" w:lineRule="auto"/>
        <w:jc w:val="both"/>
        <w:rPr>
          <w:i/>
        </w:rPr>
      </w:pPr>
      <w:r w:rsidRPr="00EE44D0">
        <w:t xml:space="preserve">Raudteeveeremi otsasõidud inimestele (2006-2016) / </w:t>
      </w:r>
      <w:r w:rsidRPr="00EE44D0">
        <w:rPr>
          <w:i/>
        </w:rPr>
        <w:t>Accidents to persons caused by rolling stock in motion 2006-2016</w:t>
      </w:r>
    </w:p>
    <w:p w:rsidR="006D6ED6" w:rsidRPr="00EE44D0" w:rsidRDefault="00DB14F7" w:rsidP="001C07B2">
      <w:pPr>
        <w:pStyle w:val="BodyText"/>
        <w:widowControl/>
        <w:spacing w:after="240" w:line="288" w:lineRule="auto"/>
        <w:rPr>
          <w:i/>
          <w:sz w:val="23"/>
        </w:rPr>
      </w:pPr>
      <w:r w:rsidRPr="00EE44D0">
        <w:rPr>
          <w:noProof/>
          <w:lang w:val="en-US" w:eastAsia="zh-CN" w:bidi="ar-SA"/>
        </w:rPr>
        <w:drawing>
          <wp:inline distT="0" distB="0" distL="0" distR="0">
            <wp:extent cx="5381625" cy="3733800"/>
            <wp:effectExtent l="0" t="0" r="9525" b="0"/>
            <wp:docPr id="164901669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546786" name=""/>
                    <pic:cNvPicPr/>
                  </pic:nvPicPr>
                  <pic:blipFill>
                    <a:blip r:embed="rId19"/>
                    <a:stretch>
                      <a:fillRect/>
                    </a:stretch>
                  </pic:blipFill>
                  <pic:spPr>
                    <a:xfrm>
                      <a:off x="0" y="0"/>
                      <a:ext cx="5381625" cy="3733800"/>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4535"/>
      </w:tblGrid>
      <w:tr w:rsidR="00507431" w:rsidTr="00E5270A">
        <w:tc>
          <w:tcPr>
            <w:tcW w:w="4535" w:type="dxa"/>
            <w:shd w:val="clear" w:color="auto" w:fill="auto"/>
          </w:tcPr>
          <w:p w:rsidR="006D6ED6" w:rsidRPr="00EE44D0" w:rsidRDefault="00DB14F7" w:rsidP="001C07B2">
            <w:pPr>
              <w:widowControl/>
              <w:spacing w:line="286" w:lineRule="exact"/>
              <w:rPr>
                <w:rFonts w:ascii="Calibri" w:hAnsi="Calibri"/>
                <w:color w:val="585858"/>
                <w:sz w:val="20"/>
                <w:szCs w:val="20"/>
              </w:rPr>
            </w:pPr>
            <w:r w:rsidRPr="00EE44D0">
              <w:rPr>
                <w:rFonts w:ascii="Calibri" w:hAnsi="Calibri"/>
                <w:color w:val="585858"/>
                <w:sz w:val="20"/>
              </w:rPr>
              <w:t>Raudteeveeremi otsasõidud inimestele (2006-2016)</w:t>
            </w:r>
          </w:p>
        </w:tc>
        <w:tc>
          <w:tcPr>
            <w:tcW w:w="4535" w:type="dxa"/>
          </w:tcPr>
          <w:p w:rsidR="006D6ED6" w:rsidRPr="00EE44D0" w:rsidRDefault="00DB14F7" w:rsidP="001C07B2">
            <w:pPr>
              <w:widowControl/>
              <w:spacing w:line="286" w:lineRule="exact"/>
              <w:rPr>
                <w:rFonts w:ascii="Calibri" w:hAnsi="Calibri"/>
                <w:color w:val="585858"/>
                <w:sz w:val="20"/>
                <w:szCs w:val="20"/>
              </w:rPr>
            </w:pPr>
            <w:r w:rsidRPr="00EE44D0">
              <w:rPr>
                <w:rFonts w:ascii="Calibri" w:hAnsi="Calibri"/>
                <w:color w:val="585858"/>
                <w:sz w:val="20"/>
              </w:rPr>
              <w:t>Collisions between railway vehicles and people (2006-2016)</w:t>
            </w:r>
          </w:p>
        </w:tc>
      </w:tr>
      <w:tr w:rsidR="00507431" w:rsidTr="00E5270A">
        <w:tc>
          <w:tcPr>
            <w:tcW w:w="4535" w:type="dxa"/>
            <w:shd w:val="clear" w:color="auto" w:fill="auto"/>
          </w:tcPr>
          <w:p w:rsidR="006D6ED6" w:rsidRPr="00EE44D0" w:rsidRDefault="00DB14F7" w:rsidP="001C07B2">
            <w:pPr>
              <w:widowControl/>
              <w:spacing w:line="286" w:lineRule="exact"/>
              <w:rPr>
                <w:rFonts w:ascii="Calibri" w:hAnsi="Calibri"/>
                <w:color w:val="585858"/>
                <w:sz w:val="20"/>
                <w:szCs w:val="20"/>
              </w:rPr>
            </w:pPr>
            <w:r w:rsidRPr="00EE44D0">
              <w:rPr>
                <w:rFonts w:ascii="Calibri" w:hAnsi="Calibri"/>
                <w:color w:val="585858"/>
                <w:sz w:val="20"/>
              </w:rPr>
              <w:t>Hukkunud</w:t>
            </w:r>
          </w:p>
        </w:tc>
        <w:tc>
          <w:tcPr>
            <w:tcW w:w="4535" w:type="dxa"/>
          </w:tcPr>
          <w:p w:rsidR="006D6ED6" w:rsidRPr="00EE44D0" w:rsidRDefault="00DB14F7" w:rsidP="001C07B2">
            <w:pPr>
              <w:widowControl/>
              <w:spacing w:line="286" w:lineRule="exact"/>
              <w:rPr>
                <w:rFonts w:ascii="Calibri" w:hAnsi="Calibri"/>
                <w:color w:val="585858"/>
                <w:sz w:val="20"/>
                <w:szCs w:val="20"/>
              </w:rPr>
            </w:pPr>
            <w:r w:rsidRPr="00EE44D0">
              <w:rPr>
                <w:rFonts w:ascii="Calibri" w:hAnsi="Calibri"/>
                <w:color w:val="585858"/>
                <w:sz w:val="20"/>
              </w:rPr>
              <w:t>Deaths</w:t>
            </w:r>
          </w:p>
        </w:tc>
      </w:tr>
    </w:tbl>
    <w:p w:rsidR="006D6ED6" w:rsidRPr="00EE44D0" w:rsidRDefault="006D6ED6" w:rsidP="001C07B2">
      <w:pPr>
        <w:pStyle w:val="BodyText"/>
        <w:widowControl/>
        <w:spacing w:after="240" w:line="288" w:lineRule="auto"/>
        <w:jc w:val="both"/>
      </w:pPr>
    </w:p>
    <w:p w:rsidR="00E3058B" w:rsidRPr="00EE44D0" w:rsidRDefault="00DB14F7" w:rsidP="001C07B2">
      <w:pPr>
        <w:pStyle w:val="BodyText"/>
        <w:widowControl/>
        <w:spacing w:after="240" w:line="288" w:lineRule="auto"/>
        <w:jc w:val="both"/>
      </w:pPr>
      <w:r w:rsidRPr="00EE44D0">
        <w:t>In 2016, there were a total of five collisions with people who were on the railway, in which four persons were injured and one pe</w:t>
      </w:r>
      <w:r w:rsidRPr="00EE44D0">
        <w:t>rson died. This was a collision in which the person’s premeditated action was established and therefore the case has been classified as suicide. In 2015, there were a total of 14 collisions with persons who were on the railway, in which nine persons died a</w:t>
      </w:r>
      <w:r w:rsidRPr="00EE44D0">
        <w:t>nd five were injured. Compared to 2015, the situation has improved significantly – the number of collisions has more than halved and the number of injuries and deaths resulting from accidents has also dropped significantly. The main reason for collisions c</w:t>
      </w:r>
      <w:r w:rsidRPr="00EE44D0">
        <w:t>ontinues to be road users’ lack of attention and trespassing on the railway in unauthorised locations.</w:t>
      </w:r>
    </w:p>
    <w:p w:rsidR="00E3058B" w:rsidRPr="00EE44D0" w:rsidRDefault="00DB14F7" w:rsidP="001C07B2">
      <w:pPr>
        <w:pStyle w:val="Heading1"/>
        <w:keepNext/>
        <w:widowControl/>
        <w:numPr>
          <w:ilvl w:val="0"/>
          <w:numId w:val="2"/>
        </w:numPr>
        <w:spacing w:after="240" w:line="288" w:lineRule="auto"/>
        <w:ind w:left="0" w:firstLine="0"/>
      </w:pPr>
      <w:bookmarkStart w:id="34" w:name="_bookmark11"/>
      <w:bookmarkStart w:id="35" w:name="_Toc496109859"/>
      <w:bookmarkStart w:id="36" w:name="_Toc499795575"/>
      <w:bookmarkEnd w:id="34"/>
      <w:r w:rsidRPr="00EE44D0">
        <w:t>Organisation</w:t>
      </w:r>
      <w:bookmarkEnd w:id="35"/>
      <w:bookmarkEnd w:id="36"/>
    </w:p>
    <w:p w:rsidR="00E3058B" w:rsidRPr="00EE44D0" w:rsidRDefault="00DB14F7" w:rsidP="001C07B2">
      <w:pPr>
        <w:pStyle w:val="Heading2"/>
        <w:widowControl/>
        <w:numPr>
          <w:ilvl w:val="1"/>
          <w:numId w:val="2"/>
        </w:numPr>
        <w:spacing w:after="240" w:line="288" w:lineRule="auto"/>
        <w:ind w:left="0" w:firstLine="0"/>
      </w:pPr>
      <w:bookmarkStart w:id="37" w:name="_bookmark12"/>
      <w:bookmarkStart w:id="38" w:name="_Toc496109860"/>
      <w:bookmarkStart w:id="39" w:name="_Toc499795576"/>
      <w:bookmarkEnd w:id="37"/>
      <w:r w:rsidRPr="00EE44D0">
        <w:t>The Estonian Technical Regulatory Authority</w:t>
      </w:r>
      <w:bookmarkEnd w:id="38"/>
      <w:bookmarkEnd w:id="39"/>
    </w:p>
    <w:p w:rsidR="00E3058B" w:rsidRPr="00EE44D0" w:rsidRDefault="00DB14F7" w:rsidP="001C07B2">
      <w:pPr>
        <w:pStyle w:val="BodyText"/>
        <w:widowControl/>
        <w:spacing w:after="240" w:line="288" w:lineRule="auto"/>
        <w:jc w:val="both"/>
      </w:pPr>
      <w:r w:rsidRPr="00EE44D0">
        <w:t>The TRA is a governmental authority operating within the Ministry of Economic Affairs and Commun</w:t>
      </w:r>
      <w:r w:rsidRPr="00EE44D0">
        <w:t>ications (MoEAC). Its aim is to contribute to the implementation of Estonia’s economic policy through improved safety, organising the efficient use of limited resources, and improving the reliability of products in the fields of production, industrial equi</w:t>
      </w:r>
      <w:r w:rsidRPr="00EE44D0">
        <w:t>pment, railways and electronic communications.</w:t>
      </w:r>
    </w:p>
    <w:p w:rsidR="00E3058B" w:rsidRPr="00EE44D0" w:rsidRDefault="00DB14F7" w:rsidP="001C07B2">
      <w:pPr>
        <w:pStyle w:val="BodyText"/>
        <w:widowControl/>
        <w:spacing w:after="240" w:line="288" w:lineRule="auto"/>
        <w:jc w:val="both"/>
      </w:pPr>
      <w:r w:rsidRPr="00EE44D0">
        <w:t>The TRA’s Transportation Service has three departments: the railway infrastructure department, the railway transport department, and the transport investments department, which in 2016 employed a total of 18 p</w:t>
      </w:r>
      <w:r w:rsidRPr="00EE44D0">
        <w:t>eople.</w:t>
      </w:r>
    </w:p>
    <w:p w:rsidR="00E3058B" w:rsidRPr="00EE44D0" w:rsidRDefault="00DB14F7" w:rsidP="001C07B2">
      <w:pPr>
        <w:pStyle w:val="BodyText"/>
        <w:widowControl/>
        <w:spacing w:after="240" w:line="288" w:lineRule="auto"/>
        <w:jc w:val="both"/>
      </w:pPr>
      <w:r w:rsidRPr="00EE44D0">
        <w:t>The Transportation Service is involved in activities that are provided for in national legislation (the Railways Act and</w:t>
      </w:r>
      <w:r w:rsidRPr="00EE44D0">
        <w:t xml:space="preserve"> legal acts adopted pursuant to that Act). As a national safety authority, it monitors the compliance of railway undertakings with EU legislation on interoperability and safety. In addition, the service participates in the practical implementation of the r</w:t>
      </w:r>
      <w:r w:rsidRPr="00EE44D0">
        <w:t>elevant legislation.</w:t>
      </w:r>
    </w:p>
    <w:p w:rsidR="00E3058B" w:rsidRPr="00EE44D0" w:rsidRDefault="00DB14F7" w:rsidP="001C07B2">
      <w:pPr>
        <w:pStyle w:val="BodyText"/>
        <w:widowControl/>
        <w:spacing w:after="240" w:line="288" w:lineRule="auto"/>
        <w:jc w:val="both"/>
      </w:pPr>
      <w:r w:rsidRPr="00EE44D0">
        <w:t>The TRA’s Transportation Service has the jurisdiction to issue safety certificates and process their renewal, check compliance of the railway infrastructure and the railway traffic management process with the requirements, approve deta</w:t>
      </w:r>
      <w:r w:rsidRPr="00EE44D0">
        <w:t>iled plans and the design criteria for railway civil engineering works, exercise state supervision over the performance of construction works on the railways, issue building permits and permits for use, issue train driving licences, operate within the capa</w:t>
      </w:r>
      <w:r w:rsidRPr="00EE44D0">
        <w:t>city of recognising vocations, carry out activities related to the distribution of railway capacity, ensure that the Republic of Estonia's obligations are carried out in regard to the technical surveillance of the railways under international treaties, rep</w:t>
      </w:r>
      <w:r w:rsidRPr="00EE44D0">
        <w:t>resent the Republic of Estonia with international railway organisations, if necessary, and carry out any other function defined by law. Furthermore, the Technical Regulatory Authority monitors the competency of those persons who are responsible for railway</w:t>
      </w:r>
      <w:r w:rsidRPr="00EE44D0">
        <w:t xml:space="preserve"> safety and the organisation of railway traffic, and it also oversees the observance of railway fire safety regulations and the organisation of the transportation of hazardous goods. We also carry out administrative proceedings concerning non-compliance wi</w:t>
      </w:r>
      <w:r w:rsidRPr="00EE44D0">
        <w:t>th railway safety requirements.</w:t>
      </w:r>
    </w:p>
    <w:p w:rsidR="00E3058B" w:rsidRPr="00EE44D0" w:rsidRDefault="00DB14F7" w:rsidP="001C07B2">
      <w:pPr>
        <w:pStyle w:val="BodyText"/>
        <w:widowControl/>
        <w:spacing w:after="240" w:line="288" w:lineRule="auto"/>
        <w:jc w:val="both"/>
      </w:pPr>
      <w:r w:rsidRPr="00EE44D0">
        <w:t>By means of its activities, the TRA ensures the secure and safe development of the Estonian railway network through continuous surveillance in accordance with national legislation and European law. Furthermore, the TRA, toge</w:t>
      </w:r>
      <w:r w:rsidRPr="00EE44D0">
        <w:t>ther with the MoEAC, is responsible for harmonising and updating the legal basis of the Estonian railway sector.</w:t>
      </w:r>
    </w:p>
    <w:p w:rsidR="00E3058B" w:rsidRPr="00EE44D0" w:rsidRDefault="00DB14F7" w:rsidP="001C07B2">
      <w:pPr>
        <w:widowControl/>
        <w:spacing w:after="240" w:line="288" w:lineRule="auto"/>
        <w:jc w:val="both"/>
        <w:rPr>
          <w:i/>
        </w:rPr>
      </w:pPr>
      <w:r w:rsidRPr="00EE44D0">
        <w:t xml:space="preserve">Organisatsiooni struktuur / </w:t>
      </w:r>
      <w:r w:rsidRPr="00EE44D0">
        <w:rPr>
          <w:i/>
        </w:rPr>
        <w:t>Organization structure</w:t>
      </w:r>
    </w:p>
    <w:p w:rsidR="00E3058B" w:rsidRPr="00EE44D0" w:rsidRDefault="00DB14F7" w:rsidP="001C07B2">
      <w:pPr>
        <w:pStyle w:val="Heading3"/>
        <w:pageBreakBefore/>
        <w:widowControl/>
        <w:spacing w:after="240" w:line="288" w:lineRule="auto"/>
        <w:ind w:left="0"/>
      </w:pPr>
      <w:bookmarkStart w:id="40" w:name="_bookmark13"/>
      <w:bookmarkStart w:id="41" w:name="_Toc496109861"/>
      <w:bookmarkStart w:id="42" w:name="_Toc499795577"/>
      <w:bookmarkEnd w:id="40"/>
      <w:r w:rsidRPr="00EE44D0">
        <w:t>LISA B.1/ANNEX B.1</w:t>
      </w:r>
      <w:bookmarkEnd w:id="41"/>
      <w:bookmarkEnd w:id="42"/>
    </w:p>
    <w:p w:rsidR="00E3058B" w:rsidRPr="00EE44D0" w:rsidRDefault="00DB14F7" w:rsidP="001C07B2">
      <w:pPr>
        <w:pStyle w:val="Heading2"/>
        <w:widowControl/>
        <w:numPr>
          <w:ilvl w:val="1"/>
          <w:numId w:val="2"/>
        </w:numPr>
        <w:spacing w:after="240" w:line="288" w:lineRule="auto"/>
        <w:ind w:left="0" w:firstLine="0"/>
      </w:pPr>
      <w:bookmarkStart w:id="43" w:name="_Toc496109862"/>
      <w:bookmarkStart w:id="44" w:name="_Toc499795578"/>
      <w:r w:rsidRPr="00EE44D0">
        <w:rPr>
          <w:noProof/>
          <w:lang w:val="en-US" w:eastAsia="zh-CN" w:bidi="ar-SA"/>
        </w:rPr>
        <w:drawing>
          <wp:anchor distT="0" distB="0" distL="0" distR="0" simplePos="0" relativeHeight="251659264" behindDoc="0" locked="0" layoutInCell="1" allowOverlap="1">
            <wp:simplePos x="0" y="0"/>
            <wp:positionH relativeFrom="page">
              <wp:posOffset>720090</wp:posOffset>
            </wp:positionH>
            <wp:positionV relativeFrom="paragraph">
              <wp:posOffset>349250</wp:posOffset>
            </wp:positionV>
            <wp:extent cx="6923342" cy="3122390"/>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0" cstate="print"/>
                    <a:stretch>
                      <a:fillRect/>
                    </a:stretch>
                  </pic:blipFill>
                  <pic:spPr>
                    <a:xfrm>
                      <a:off x="0" y="0"/>
                      <a:ext cx="6923342" cy="3122390"/>
                    </a:xfrm>
                    <a:prstGeom prst="rect">
                      <a:avLst/>
                    </a:prstGeom>
                  </pic:spPr>
                </pic:pic>
              </a:graphicData>
            </a:graphic>
          </wp:anchor>
        </w:drawing>
      </w:r>
      <w:bookmarkStart w:id="45" w:name="_bookmark14"/>
      <w:bookmarkEnd w:id="45"/>
      <w:r w:rsidRPr="00EE44D0">
        <w:t>The division of responsibilities between organisations</w:t>
      </w:r>
      <w:bookmarkEnd w:id="43"/>
      <w:bookmarkEnd w:id="44"/>
    </w:p>
    <w:p w:rsidR="00E3058B" w:rsidRPr="00EE44D0" w:rsidRDefault="00DB14F7" w:rsidP="001C07B2">
      <w:pPr>
        <w:pStyle w:val="BodyText"/>
        <w:widowControl/>
        <w:spacing w:after="240" w:line="288" w:lineRule="auto"/>
        <w:jc w:val="both"/>
      </w:pPr>
      <w:r w:rsidRPr="00EE44D0">
        <w:t>The MoEAC inc</w:t>
      </w:r>
      <w:r w:rsidRPr="00EE44D0">
        <w:t>ludes a Road and Railways Department, which participates in drawing up national development plans for the road network, freight and passenger transport, railway infrastructure, railway transport logistics, railway passenger and freight transport, vehicles,</w:t>
      </w:r>
      <w:r w:rsidRPr="00EE44D0">
        <w:t xml:space="preserve"> railway vehicles, road and railway traffic, and also traffic and environmental safety issues, as well as ensuring the implementation of the development plans and preparing drafts of acts that regulate this area.</w:t>
      </w:r>
    </w:p>
    <w:p w:rsidR="00E3058B" w:rsidRPr="00EE44D0" w:rsidRDefault="00DB14F7" w:rsidP="001C07B2">
      <w:pPr>
        <w:pStyle w:val="BodyText"/>
        <w:widowControl/>
        <w:spacing w:after="240" w:line="288" w:lineRule="auto"/>
        <w:jc w:val="both"/>
      </w:pPr>
      <w:r w:rsidRPr="00EE44D0">
        <w:t>The Estonian Safety Investigation Bureau (t</w:t>
      </w:r>
      <w:r w:rsidRPr="00EE44D0">
        <w:t xml:space="preserve">he </w:t>
      </w:r>
      <w:r w:rsidRPr="00EE44D0">
        <w:rPr>
          <w:i/>
        </w:rPr>
        <w:t>National Investigation Body</w:t>
      </w:r>
      <w:r w:rsidRPr="00EE44D0">
        <w:t xml:space="preserve"> or NIB) is an independent structural unit under the MoEAC, responsible for investigating railway accidents and conducting safety investigations.</w:t>
      </w:r>
    </w:p>
    <w:p w:rsidR="00E3058B" w:rsidRPr="00EE44D0" w:rsidRDefault="00DB14F7" w:rsidP="001C07B2">
      <w:pPr>
        <w:pStyle w:val="BodyText"/>
        <w:widowControl/>
        <w:spacing w:after="240" w:line="288" w:lineRule="auto"/>
        <w:jc w:val="both"/>
      </w:pPr>
      <w:r w:rsidRPr="00EE44D0">
        <w:t xml:space="preserve">The TRA (as a </w:t>
      </w:r>
      <w:r w:rsidRPr="00EE44D0">
        <w:rPr>
          <w:i/>
        </w:rPr>
        <w:t xml:space="preserve">National Safety Authority, </w:t>
      </w:r>
      <w:r w:rsidRPr="00EE44D0">
        <w:t>or NSA), exercises state supervision ov</w:t>
      </w:r>
      <w:r w:rsidRPr="00EE44D0">
        <w:t xml:space="preserve">er the functions provided for by law and applies the state’s enforcement powers on the basis of and to the extent provided for by law. The Transportation Service also issues railway structure building permits and permits for the use of construction works, </w:t>
      </w:r>
      <w:r w:rsidRPr="00EE44D0">
        <w:t>as well as safety certificates, Parts A and B, and operational safety certificates to railway infrastructure managers and railway undertakings. Train driver exams are organised and driving licences are issued in cooperation with the Regional Office of Road</w:t>
      </w:r>
      <w:r w:rsidRPr="00EE44D0">
        <w:t xml:space="preserve"> Administration.</w:t>
      </w:r>
    </w:p>
    <w:p w:rsidR="00E3058B" w:rsidRPr="00EE44D0" w:rsidRDefault="00DB14F7" w:rsidP="001C07B2">
      <w:pPr>
        <w:pStyle w:val="BodyText"/>
        <w:widowControl/>
        <w:spacing w:after="240" w:line="288" w:lineRule="auto"/>
        <w:jc w:val="both"/>
      </w:pPr>
      <w:r w:rsidRPr="00EE44D0">
        <w:t>Estonian railway undertakings are required to ensure compliance of their activities with requirements provided for by law, regarding the management of the railway infrastructure, provision of freight and passenger transport services, repai</w:t>
      </w:r>
      <w:r w:rsidRPr="00EE44D0">
        <w:t>rs to rolling stock, and the construction of railway facilities.</w:t>
      </w:r>
    </w:p>
    <w:p w:rsidR="00E3058B" w:rsidRPr="00EE44D0" w:rsidRDefault="00DB14F7" w:rsidP="001C07B2">
      <w:pPr>
        <w:keepNext/>
        <w:widowControl/>
        <w:spacing w:after="240" w:line="288" w:lineRule="auto"/>
        <w:rPr>
          <w:i/>
        </w:rPr>
      </w:pPr>
      <w:r w:rsidRPr="00EE44D0">
        <w:t xml:space="preserve">Organisatsiooni seos raudteevaldkonna teiste ettevõtete ja asutustega / </w:t>
      </w:r>
      <w:r w:rsidRPr="00EE44D0">
        <w:rPr>
          <w:i/>
        </w:rPr>
        <w:t>Organizational relationship chart</w:t>
      </w:r>
    </w:p>
    <w:p w:rsidR="00E3058B" w:rsidRPr="00EE44D0" w:rsidRDefault="00DB14F7" w:rsidP="001C07B2">
      <w:pPr>
        <w:pStyle w:val="Heading3"/>
        <w:widowControl/>
        <w:spacing w:after="240" w:line="288" w:lineRule="auto"/>
        <w:ind w:left="0"/>
      </w:pPr>
      <w:bookmarkStart w:id="46" w:name="_bookmark15"/>
      <w:bookmarkStart w:id="47" w:name="_Toc496109863"/>
      <w:bookmarkStart w:id="48" w:name="_Toc499795579"/>
      <w:bookmarkEnd w:id="46"/>
      <w:r w:rsidRPr="00EE44D0">
        <w:t>LISA B.2/ANNEX B.2</w:t>
      </w:r>
      <w:bookmarkEnd w:id="47"/>
      <w:bookmarkEnd w:id="48"/>
    </w:p>
    <w:p w:rsidR="00E3058B" w:rsidRPr="00EE44D0" w:rsidRDefault="00DB14F7" w:rsidP="001C07B2">
      <w:pPr>
        <w:pStyle w:val="BodyText"/>
        <w:widowControl/>
        <w:spacing w:after="240" w:line="288" w:lineRule="auto"/>
        <w:rPr>
          <w:i/>
          <w:sz w:val="20"/>
        </w:rPr>
      </w:pPr>
      <w:r w:rsidRPr="00EE44D0">
        <w:rPr>
          <w:noProof/>
          <w:lang w:val="en-US" w:eastAsia="zh-CN" w:bidi="ar-SA"/>
        </w:rPr>
        <w:drawing>
          <wp:inline distT="0" distB="0" distL="0" distR="0">
            <wp:extent cx="5227608" cy="5186797"/>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67173" cy="5226053"/>
                    </a:xfrm>
                    <a:prstGeom prst="rect">
                      <a:avLst/>
                    </a:prstGeom>
                  </pic:spPr>
                </pic:pic>
              </a:graphicData>
            </a:graphic>
          </wp:inline>
        </w:drawing>
      </w:r>
    </w:p>
    <w:p w:rsidR="00E3058B" w:rsidRPr="00EE44D0" w:rsidRDefault="00E3058B" w:rsidP="001C07B2">
      <w:pPr>
        <w:pStyle w:val="BodyText"/>
        <w:widowControl/>
        <w:spacing w:after="240" w:line="288" w:lineRule="auto"/>
        <w:rPr>
          <w:i/>
          <w:sz w:val="17"/>
        </w:rPr>
      </w:pPr>
    </w:p>
    <w:p w:rsidR="00E3058B" w:rsidRPr="00EE44D0" w:rsidRDefault="00DB14F7" w:rsidP="001C07B2">
      <w:pPr>
        <w:pStyle w:val="Heading1"/>
        <w:widowControl/>
        <w:numPr>
          <w:ilvl w:val="0"/>
          <w:numId w:val="2"/>
        </w:numPr>
        <w:spacing w:after="240" w:line="288" w:lineRule="auto"/>
        <w:ind w:left="0" w:firstLine="0"/>
      </w:pPr>
      <w:bookmarkStart w:id="49" w:name="_bookmark16"/>
      <w:bookmarkStart w:id="50" w:name="_Toc496109864"/>
      <w:bookmarkStart w:id="51" w:name="_Toc499795580"/>
      <w:bookmarkEnd w:id="49"/>
      <w:r w:rsidRPr="00EE44D0">
        <w:t>The development of railway safety</w:t>
      </w:r>
      <w:bookmarkEnd w:id="50"/>
      <w:bookmarkEnd w:id="51"/>
    </w:p>
    <w:p w:rsidR="00E3058B" w:rsidRPr="00EE44D0" w:rsidRDefault="00DB14F7" w:rsidP="001C07B2">
      <w:pPr>
        <w:pStyle w:val="Heading2"/>
        <w:widowControl/>
        <w:numPr>
          <w:ilvl w:val="1"/>
          <w:numId w:val="2"/>
        </w:numPr>
        <w:spacing w:after="240" w:line="288" w:lineRule="auto"/>
        <w:ind w:left="0" w:firstLine="0"/>
      </w:pPr>
      <w:bookmarkStart w:id="52" w:name="_bookmark17"/>
      <w:bookmarkStart w:id="53" w:name="_Toc496109865"/>
      <w:bookmarkStart w:id="54" w:name="_Toc499795581"/>
      <w:bookmarkEnd w:id="52"/>
      <w:r w:rsidRPr="00EE44D0">
        <w:t>The initiative for maint</w:t>
      </w:r>
      <w:r w:rsidRPr="00EE44D0">
        <w:t>aining and improving railway safety</w:t>
      </w:r>
      <w:bookmarkEnd w:id="53"/>
      <w:bookmarkEnd w:id="54"/>
    </w:p>
    <w:p w:rsidR="00E3058B" w:rsidRPr="00EE44D0" w:rsidRDefault="00DB14F7" w:rsidP="001C07B2">
      <w:pPr>
        <w:pStyle w:val="BodyText"/>
        <w:widowControl/>
        <w:spacing w:after="240" w:line="288" w:lineRule="auto"/>
        <w:jc w:val="both"/>
      </w:pPr>
      <w:r w:rsidRPr="00EE44D0">
        <w:t>In 2016, railway safety focused its attention on prevention in the field of safety, cooperation with entrepreneurs, being responsible for the preparation of educational materials in the field of safety and for cooperatio</w:t>
      </w:r>
      <w:r w:rsidRPr="00EE44D0">
        <w:t>n between organisations in railway safety campaigns.</w:t>
      </w:r>
    </w:p>
    <w:p w:rsidR="00E3058B" w:rsidRPr="00EE44D0" w:rsidRDefault="00DB14F7" w:rsidP="001C07B2">
      <w:pPr>
        <w:pStyle w:val="BodyText"/>
        <w:widowControl/>
        <w:spacing w:after="240" w:line="288" w:lineRule="auto"/>
        <w:jc w:val="both"/>
      </w:pPr>
      <w:r w:rsidRPr="00EE44D0">
        <w:t>In 2016, a joint project between the TRA, the University of Tartu, and NPA Lifesaver Estonia (OLE) was completed. As a result, the study results for the railway safety sub-topic within the main subject o</w:t>
      </w:r>
      <w:r w:rsidRPr="00EE44D0">
        <w:t>f ‘Health and safety’, and the teacher’s railway safety book for the third school year were completed. The study material focuses on several important topics with regard to railway safety: risks involving unrelated activities when moving around near a rail</w:t>
      </w:r>
      <w:r w:rsidRPr="00EE44D0">
        <w:t>way, crossing the railway safely on foot and by bicycle, etc. There is some focus on following railway traffic rules and on accidents which may result from a violation of these rules, and also on preventing dangerous situations involving railways located o</w:t>
      </w:r>
      <w:r w:rsidRPr="00EE44D0">
        <w:t>n children’s routes to school. Photos and videos produced during the course of the project, which help to address the topic, bring added value to the study materials.</w:t>
      </w:r>
    </w:p>
    <w:p w:rsidR="00E3058B" w:rsidRPr="00EE44D0" w:rsidRDefault="00DB14F7" w:rsidP="001C07B2">
      <w:pPr>
        <w:pStyle w:val="BodyText"/>
        <w:widowControl/>
        <w:spacing w:after="240" w:line="288" w:lineRule="auto"/>
        <w:jc w:val="both"/>
      </w:pPr>
      <w:r w:rsidRPr="00EE44D0">
        <w:t>As a follow-up activity to this project, the TRA is participating in the cross-institutio</w:t>
      </w:r>
      <w:r w:rsidRPr="00EE44D0">
        <w:t>nal safety taskforce during 2016-2018. The taskforce is involved in the wording of the common study results for the main subject of ‘Health and safety’, specifically for the first to fourth study stages, and in the preparation of teacher’s books. The aim i</w:t>
      </w:r>
      <w:r w:rsidRPr="00EE44D0">
        <w:t xml:space="preserve">s to achieve a common approach to the topic of safety among all institutions participating in the taskforce. The Ministry of the Interior and the University of Tartu are leading this taskforce. In addition, other national ministries and boards involved in </w:t>
      </w:r>
      <w:r w:rsidRPr="00EE44D0">
        <w:t>safety issues are participating in the project.</w:t>
      </w:r>
    </w:p>
    <w:p w:rsidR="00E3058B" w:rsidRPr="00EE44D0" w:rsidRDefault="00DB14F7" w:rsidP="001C07B2">
      <w:pPr>
        <w:pStyle w:val="BodyText"/>
        <w:widowControl/>
        <w:spacing w:after="240" w:line="288" w:lineRule="auto"/>
        <w:jc w:val="both"/>
      </w:pPr>
      <w:r w:rsidRPr="00EE44D0">
        <w:t>The TRA continued its cooperation with NPA Operation Lifesaver Estonia in railway safety campaigns in 2016. In spring 2016, a national railway safety campaign was carried out in Estonia with the message ‘Bein</w:t>
      </w:r>
      <w:r w:rsidRPr="00EE44D0">
        <w:t>g on the railway is prohibited’. One of the aims of this campaign was to remind people that railways can be crossed only at designated crossing points and that walking along the railway tracks or spending any time in their vicinity is dangerous and is ther</w:t>
      </w:r>
      <w:r w:rsidRPr="00EE44D0">
        <w:t>efore prohibited by law. The campaign was organised by NPA Operation Lifesaver Estonia, in collaboration with the TRA, the Police and Border Guard Board, and the Road Administration and Rescue Board. In addition, a Christmas campaign was conducted in Decem</w:t>
      </w:r>
      <w:r w:rsidRPr="00EE44D0">
        <w:t xml:space="preserve">ber 2016 to remind road users to be extremely careful when crossing the railway and to make sure a train is not approaching before crossing. The slogan of the campaign was ‘They expect you to come home for Christmas’. This was the thirteenth time in which </w:t>
      </w:r>
      <w:r w:rsidRPr="00EE44D0">
        <w:t>the Christmas campaign was organised by NPA Operation Lifesaver Estonia.</w:t>
      </w:r>
    </w:p>
    <w:p w:rsidR="00E3058B" w:rsidRPr="00EE44D0" w:rsidRDefault="00DB14F7" w:rsidP="001C07B2">
      <w:pPr>
        <w:pStyle w:val="Heading2"/>
        <w:widowControl/>
        <w:numPr>
          <w:ilvl w:val="1"/>
          <w:numId w:val="2"/>
        </w:numPr>
        <w:spacing w:after="240" w:line="288" w:lineRule="auto"/>
        <w:ind w:left="0" w:firstLine="0"/>
      </w:pPr>
      <w:bookmarkStart w:id="55" w:name="_bookmark18"/>
      <w:bookmarkStart w:id="56" w:name="_Toc496109866"/>
      <w:bookmarkStart w:id="57" w:name="_Toc499795582"/>
      <w:bookmarkEnd w:id="55"/>
      <w:r w:rsidRPr="00EE44D0">
        <w:t>A detailed analysis of data</w:t>
      </w:r>
      <w:bookmarkEnd w:id="56"/>
      <w:bookmarkEnd w:id="57"/>
    </w:p>
    <w:p w:rsidR="00E3058B" w:rsidRPr="00EE44D0" w:rsidRDefault="00DB14F7" w:rsidP="001C07B2">
      <w:pPr>
        <w:pStyle w:val="Heading3"/>
        <w:widowControl/>
        <w:spacing w:after="240" w:line="288" w:lineRule="auto"/>
        <w:ind w:left="0"/>
        <w:jc w:val="left"/>
      </w:pPr>
      <w:bookmarkStart w:id="58" w:name="_bookmark19"/>
      <w:bookmarkStart w:id="59" w:name="_Toc496109867"/>
      <w:bookmarkStart w:id="60" w:name="_Toc499795583"/>
      <w:bookmarkEnd w:id="58"/>
      <w:r w:rsidRPr="00EE44D0">
        <w:t>LISA C/ANNEX C – CSI data</w:t>
      </w:r>
      <w:bookmarkEnd w:id="59"/>
      <w:bookmarkEnd w:id="60"/>
    </w:p>
    <w:p w:rsidR="00E3058B" w:rsidRPr="00EE44D0" w:rsidRDefault="00DB14F7" w:rsidP="001C07B2">
      <w:pPr>
        <w:pStyle w:val="BodyText"/>
        <w:widowControl/>
        <w:spacing w:after="240" w:line="288" w:lineRule="auto"/>
      </w:pPr>
      <w:r w:rsidRPr="00EE44D0">
        <w:t xml:space="preserve">Input from the TRA into the Common Safety Indicators (CSI) data table for 2016 has been uploaded to the ERAIL information system </w:t>
      </w:r>
      <w:r w:rsidRPr="00EE44D0">
        <w:t>(</w:t>
      </w:r>
      <w:hyperlink r:id="rId22" w:history="1">
        <w:r w:rsidRPr="00EE44D0">
          <w:rPr>
            <w:u w:val="single"/>
          </w:rPr>
          <w:t>http://erail.era.europa.eu/</w:t>
        </w:r>
      </w:hyperlink>
      <w:r w:rsidRPr="00EE44D0">
        <w:t>).</w:t>
      </w:r>
    </w:p>
    <w:tbl>
      <w:tblPr>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63"/>
        <w:gridCol w:w="2108"/>
        <w:gridCol w:w="1788"/>
        <w:gridCol w:w="1304"/>
      </w:tblGrid>
      <w:tr w:rsidR="00507431">
        <w:trPr>
          <w:trHeight w:hRule="exact" w:val="1400"/>
        </w:trPr>
        <w:tc>
          <w:tcPr>
            <w:tcW w:w="763" w:type="dxa"/>
          </w:tcPr>
          <w:p w:rsidR="00E3058B" w:rsidRPr="00EE44D0" w:rsidRDefault="00DB14F7" w:rsidP="001C07B2">
            <w:pPr>
              <w:pStyle w:val="TableParagraph"/>
              <w:widowControl/>
              <w:spacing w:before="0" w:after="240" w:line="288" w:lineRule="auto"/>
              <w:ind w:left="0"/>
              <w:rPr>
                <w:b/>
                <w:i/>
              </w:rPr>
            </w:pPr>
            <w:r w:rsidRPr="00EE44D0">
              <w:rPr>
                <w:b/>
                <w:i/>
              </w:rPr>
              <w:t>aasta year</w:t>
            </w:r>
          </w:p>
        </w:tc>
        <w:tc>
          <w:tcPr>
            <w:tcW w:w="2108" w:type="dxa"/>
          </w:tcPr>
          <w:p w:rsidR="00E3058B" w:rsidRPr="00EE44D0" w:rsidRDefault="00DB14F7" w:rsidP="001C07B2">
            <w:pPr>
              <w:pStyle w:val="TableParagraph"/>
              <w:widowControl/>
              <w:spacing w:before="0" w:after="240" w:line="288" w:lineRule="auto"/>
              <w:ind w:left="0"/>
              <w:rPr>
                <w:b/>
                <w:i/>
              </w:rPr>
            </w:pPr>
            <w:r w:rsidRPr="00EE44D0">
              <w:rPr>
                <w:b/>
                <w:i/>
              </w:rPr>
              <w:t>raudteeõnnetused railway accidents</w:t>
            </w:r>
          </w:p>
        </w:tc>
        <w:tc>
          <w:tcPr>
            <w:tcW w:w="1788" w:type="dxa"/>
          </w:tcPr>
          <w:p w:rsidR="00E3058B" w:rsidRPr="00EE44D0" w:rsidRDefault="00DB14F7" w:rsidP="001C07B2">
            <w:pPr>
              <w:pStyle w:val="TableParagraph"/>
              <w:widowControl/>
              <w:spacing w:before="0" w:after="240" w:line="288" w:lineRule="auto"/>
              <w:ind w:left="0"/>
              <w:rPr>
                <w:b/>
                <w:i/>
              </w:rPr>
            </w:pPr>
            <w:r w:rsidRPr="00EE44D0">
              <w:rPr>
                <w:b/>
                <w:i/>
              </w:rPr>
              <w:t>surmajuhtumid fatalities</w:t>
            </w:r>
          </w:p>
        </w:tc>
        <w:tc>
          <w:tcPr>
            <w:tcW w:w="1304" w:type="dxa"/>
          </w:tcPr>
          <w:p w:rsidR="00E3058B" w:rsidRPr="00EE44D0" w:rsidRDefault="00DB14F7" w:rsidP="001C07B2">
            <w:pPr>
              <w:pStyle w:val="TableParagraph"/>
              <w:widowControl/>
              <w:spacing w:before="0" w:after="240" w:line="288" w:lineRule="auto"/>
              <w:ind w:left="0"/>
              <w:rPr>
                <w:b/>
                <w:i/>
              </w:rPr>
            </w:pPr>
            <w:r w:rsidRPr="00EE44D0">
              <w:rPr>
                <w:b/>
                <w:i/>
              </w:rPr>
              <w:t>vigastatud injuries</w:t>
            </w:r>
          </w:p>
        </w:tc>
      </w:tr>
      <w:tr w:rsidR="00507431">
        <w:trPr>
          <w:trHeight w:hRule="exact" w:val="802"/>
        </w:trPr>
        <w:tc>
          <w:tcPr>
            <w:tcW w:w="763" w:type="dxa"/>
          </w:tcPr>
          <w:p w:rsidR="00E3058B" w:rsidRPr="00EE44D0" w:rsidRDefault="00DB14F7" w:rsidP="001C07B2">
            <w:pPr>
              <w:pStyle w:val="TableParagraph"/>
              <w:widowControl/>
              <w:spacing w:before="0" w:after="240" w:line="288" w:lineRule="auto"/>
              <w:ind w:left="0"/>
              <w:rPr>
                <w:b/>
                <w:i/>
              </w:rPr>
            </w:pPr>
            <w:r w:rsidRPr="00EE44D0">
              <w:rPr>
                <w:b/>
                <w:i/>
              </w:rPr>
              <w:t>2006</w:t>
            </w:r>
          </w:p>
        </w:tc>
        <w:tc>
          <w:tcPr>
            <w:tcW w:w="2108" w:type="dxa"/>
          </w:tcPr>
          <w:p w:rsidR="00E3058B" w:rsidRPr="00EE44D0" w:rsidRDefault="00DB14F7" w:rsidP="001C07B2">
            <w:pPr>
              <w:pStyle w:val="TableParagraph"/>
              <w:widowControl/>
              <w:spacing w:before="0" w:after="240" w:line="288" w:lineRule="auto"/>
              <w:ind w:left="0"/>
              <w:rPr>
                <w:b/>
                <w:i/>
              </w:rPr>
            </w:pPr>
            <w:r w:rsidRPr="00EE44D0">
              <w:rPr>
                <w:b/>
                <w:i/>
              </w:rPr>
              <w:t>47</w:t>
            </w:r>
          </w:p>
        </w:tc>
        <w:tc>
          <w:tcPr>
            <w:tcW w:w="1788" w:type="dxa"/>
          </w:tcPr>
          <w:p w:rsidR="00E3058B" w:rsidRPr="00EE44D0" w:rsidRDefault="00DB14F7" w:rsidP="001C07B2">
            <w:pPr>
              <w:pStyle w:val="TableParagraph"/>
              <w:widowControl/>
              <w:spacing w:before="0" w:after="240" w:line="288" w:lineRule="auto"/>
              <w:ind w:left="0"/>
              <w:rPr>
                <w:b/>
                <w:i/>
              </w:rPr>
            </w:pPr>
            <w:r w:rsidRPr="00EE44D0">
              <w:rPr>
                <w:b/>
                <w:i/>
              </w:rPr>
              <w:t>16</w:t>
            </w:r>
          </w:p>
        </w:tc>
        <w:tc>
          <w:tcPr>
            <w:tcW w:w="1304" w:type="dxa"/>
          </w:tcPr>
          <w:p w:rsidR="00E3058B" w:rsidRPr="00EE44D0" w:rsidRDefault="00DB14F7" w:rsidP="001C07B2">
            <w:pPr>
              <w:pStyle w:val="TableParagraph"/>
              <w:widowControl/>
              <w:spacing w:before="0" w:after="240" w:line="288" w:lineRule="auto"/>
              <w:ind w:left="0"/>
              <w:rPr>
                <w:b/>
                <w:i/>
              </w:rPr>
            </w:pPr>
            <w:r w:rsidRPr="00EE44D0">
              <w:rPr>
                <w:b/>
                <w:i/>
              </w:rPr>
              <w:t>21</w:t>
            </w:r>
          </w:p>
        </w:tc>
      </w:tr>
      <w:tr w:rsidR="00507431">
        <w:trPr>
          <w:trHeight w:hRule="exact" w:val="799"/>
        </w:trPr>
        <w:tc>
          <w:tcPr>
            <w:tcW w:w="763" w:type="dxa"/>
          </w:tcPr>
          <w:p w:rsidR="00E3058B" w:rsidRPr="00EE44D0" w:rsidRDefault="00DB14F7" w:rsidP="001C07B2">
            <w:pPr>
              <w:pStyle w:val="TableParagraph"/>
              <w:widowControl/>
              <w:spacing w:before="0" w:after="240" w:line="288" w:lineRule="auto"/>
              <w:ind w:left="0"/>
              <w:rPr>
                <w:b/>
                <w:i/>
              </w:rPr>
            </w:pPr>
            <w:r w:rsidRPr="00EE44D0">
              <w:rPr>
                <w:b/>
                <w:i/>
              </w:rPr>
              <w:t>2007</w:t>
            </w:r>
          </w:p>
        </w:tc>
        <w:tc>
          <w:tcPr>
            <w:tcW w:w="2108" w:type="dxa"/>
          </w:tcPr>
          <w:p w:rsidR="00E3058B" w:rsidRPr="00EE44D0" w:rsidRDefault="00DB14F7" w:rsidP="001C07B2">
            <w:pPr>
              <w:pStyle w:val="TableParagraph"/>
              <w:widowControl/>
              <w:spacing w:before="0" w:after="240" w:line="288" w:lineRule="auto"/>
              <w:ind w:left="0"/>
              <w:rPr>
                <w:b/>
                <w:i/>
              </w:rPr>
            </w:pPr>
            <w:r w:rsidRPr="00EE44D0">
              <w:rPr>
                <w:b/>
                <w:i/>
              </w:rPr>
              <w:t>46</w:t>
            </w:r>
          </w:p>
        </w:tc>
        <w:tc>
          <w:tcPr>
            <w:tcW w:w="1788" w:type="dxa"/>
          </w:tcPr>
          <w:p w:rsidR="00E3058B" w:rsidRPr="00EE44D0" w:rsidRDefault="00DB14F7" w:rsidP="001C07B2">
            <w:pPr>
              <w:pStyle w:val="TableParagraph"/>
              <w:widowControl/>
              <w:spacing w:before="0" w:after="240" w:line="288" w:lineRule="auto"/>
              <w:ind w:left="0"/>
              <w:rPr>
                <w:b/>
                <w:i/>
              </w:rPr>
            </w:pPr>
            <w:r w:rsidRPr="00EE44D0">
              <w:rPr>
                <w:b/>
                <w:i/>
              </w:rPr>
              <w:t>13</w:t>
            </w:r>
          </w:p>
        </w:tc>
        <w:tc>
          <w:tcPr>
            <w:tcW w:w="1304" w:type="dxa"/>
          </w:tcPr>
          <w:p w:rsidR="00E3058B" w:rsidRPr="00EE44D0" w:rsidRDefault="00DB14F7" w:rsidP="001C07B2">
            <w:pPr>
              <w:pStyle w:val="TableParagraph"/>
              <w:widowControl/>
              <w:spacing w:before="0" w:after="240" w:line="288" w:lineRule="auto"/>
              <w:ind w:left="0"/>
              <w:rPr>
                <w:b/>
                <w:i/>
              </w:rPr>
            </w:pPr>
            <w:r w:rsidRPr="00EE44D0">
              <w:rPr>
                <w:b/>
                <w:i/>
              </w:rPr>
              <w:t>19</w:t>
            </w:r>
          </w:p>
        </w:tc>
      </w:tr>
      <w:tr w:rsidR="00507431">
        <w:trPr>
          <w:trHeight w:hRule="exact" w:val="799"/>
        </w:trPr>
        <w:tc>
          <w:tcPr>
            <w:tcW w:w="763" w:type="dxa"/>
          </w:tcPr>
          <w:p w:rsidR="00E3058B" w:rsidRPr="00EE44D0" w:rsidRDefault="00DB14F7" w:rsidP="001C07B2">
            <w:pPr>
              <w:pStyle w:val="TableParagraph"/>
              <w:widowControl/>
              <w:spacing w:before="0" w:after="240" w:line="288" w:lineRule="auto"/>
              <w:ind w:left="0"/>
              <w:rPr>
                <w:b/>
                <w:i/>
              </w:rPr>
            </w:pPr>
            <w:r w:rsidRPr="00EE44D0">
              <w:rPr>
                <w:b/>
                <w:i/>
              </w:rPr>
              <w:t>2008</w:t>
            </w:r>
          </w:p>
        </w:tc>
        <w:tc>
          <w:tcPr>
            <w:tcW w:w="2108" w:type="dxa"/>
          </w:tcPr>
          <w:p w:rsidR="00E3058B" w:rsidRPr="00EE44D0" w:rsidRDefault="00DB14F7" w:rsidP="001C07B2">
            <w:pPr>
              <w:pStyle w:val="TableParagraph"/>
              <w:widowControl/>
              <w:spacing w:before="0" w:after="240" w:line="288" w:lineRule="auto"/>
              <w:ind w:left="0"/>
              <w:rPr>
                <w:b/>
                <w:i/>
              </w:rPr>
            </w:pPr>
            <w:r w:rsidRPr="00EE44D0">
              <w:rPr>
                <w:b/>
                <w:i/>
              </w:rPr>
              <w:t>26</w:t>
            </w:r>
          </w:p>
        </w:tc>
        <w:tc>
          <w:tcPr>
            <w:tcW w:w="1788" w:type="dxa"/>
          </w:tcPr>
          <w:p w:rsidR="00E3058B" w:rsidRPr="00EE44D0" w:rsidRDefault="00DB14F7" w:rsidP="001C07B2">
            <w:pPr>
              <w:pStyle w:val="TableParagraph"/>
              <w:widowControl/>
              <w:spacing w:before="0" w:after="240" w:line="288" w:lineRule="auto"/>
              <w:ind w:left="0"/>
              <w:rPr>
                <w:b/>
                <w:i/>
              </w:rPr>
            </w:pPr>
            <w:r w:rsidRPr="00EE44D0">
              <w:rPr>
                <w:b/>
                <w:i/>
              </w:rPr>
              <w:t>9</w:t>
            </w:r>
          </w:p>
        </w:tc>
        <w:tc>
          <w:tcPr>
            <w:tcW w:w="1304" w:type="dxa"/>
          </w:tcPr>
          <w:p w:rsidR="00E3058B" w:rsidRPr="00EE44D0" w:rsidRDefault="00DB14F7" w:rsidP="001C07B2">
            <w:pPr>
              <w:pStyle w:val="TableParagraph"/>
              <w:widowControl/>
              <w:spacing w:before="0" w:after="240" w:line="288" w:lineRule="auto"/>
              <w:ind w:left="0"/>
              <w:rPr>
                <w:b/>
                <w:i/>
              </w:rPr>
            </w:pPr>
            <w:r w:rsidRPr="00EE44D0">
              <w:rPr>
                <w:b/>
                <w:i/>
              </w:rPr>
              <w:t>10</w:t>
            </w:r>
          </w:p>
        </w:tc>
      </w:tr>
      <w:tr w:rsidR="00507431">
        <w:trPr>
          <w:trHeight w:hRule="exact" w:val="802"/>
        </w:trPr>
        <w:tc>
          <w:tcPr>
            <w:tcW w:w="763" w:type="dxa"/>
            <w:tcBorders>
              <w:bottom w:val="single" w:sz="8" w:space="0" w:color="000000"/>
            </w:tcBorders>
          </w:tcPr>
          <w:p w:rsidR="00E3058B" w:rsidRPr="00EE44D0" w:rsidRDefault="00DB14F7" w:rsidP="001C07B2">
            <w:pPr>
              <w:pStyle w:val="TableParagraph"/>
              <w:widowControl/>
              <w:spacing w:before="0" w:after="240" w:line="288" w:lineRule="auto"/>
              <w:ind w:left="0"/>
              <w:rPr>
                <w:b/>
                <w:i/>
              </w:rPr>
            </w:pPr>
            <w:r w:rsidRPr="00EE44D0">
              <w:rPr>
                <w:b/>
                <w:i/>
              </w:rPr>
              <w:t>2009</w:t>
            </w:r>
          </w:p>
        </w:tc>
        <w:tc>
          <w:tcPr>
            <w:tcW w:w="2108" w:type="dxa"/>
            <w:tcBorders>
              <w:bottom w:val="single" w:sz="8" w:space="0" w:color="000000"/>
            </w:tcBorders>
          </w:tcPr>
          <w:p w:rsidR="00E3058B" w:rsidRPr="00EE44D0" w:rsidRDefault="00DB14F7" w:rsidP="001C07B2">
            <w:pPr>
              <w:pStyle w:val="TableParagraph"/>
              <w:widowControl/>
              <w:spacing w:before="0" w:after="240" w:line="288" w:lineRule="auto"/>
              <w:ind w:left="0"/>
              <w:rPr>
                <w:b/>
                <w:i/>
              </w:rPr>
            </w:pPr>
            <w:r w:rsidRPr="00EE44D0">
              <w:rPr>
                <w:b/>
                <w:i/>
              </w:rPr>
              <w:t>19</w:t>
            </w:r>
          </w:p>
        </w:tc>
        <w:tc>
          <w:tcPr>
            <w:tcW w:w="1788" w:type="dxa"/>
            <w:tcBorders>
              <w:bottom w:val="single" w:sz="8" w:space="0" w:color="000000"/>
            </w:tcBorders>
          </w:tcPr>
          <w:p w:rsidR="00E3058B" w:rsidRPr="00EE44D0" w:rsidRDefault="00DB14F7" w:rsidP="001C07B2">
            <w:pPr>
              <w:pStyle w:val="TableParagraph"/>
              <w:widowControl/>
              <w:spacing w:before="0" w:after="240" w:line="288" w:lineRule="auto"/>
              <w:ind w:left="0"/>
              <w:rPr>
                <w:b/>
                <w:i/>
              </w:rPr>
            </w:pPr>
            <w:r w:rsidRPr="00EE44D0">
              <w:rPr>
                <w:b/>
                <w:i/>
              </w:rPr>
              <w:t>10</w:t>
            </w:r>
          </w:p>
        </w:tc>
        <w:tc>
          <w:tcPr>
            <w:tcW w:w="1304" w:type="dxa"/>
            <w:tcBorders>
              <w:bottom w:val="single" w:sz="8" w:space="0" w:color="000000"/>
            </w:tcBorders>
          </w:tcPr>
          <w:p w:rsidR="00E3058B" w:rsidRPr="00EE44D0" w:rsidRDefault="00DB14F7" w:rsidP="001C07B2">
            <w:pPr>
              <w:pStyle w:val="TableParagraph"/>
              <w:widowControl/>
              <w:spacing w:before="0" w:after="240" w:line="288" w:lineRule="auto"/>
              <w:ind w:left="0"/>
              <w:rPr>
                <w:b/>
                <w:i/>
              </w:rPr>
            </w:pPr>
            <w:r w:rsidRPr="00EE44D0">
              <w:rPr>
                <w:b/>
                <w:i/>
              </w:rPr>
              <w:t>7</w:t>
            </w:r>
          </w:p>
        </w:tc>
      </w:tr>
      <w:tr w:rsidR="00507431">
        <w:trPr>
          <w:trHeight w:hRule="exact" w:val="799"/>
        </w:trPr>
        <w:tc>
          <w:tcPr>
            <w:tcW w:w="763" w:type="dxa"/>
            <w:tcBorders>
              <w:top w:val="single" w:sz="8" w:space="0" w:color="000000"/>
            </w:tcBorders>
          </w:tcPr>
          <w:p w:rsidR="00E3058B" w:rsidRPr="00EE44D0" w:rsidRDefault="00DB14F7" w:rsidP="001C07B2">
            <w:pPr>
              <w:pStyle w:val="TableParagraph"/>
              <w:widowControl/>
              <w:spacing w:before="0" w:after="240" w:line="288" w:lineRule="auto"/>
              <w:ind w:left="0"/>
              <w:rPr>
                <w:b/>
                <w:i/>
              </w:rPr>
            </w:pPr>
            <w:r w:rsidRPr="00EE44D0">
              <w:rPr>
                <w:b/>
                <w:i/>
              </w:rPr>
              <w:t>2010</w:t>
            </w:r>
          </w:p>
        </w:tc>
        <w:tc>
          <w:tcPr>
            <w:tcW w:w="2108" w:type="dxa"/>
            <w:tcBorders>
              <w:top w:val="single" w:sz="8" w:space="0" w:color="000000"/>
            </w:tcBorders>
          </w:tcPr>
          <w:p w:rsidR="00E3058B" w:rsidRPr="00EE44D0" w:rsidRDefault="00DB14F7" w:rsidP="001C07B2">
            <w:pPr>
              <w:pStyle w:val="TableParagraph"/>
              <w:widowControl/>
              <w:spacing w:before="0" w:after="240" w:line="288" w:lineRule="auto"/>
              <w:ind w:left="0"/>
              <w:rPr>
                <w:b/>
                <w:i/>
              </w:rPr>
            </w:pPr>
            <w:r w:rsidRPr="00EE44D0">
              <w:rPr>
                <w:b/>
                <w:i/>
              </w:rPr>
              <w:t>31</w:t>
            </w:r>
          </w:p>
        </w:tc>
        <w:tc>
          <w:tcPr>
            <w:tcW w:w="1788" w:type="dxa"/>
            <w:tcBorders>
              <w:top w:val="single" w:sz="8" w:space="0" w:color="000000"/>
            </w:tcBorders>
          </w:tcPr>
          <w:p w:rsidR="00E3058B" w:rsidRPr="00EE44D0" w:rsidRDefault="00DB14F7" w:rsidP="001C07B2">
            <w:pPr>
              <w:pStyle w:val="TableParagraph"/>
              <w:widowControl/>
              <w:spacing w:before="0" w:after="240" w:line="288" w:lineRule="auto"/>
              <w:ind w:left="0"/>
              <w:rPr>
                <w:b/>
                <w:i/>
              </w:rPr>
            </w:pPr>
            <w:r w:rsidRPr="00EE44D0">
              <w:rPr>
                <w:b/>
                <w:i/>
              </w:rPr>
              <w:t>12</w:t>
            </w:r>
          </w:p>
        </w:tc>
        <w:tc>
          <w:tcPr>
            <w:tcW w:w="1304" w:type="dxa"/>
            <w:tcBorders>
              <w:top w:val="single" w:sz="8" w:space="0" w:color="000000"/>
            </w:tcBorders>
          </w:tcPr>
          <w:p w:rsidR="00E3058B" w:rsidRPr="00EE44D0" w:rsidRDefault="00DB14F7" w:rsidP="001C07B2">
            <w:pPr>
              <w:pStyle w:val="TableParagraph"/>
              <w:widowControl/>
              <w:spacing w:before="0" w:after="240" w:line="288" w:lineRule="auto"/>
              <w:ind w:left="0"/>
              <w:rPr>
                <w:b/>
                <w:i/>
              </w:rPr>
            </w:pPr>
            <w:r w:rsidRPr="00EE44D0">
              <w:rPr>
                <w:b/>
                <w:i/>
              </w:rPr>
              <w:t>14</w:t>
            </w:r>
          </w:p>
        </w:tc>
      </w:tr>
      <w:tr w:rsidR="00507431">
        <w:trPr>
          <w:trHeight w:hRule="exact" w:val="799"/>
        </w:trPr>
        <w:tc>
          <w:tcPr>
            <w:tcW w:w="763" w:type="dxa"/>
          </w:tcPr>
          <w:p w:rsidR="00E3058B" w:rsidRPr="00EE44D0" w:rsidRDefault="00DB14F7" w:rsidP="001C07B2">
            <w:pPr>
              <w:pStyle w:val="TableParagraph"/>
              <w:widowControl/>
              <w:spacing w:before="0" w:after="240" w:line="288" w:lineRule="auto"/>
              <w:ind w:left="0"/>
              <w:rPr>
                <w:b/>
                <w:i/>
              </w:rPr>
            </w:pPr>
            <w:r w:rsidRPr="00EE44D0">
              <w:rPr>
                <w:b/>
                <w:i/>
              </w:rPr>
              <w:t>2011</w:t>
            </w:r>
          </w:p>
        </w:tc>
        <w:tc>
          <w:tcPr>
            <w:tcW w:w="2108" w:type="dxa"/>
          </w:tcPr>
          <w:p w:rsidR="00E3058B" w:rsidRPr="00EE44D0" w:rsidRDefault="00DB14F7" w:rsidP="001C07B2">
            <w:pPr>
              <w:pStyle w:val="TableParagraph"/>
              <w:widowControl/>
              <w:spacing w:before="0" w:after="240" w:line="288" w:lineRule="auto"/>
              <w:ind w:left="0"/>
              <w:rPr>
                <w:b/>
                <w:i/>
              </w:rPr>
            </w:pPr>
            <w:r w:rsidRPr="00EE44D0">
              <w:rPr>
                <w:b/>
                <w:i/>
              </w:rPr>
              <w:t>28*</w:t>
            </w:r>
          </w:p>
        </w:tc>
        <w:tc>
          <w:tcPr>
            <w:tcW w:w="1788" w:type="dxa"/>
          </w:tcPr>
          <w:p w:rsidR="00E3058B" w:rsidRPr="00EE44D0" w:rsidRDefault="00DB14F7" w:rsidP="001C07B2">
            <w:pPr>
              <w:pStyle w:val="TableParagraph"/>
              <w:widowControl/>
              <w:spacing w:before="0" w:after="240" w:line="288" w:lineRule="auto"/>
              <w:ind w:left="0"/>
              <w:rPr>
                <w:b/>
                <w:i/>
              </w:rPr>
            </w:pPr>
            <w:r w:rsidRPr="00EE44D0">
              <w:rPr>
                <w:b/>
                <w:i/>
              </w:rPr>
              <w:t>9</w:t>
            </w:r>
          </w:p>
        </w:tc>
        <w:tc>
          <w:tcPr>
            <w:tcW w:w="1304" w:type="dxa"/>
          </w:tcPr>
          <w:p w:rsidR="00E3058B" w:rsidRPr="00EE44D0" w:rsidRDefault="00DB14F7" w:rsidP="001C07B2">
            <w:pPr>
              <w:pStyle w:val="TableParagraph"/>
              <w:widowControl/>
              <w:spacing w:before="0" w:after="240" w:line="288" w:lineRule="auto"/>
              <w:ind w:left="0"/>
              <w:rPr>
                <w:b/>
                <w:i/>
              </w:rPr>
            </w:pPr>
            <w:r w:rsidRPr="00EE44D0">
              <w:rPr>
                <w:b/>
                <w:i/>
              </w:rPr>
              <w:t>7</w:t>
            </w:r>
          </w:p>
        </w:tc>
      </w:tr>
      <w:tr w:rsidR="00507431">
        <w:trPr>
          <w:trHeight w:hRule="exact" w:val="802"/>
        </w:trPr>
        <w:tc>
          <w:tcPr>
            <w:tcW w:w="763" w:type="dxa"/>
          </w:tcPr>
          <w:p w:rsidR="00E3058B" w:rsidRPr="00EE44D0" w:rsidRDefault="00DB14F7" w:rsidP="001C07B2">
            <w:pPr>
              <w:pStyle w:val="TableParagraph"/>
              <w:widowControl/>
              <w:spacing w:before="0" w:after="240" w:line="288" w:lineRule="auto"/>
              <w:ind w:left="0"/>
              <w:rPr>
                <w:b/>
                <w:i/>
              </w:rPr>
            </w:pPr>
            <w:r w:rsidRPr="00EE44D0">
              <w:rPr>
                <w:b/>
                <w:i/>
              </w:rPr>
              <w:t>2012</w:t>
            </w:r>
          </w:p>
        </w:tc>
        <w:tc>
          <w:tcPr>
            <w:tcW w:w="2108" w:type="dxa"/>
          </w:tcPr>
          <w:p w:rsidR="00E3058B" w:rsidRPr="00EE44D0" w:rsidRDefault="00DB14F7" w:rsidP="001C07B2">
            <w:pPr>
              <w:pStyle w:val="TableParagraph"/>
              <w:widowControl/>
              <w:spacing w:before="0" w:after="240" w:line="288" w:lineRule="auto"/>
              <w:ind w:left="0"/>
              <w:rPr>
                <w:b/>
                <w:i/>
              </w:rPr>
            </w:pPr>
            <w:r w:rsidRPr="00EE44D0">
              <w:rPr>
                <w:b/>
                <w:i/>
              </w:rPr>
              <w:t>20*</w:t>
            </w:r>
          </w:p>
        </w:tc>
        <w:tc>
          <w:tcPr>
            <w:tcW w:w="1788" w:type="dxa"/>
          </w:tcPr>
          <w:p w:rsidR="00E3058B" w:rsidRPr="00EE44D0" w:rsidRDefault="00DB14F7" w:rsidP="001C07B2">
            <w:pPr>
              <w:pStyle w:val="TableParagraph"/>
              <w:widowControl/>
              <w:spacing w:before="0" w:after="240" w:line="288" w:lineRule="auto"/>
              <w:ind w:left="0"/>
              <w:rPr>
                <w:b/>
                <w:i/>
              </w:rPr>
            </w:pPr>
            <w:r w:rsidRPr="00EE44D0">
              <w:rPr>
                <w:b/>
                <w:i/>
              </w:rPr>
              <w:t>7</w:t>
            </w:r>
          </w:p>
        </w:tc>
        <w:tc>
          <w:tcPr>
            <w:tcW w:w="1304" w:type="dxa"/>
          </w:tcPr>
          <w:p w:rsidR="00E3058B" w:rsidRPr="00EE44D0" w:rsidRDefault="00DB14F7" w:rsidP="001C07B2">
            <w:pPr>
              <w:pStyle w:val="TableParagraph"/>
              <w:widowControl/>
              <w:spacing w:before="0" w:after="240" w:line="288" w:lineRule="auto"/>
              <w:ind w:left="0"/>
              <w:rPr>
                <w:b/>
                <w:i/>
              </w:rPr>
            </w:pPr>
            <w:r w:rsidRPr="00EE44D0">
              <w:rPr>
                <w:b/>
                <w:i/>
              </w:rPr>
              <w:t>7</w:t>
            </w:r>
          </w:p>
        </w:tc>
      </w:tr>
      <w:tr w:rsidR="00507431">
        <w:trPr>
          <w:trHeight w:hRule="exact" w:val="799"/>
        </w:trPr>
        <w:tc>
          <w:tcPr>
            <w:tcW w:w="763" w:type="dxa"/>
          </w:tcPr>
          <w:p w:rsidR="00E3058B" w:rsidRPr="00EE44D0" w:rsidRDefault="00DB14F7" w:rsidP="001C07B2">
            <w:pPr>
              <w:pStyle w:val="TableParagraph"/>
              <w:widowControl/>
              <w:spacing w:before="0" w:after="240" w:line="288" w:lineRule="auto"/>
              <w:ind w:left="0"/>
              <w:rPr>
                <w:b/>
                <w:i/>
              </w:rPr>
            </w:pPr>
            <w:r w:rsidRPr="00EE44D0">
              <w:rPr>
                <w:b/>
                <w:i/>
              </w:rPr>
              <w:t>2013</w:t>
            </w:r>
          </w:p>
        </w:tc>
        <w:tc>
          <w:tcPr>
            <w:tcW w:w="2108" w:type="dxa"/>
          </w:tcPr>
          <w:p w:rsidR="00E3058B" w:rsidRPr="00EE44D0" w:rsidRDefault="00DB14F7" w:rsidP="001C07B2">
            <w:pPr>
              <w:pStyle w:val="TableParagraph"/>
              <w:widowControl/>
              <w:spacing w:before="0" w:after="240" w:line="288" w:lineRule="auto"/>
              <w:ind w:left="0"/>
              <w:rPr>
                <w:b/>
                <w:i/>
              </w:rPr>
            </w:pPr>
            <w:r w:rsidRPr="00EE44D0">
              <w:rPr>
                <w:b/>
                <w:i/>
              </w:rPr>
              <w:t>15*</w:t>
            </w:r>
          </w:p>
        </w:tc>
        <w:tc>
          <w:tcPr>
            <w:tcW w:w="1788" w:type="dxa"/>
          </w:tcPr>
          <w:p w:rsidR="00E3058B" w:rsidRPr="00EE44D0" w:rsidRDefault="00DB14F7" w:rsidP="001C07B2">
            <w:pPr>
              <w:pStyle w:val="TableParagraph"/>
              <w:widowControl/>
              <w:spacing w:before="0" w:after="240" w:line="288" w:lineRule="auto"/>
              <w:ind w:left="0"/>
              <w:rPr>
                <w:b/>
                <w:i/>
              </w:rPr>
            </w:pPr>
            <w:r w:rsidRPr="00EE44D0">
              <w:rPr>
                <w:b/>
                <w:i/>
              </w:rPr>
              <w:t>4</w:t>
            </w:r>
          </w:p>
        </w:tc>
        <w:tc>
          <w:tcPr>
            <w:tcW w:w="1304" w:type="dxa"/>
          </w:tcPr>
          <w:p w:rsidR="00E3058B" w:rsidRPr="00EE44D0" w:rsidRDefault="00DB14F7" w:rsidP="001C07B2">
            <w:pPr>
              <w:pStyle w:val="TableParagraph"/>
              <w:widowControl/>
              <w:spacing w:before="0" w:after="240" w:line="288" w:lineRule="auto"/>
              <w:ind w:left="0"/>
              <w:rPr>
                <w:b/>
                <w:i/>
              </w:rPr>
            </w:pPr>
            <w:r w:rsidRPr="00EE44D0">
              <w:rPr>
                <w:b/>
                <w:i/>
              </w:rPr>
              <w:t>4</w:t>
            </w:r>
          </w:p>
        </w:tc>
      </w:tr>
      <w:tr w:rsidR="00507431">
        <w:trPr>
          <w:trHeight w:hRule="exact" w:val="800"/>
        </w:trPr>
        <w:tc>
          <w:tcPr>
            <w:tcW w:w="763" w:type="dxa"/>
          </w:tcPr>
          <w:p w:rsidR="00E3058B" w:rsidRPr="00EE44D0" w:rsidRDefault="00DB14F7" w:rsidP="001C07B2">
            <w:pPr>
              <w:pStyle w:val="TableParagraph"/>
              <w:widowControl/>
              <w:spacing w:before="0" w:after="240" w:line="288" w:lineRule="auto"/>
              <w:ind w:left="0"/>
              <w:rPr>
                <w:b/>
                <w:i/>
              </w:rPr>
            </w:pPr>
            <w:r w:rsidRPr="00EE44D0">
              <w:rPr>
                <w:b/>
                <w:i/>
              </w:rPr>
              <w:t>2014</w:t>
            </w:r>
          </w:p>
        </w:tc>
        <w:tc>
          <w:tcPr>
            <w:tcW w:w="2108" w:type="dxa"/>
          </w:tcPr>
          <w:p w:rsidR="00E3058B" w:rsidRPr="00EE44D0" w:rsidRDefault="00DB14F7" w:rsidP="001C07B2">
            <w:pPr>
              <w:pStyle w:val="TableParagraph"/>
              <w:widowControl/>
              <w:spacing w:before="0" w:after="240" w:line="288" w:lineRule="auto"/>
              <w:ind w:left="0"/>
              <w:rPr>
                <w:b/>
                <w:i/>
              </w:rPr>
            </w:pPr>
            <w:r w:rsidRPr="00EE44D0">
              <w:rPr>
                <w:b/>
                <w:i/>
              </w:rPr>
              <w:t>20*</w:t>
            </w:r>
          </w:p>
        </w:tc>
        <w:tc>
          <w:tcPr>
            <w:tcW w:w="1788" w:type="dxa"/>
          </w:tcPr>
          <w:p w:rsidR="00E3058B" w:rsidRPr="00EE44D0" w:rsidRDefault="00DB14F7" w:rsidP="001C07B2">
            <w:pPr>
              <w:pStyle w:val="TableParagraph"/>
              <w:widowControl/>
              <w:spacing w:before="0" w:after="240" w:line="288" w:lineRule="auto"/>
              <w:ind w:left="0"/>
              <w:rPr>
                <w:b/>
                <w:i/>
              </w:rPr>
            </w:pPr>
            <w:r w:rsidRPr="00EE44D0">
              <w:rPr>
                <w:b/>
                <w:i/>
              </w:rPr>
              <w:t>12</w:t>
            </w:r>
          </w:p>
        </w:tc>
        <w:tc>
          <w:tcPr>
            <w:tcW w:w="1304" w:type="dxa"/>
          </w:tcPr>
          <w:p w:rsidR="00E3058B" w:rsidRPr="00EE44D0" w:rsidRDefault="00DB14F7" w:rsidP="001C07B2">
            <w:pPr>
              <w:pStyle w:val="TableParagraph"/>
              <w:widowControl/>
              <w:spacing w:before="0" w:after="240" w:line="288" w:lineRule="auto"/>
              <w:ind w:left="0"/>
              <w:rPr>
                <w:b/>
                <w:i/>
              </w:rPr>
            </w:pPr>
            <w:r w:rsidRPr="00EE44D0">
              <w:rPr>
                <w:b/>
                <w:i/>
              </w:rPr>
              <w:t>19</w:t>
            </w:r>
          </w:p>
        </w:tc>
      </w:tr>
      <w:tr w:rsidR="00507431">
        <w:trPr>
          <w:trHeight w:hRule="exact" w:val="802"/>
        </w:trPr>
        <w:tc>
          <w:tcPr>
            <w:tcW w:w="763" w:type="dxa"/>
          </w:tcPr>
          <w:p w:rsidR="00E3058B" w:rsidRPr="00EE44D0" w:rsidRDefault="00DB14F7" w:rsidP="001C07B2">
            <w:pPr>
              <w:pStyle w:val="TableParagraph"/>
              <w:widowControl/>
              <w:spacing w:before="0" w:after="240" w:line="288" w:lineRule="auto"/>
              <w:ind w:left="0"/>
              <w:rPr>
                <w:b/>
                <w:i/>
              </w:rPr>
            </w:pPr>
            <w:r w:rsidRPr="00EE44D0">
              <w:rPr>
                <w:b/>
                <w:i/>
              </w:rPr>
              <w:t>2015</w:t>
            </w:r>
          </w:p>
        </w:tc>
        <w:tc>
          <w:tcPr>
            <w:tcW w:w="2108" w:type="dxa"/>
          </w:tcPr>
          <w:p w:rsidR="00E3058B" w:rsidRPr="00EE44D0" w:rsidRDefault="00DB14F7" w:rsidP="001C07B2">
            <w:pPr>
              <w:pStyle w:val="TableParagraph"/>
              <w:widowControl/>
              <w:spacing w:before="0" w:after="240" w:line="288" w:lineRule="auto"/>
              <w:ind w:left="0"/>
              <w:rPr>
                <w:b/>
                <w:i/>
              </w:rPr>
            </w:pPr>
            <w:r w:rsidRPr="00EE44D0">
              <w:rPr>
                <w:b/>
                <w:i/>
              </w:rPr>
              <w:t>19*</w:t>
            </w:r>
          </w:p>
        </w:tc>
        <w:tc>
          <w:tcPr>
            <w:tcW w:w="1788" w:type="dxa"/>
          </w:tcPr>
          <w:p w:rsidR="00E3058B" w:rsidRPr="00EE44D0" w:rsidRDefault="00DB14F7" w:rsidP="001C07B2">
            <w:pPr>
              <w:pStyle w:val="TableParagraph"/>
              <w:widowControl/>
              <w:spacing w:before="0" w:after="240" w:line="288" w:lineRule="auto"/>
              <w:ind w:left="0"/>
              <w:rPr>
                <w:b/>
                <w:i/>
              </w:rPr>
            </w:pPr>
            <w:r w:rsidRPr="00EE44D0">
              <w:rPr>
                <w:b/>
                <w:i/>
              </w:rPr>
              <w:t>9</w:t>
            </w:r>
          </w:p>
        </w:tc>
        <w:tc>
          <w:tcPr>
            <w:tcW w:w="1304" w:type="dxa"/>
          </w:tcPr>
          <w:p w:rsidR="00E3058B" w:rsidRPr="00EE44D0" w:rsidRDefault="00DB14F7" w:rsidP="001C07B2">
            <w:pPr>
              <w:pStyle w:val="TableParagraph"/>
              <w:widowControl/>
              <w:spacing w:before="0" w:after="240" w:line="288" w:lineRule="auto"/>
              <w:ind w:left="0"/>
              <w:rPr>
                <w:b/>
                <w:i/>
              </w:rPr>
            </w:pPr>
            <w:r w:rsidRPr="00EE44D0">
              <w:rPr>
                <w:b/>
                <w:i/>
              </w:rPr>
              <w:t>5</w:t>
            </w:r>
          </w:p>
        </w:tc>
      </w:tr>
      <w:tr w:rsidR="00507431">
        <w:trPr>
          <w:trHeight w:hRule="exact" w:val="799"/>
        </w:trPr>
        <w:tc>
          <w:tcPr>
            <w:tcW w:w="763" w:type="dxa"/>
          </w:tcPr>
          <w:p w:rsidR="00E3058B" w:rsidRPr="00EE44D0" w:rsidRDefault="00DB14F7" w:rsidP="001C07B2">
            <w:pPr>
              <w:pStyle w:val="TableParagraph"/>
              <w:widowControl/>
              <w:spacing w:before="0" w:after="240" w:line="288" w:lineRule="auto"/>
              <w:ind w:left="0"/>
              <w:rPr>
                <w:b/>
                <w:i/>
              </w:rPr>
            </w:pPr>
            <w:r w:rsidRPr="00EE44D0">
              <w:rPr>
                <w:b/>
                <w:i/>
              </w:rPr>
              <w:t>2016</w:t>
            </w:r>
          </w:p>
        </w:tc>
        <w:tc>
          <w:tcPr>
            <w:tcW w:w="2108" w:type="dxa"/>
          </w:tcPr>
          <w:p w:rsidR="00E3058B" w:rsidRPr="00EE44D0" w:rsidRDefault="00DB14F7" w:rsidP="001C07B2">
            <w:pPr>
              <w:pStyle w:val="TableParagraph"/>
              <w:widowControl/>
              <w:spacing w:before="0" w:after="240" w:line="288" w:lineRule="auto"/>
              <w:ind w:left="0"/>
              <w:rPr>
                <w:b/>
                <w:i/>
              </w:rPr>
            </w:pPr>
            <w:r w:rsidRPr="00EE44D0">
              <w:rPr>
                <w:b/>
                <w:i/>
              </w:rPr>
              <w:t>13*</w:t>
            </w:r>
          </w:p>
        </w:tc>
        <w:tc>
          <w:tcPr>
            <w:tcW w:w="1788" w:type="dxa"/>
          </w:tcPr>
          <w:p w:rsidR="00E3058B" w:rsidRPr="00EE44D0" w:rsidRDefault="00DB14F7" w:rsidP="001C07B2">
            <w:pPr>
              <w:pStyle w:val="TableParagraph"/>
              <w:widowControl/>
              <w:spacing w:before="0" w:after="240" w:line="288" w:lineRule="auto"/>
              <w:ind w:left="0"/>
              <w:rPr>
                <w:b/>
                <w:i/>
              </w:rPr>
            </w:pPr>
            <w:r w:rsidRPr="00EE44D0">
              <w:rPr>
                <w:b/>
                <w:i/>
              </w:rPr>
              <w:t>1</w:t>
            </w:r>
          </w:p>
        </w:tc>
        <w:tc>
          <w:tcPr>
            <w:tcW w:w="1304" w:type="dxa"/>
          </w:tcPr>
          <w:p w:rsidR="00E3058B" w:rsidRPr="00EE44D0" w:rsidRDefault="00DB14F7" w:rsidP="001C07B2">
            <w:pPr>
              <w:pStyle w:val="TableParagraph"/>
              <w:widowControl/>
              <w:spacing w:before="0" w:after="240" w:line="288" w:lineRule="auto"/>
              <w:ind w:left="0"/>
              <w:rPr>
                <w:b/>
                <w:i/>
              </w:rPr>
            </w:pPr>
            <w:r w:rsidRPr="00EE44D0">
              <w:rPr>
                <w:b/>
                <w:i/>
              </w:rPr>
              <w:t>7</w:t>
            </w:r>
          </w:p>
        </w:tc>
      </w:tr>
    </w:tbl>
    <w:p w:rsidR="00E3058B" w:rsidRPr="00EE44D0" w:rsidRDefault="00E3058B" w:rsidP="001C07B2">
      <w:pPr>
        <w:pStyle w:val="BodyText"/>
        <w:widowControl/>
        <w:spacing w:after="240" w:line="288" w:lineRule="auto"/>
        <w:rPr>
          <w:sz w:val="17"/>
        </w:rPr>
      </w:pPr>
    </w:p>
    <w:p w:rsidR="00E3058B" w:rsidRPr="00EE44D0" w:rsidRDefault="00DB14F7" w:rsidP="001C07B2">
      <w:pPr>
        <w:pStyle w:val="BodyText"/>
        <w:widowControl/>
        <w:spacing w:after="240" w:line="288" w:lineRule="auto"/>
        <w:jc w:val="both"/>
      </w:pPr>
      <w:r w:rsidRPr="00EE44D0">
        <w:t>*The railway accidents field includes both collisions between motor vehicles and rolling stock, and accidents to persons caused by rolling stock in motion, as well as derailments of and collisions between trains. In previous years, this field has reflected</w:t>
      </w:r>
      <w:r w:rsidRPr="00EE44D0">
        <w:t xml:space="preserve"> only collisions and accidents to persons caused by rolling stock in motion because collisions between trains during shunting operations were not classified as accidents involving rolling stock in motion. In recent years, the Estonian legal space has been </w:t>
      </w:r>
      <w:r w:rsidRPr="00EE44D0">
        <w:t>brought into accordance with European law with the result that the total number of accidents also includes derailments of and collisions between trains during shunting operations.</w:t>
      </w:r>
    </w:p>
    <w:p w:rsidR="00E3058B" w:rsidRPr="00EE44D0" w:rsidRDefault="00DB14F7" w:rsidP="001C07B2">
      <w:pPr>
        <w:pStyle w:val="BodyText"/>
        <w:widowControl/>
        <w:spacing w:after="240" w:line="288" w:lineRule="auto"/>
        <w:jc w:val="both"/>
      </w:pPr>
      <w:r w:rsidRPr="00EE44D0">
        <w:t xml:space="preserve">One attempted suicide in which a person was injured was added to the number </w:t>
      </w:r>
      <w:r w:rsidRPr="00EE44D0">
        <w:t>of persons injured in 2016.</w:t>
      </w:r>
    </w:p>
    <w:p w:rsidR="00E3058B" w:rsidRPr="00EE44D0" w:rsidRDefault="00DB14F7" w:rsidP="001C07B2">
      <w:pPr>
        <w:pStyle w:val="Heading2"/>
        <w:widowControl/>
        <w:numPr>
          <w:ilvl w:val="1"/>
          <w:numId w:val="2"/>
        </w:numPr>
        <w:spacing w:after="240" w:line="288" w:lineRule="auto"/>
        <w:ind w:left="0" w:firstLine="0"/>
      </w:pPr>
      <w:bookmarkStart w:id="61" w:name="_bookmark20"/>
      <w:bookmarkStart w:id="62" w:name="_Toc496109868"/>
      <w:bookmarkStart w:id="63" w:name="_Toc499795584"/>
      <w:bookmarkEnd w:id="61"/>
      <w:r w:rsidRPr="00EE44D0">
        <w:t>Safety recommendations summary</w:t>
      </w:r>
      <w:bookmarkEnd w:id="62"/>
      <w:bookmarkEnd w:id="63"/>
    </w:p>
    <w:p w:rsidR="00E3058B" w:rsidRPr="00EE44D0" w:rsidRDefault="00DB14F7" w:rsidP="001C07B2">
      <w:pPr>
        <w:pStyle w:val="BodyText"/>
        <w:widowControl/>
        <w:spacing w:after="240" w:line="288" w:lineRule="auto"/>
        <w:jc w:val="both"/>
      </w:pPr>
      <w:r w:rsidRPr="00EE44D0">
        <w:t xml:space="preserve">In 2016, the Safety Investigation Bureau submitted a report to the TRA on rail breakages in the railway infrastructure for AS Eesti Raudtee, investigated in 2015 and 2016. The Safety Investigation </w:t>
      </w:r>
      <w:r w:rsidRPr="00EE44D0">
        <w:t>Bureau submitted its comments and opinions regarding rail breakages in thermite welding, concluding that the company had applied appropriate measures for operational activities when it came to preventing, identifying, and mending rail breakages. As no seri</w:t>
      </w:r>
      <w:r w:rsidRPr="00EE44D0">
        <w:t>ous accidents had occurred, the Safety Investigation Bureau did not send any recommendations to the TRA in 2016.</w:t>
      </w:r>
    </w:p>
    <w:p w:rsidR="00E3058B" w:rsidRPr="00EE44D0" w:rsidRDefault="00DB14F7" w:rsidP="001C07B2">
      <w:pPr>
        <w:pStyle w:val="BodyText"/>
        <w:widowControl/>
        <w:spacing w:after="240" w:line="288" w:lineRule="auto"/>
        <w:jc w:val="both"/>
      </w:pPr>
      <w:r w:rsidRPr="00EE44D0">
        <w:t>All of the safety investigation reports and recommendations which had been prepared earlier are now in the public domain and are available from</w:t>
      </w:r>
      <w:r w:rsidRPr="00EE44D0">
        <w:t xml:space="preserve"> the Estonian Safety Investigation Bureau's website: </w:t>
      </w:r>
      <w:hyperlink r:id="rId23" w:history="1">
        <w:r w:rsidRPr="00EE44D0">
          <w:rPr>
            <w:color w:val="0000FF"/>
            <w:u w:val="single" w:color="0000FF"/>
          </w:rPr>
          <w:t>http://www.ojk.ee/</w:t>
        </w:r>
      </w:hyperlink>
      <w:r w:rsidRPr="00EE44D0">
        <w:t>.</w:t>
      </w:r>
    </w:p>
    <w:p w:rsidR="00E3058B" w:rsidRPr="00EE44D0" w:rsidRDefault="00DB14F7" w:rsidP="001C07B2">
      <w:pPr>
        <w:pStyle w:val="Heading1"/>
        <w:keepNext/>
        <w:widowControl/>
        <w:numPr>
          <w:ilvl w:val="0"/>
          <w:numId w:val="2"/>
        </w:numPr>
        <w:spacing w:after="240" w:line="288" w:lineRule="auto"/>
        <w:ind w:left="0" w:firstLine="0"/>
      </w:pPr>
      <w:bookmarkStart w:id="64" w:name="_bookmark21"/>
      <w:bookmarkStart w:id="65" w:name="_Toc496109869"/>
      <w:bookmarkStart w:id="66" w:name="_Toc499795585"/>
      <w:bookmarkEnd w:id="64"/>
      <w:r w:rsidRPr="00EE44D0">
        <w:t>Main amendments to legislation</w:t>
      </w:r>
      <w:bookmarkEnd w:id="65"/>
      <w:bookmarkEnd w:id="66"/>
    </w:p>
    <w:p w:rsidR="00E3058B" w:rsidRPr="00EE44D0" w:rsidRDefault="00DB14F7" w:rsidP="001C07B2">
      <w:pPr>
        <w:pStyle w:val="BodyText"/>
        <w:widowControl/>
        <w:spacing w:after="240" w:line="288" w:lineRule="auto"/>
        <w:jc w:val="both"/>
      </w:pPr>
      <w:r w:rsidRPr="00EE44D0">
        <w:t>In 2016, preparation of two national railway standards was completed. The first standard is called ‘EVS 930:2016 Rail</w:t>
      </w:r>
      <w:r w:rsidRPr="00EE44D0">
        <w:t>way applications. Requirements for railway vehicles with guided wheels’. This standard concerns railway vehicles with guided wheels on Estonian railways, requirements regarding the guided wheels of these vehicles and other equipment, driving onto and off t</w:t>
      </w:r>
      <w:r w:rsidRPr="00EE44D0">
        <w:t>he rails, and conditions for driving on the rails. The second standard has been named ‘EVS 931:2016 Railway applications. Written road and traffic permits, notices and book forms used for coordinating railway traffic’. This standard establishes the require</w:t>
      </w:r>
      <w:r w:rsidRPr="00EE44D0">
        <w:t>ments for Estonian railway traffic (including shunting) in terms of negotiations, commands, orders, documents, and the description of and procedure for the use of traffic safety documents when coordinating railway traffic.</w:t>
      </w:r>
    </w:p>
    <w:p w:rsidR="00E3058B" w:rsidRPr="00EE44D0" w:rsidRDefault="00DB14F7" w:rsidP="001C07B2">
      <w:pPr>
        <w:pStyle w:val="Heading1"/>
        <w:widowControl/>
        <w:numPr>
          <w:ilvl w:val="0"/>
          <w:numId w:val="2"/>
        </w:numPr>
        <w:spacing w:after="240" w:line="288" w:lineRule="auto"/>
        <w:ind w:left="0" w:firstLine="0"/>
      </w:pPr>
      <w:bookmarkStart w:id="67" w:name="_bookmark22"/>
      <w:bookmarkStart w:id="68" w:name="_Toc496109870"/>
      <w:bookmarkStart w:id="69" w:name="_Toc499795586"/>
      <w:bookmarkEnd w:id="67"/>
      <w:r w:rsidRPr="00EE44D0">
        <w:t>The development and authorisation</w:t>
      </w:r>
      <w:r w:rsidRPr="00EE44D0">
        <w:t xml:space="preserve"> of safety certificates</w:t>
      </w:r>
      <w:bookmarkEnd w:id="68"/>
      <w:bookmarkEnd w:id="69"/>
    </w:p>
    <w:p w:rsidR="00E3058B" w:rsidRPr="00EE44D0" w:rsidRDefault="00DB14F7" w:rsidP="001C07B2">
      <w:pPr>
        <w:pStyle w:val="Heading2"/>
        <w:widowControl/>
        <w:numPr>
          <w:ilvl w:val="1"/>
          <w:numId w:val="2"/>
        </w:numPr>
        <w:spacing w:after="240" w:line="288" w:lineRule="auto"/>
        <w:ind w:left="0" w:firstLine="0"/>
      </w:pPr>
      <w:bookmarkStart w:id="70" w:name="_bookmark23"/>
      <w:bookmarkStart w:id="71" w:name="_Toc496109871"/>
      <w:bookmarkStart w:id="72" w:name="_Toc499795587"/>
      <w:bookmarkEnd w:id="70"/>
      <w:r w:rsidRPr="00EE44D0">
        <w:t>National legal space – safety certificates and authorisations</w:t>
      </w:r>
      <w:bookmarkEnd w:id="71"/>
      <w:bookmarkEnd w:id="72"/>
    </w:p>
    <w:p w:rsidR="00E3058B" w:rsidRPr="00EE44D0" w:rsidRDefault="00DB14F7" w:rsidP="001C07B2">
      <w:pPr>
        <w:pStyle w:val="BodyText"/>
        <w:widowControl/>
        <w:spacing w:after="240" w:line="288" w:lineRule="auto"/>
        <w:jc w:val="both"/>
      </w:pPr>
      <w:r w:rsidRPr="00EE44D0">
        <w:t>Regulations concerning safety certificates are laid down in Section 2: ‘Safety authorisation, safety certificate, and operational safety certificate’ in Chapter 2: ‘Opera</w:t>
      </w:r>
      <w:r w:rsidRPr="00EE44D0">
        <w:t>ting licence, liability insurance contract, safety authorisation, safety certificate, and operational safety certificate’.</w:t>
      </w:r>
    </w:p>
    <w:p w:rsidR="00E3058B" w:rsidRPr="00EE44D0" w:rsidRDefault="00DB14F7" w:rsidP="001C07B2">
      <w:pPr>
        <w:pStyle w:val="BodyText"/>
        <w:widowControl/>
        <w:spacing w:after="240" w:line="288" w:lineRule="auto"/>
        <w:jc w:val="both"/>
      </w:pPr>
      <w:r w:rsidRPr="00EE44D0">
        <w:t>In order to regulate the issuing of safety authorisations, Commission Regulation (EU) No 1158/2010 of 9 December 2010 on a common saf</w:t>
      </w:r>
      <w:r w:rsidRPr="00EE44D0">
        <w:t>ety method for assessing conformity with the requirements for obtaining railway safety certificates and Commission Regulation (EU) No 1077/2012 of 16 November 2012 on a common safety method for supervision by national safety authorities after issuing a saf</w:t>
      </w:r>
      <w:r w:rsidRPr="00EE44D0">
        <w:t>ety certificate or safety authorisation were both adopted.</w:t>
      </w:r>
    </w:p>
    <w:p w:rsidR="00E3058B" w:rsidRPr="00EE44D0" w:rsidRDefault="00DB14F7" w:rsidP="001C07B2">
      <w:pPr>
        <w:pStyle w:val="BodyText"/>
        <w:widowControl/>
        <w:spacing w:after="240" w:line="288" w:lineRule="auto"/>
        <w:jc w:val="both"/>
      </w:pPr>
      <w:r w:rsidRPr="00EE44D0">
        <w:t>The national legislation that regulates the safety certificates process is Regulation No 24 of the Ministry of Economic Affairs and Communications: ‘The procedure for applying for and preparing saf</w:t>
      </w:r>
      <w:r w:rsidRPr="00EE44D0">
        <w:t xml:space="preserve">ety certificates and operational safety certificates’, dated 24 March 2014. The legislation referred to above is available at </w:t>
      </w:r>
      <w:hyperlink r:id="rId24" w:history="1">
        <w:r w:rsidRPr="00EE44D0">
          <w:rPr>
            <w:u w:val="single"/>
          </w:rPr>
          <w:t>www.riigiteataja.ee</w:t>
        </w:r>
      </w:hyperlink>
      <w:r w:rsidRPr="00EE44D0">
        <w:t>.</w:t>
      </w:r>
    </w:p>
    <w:p w:rsidR="00E3058B" w:rsidRPr="00EE44D0" w:rsidRDefault="00DB14F7" w:rsidP="001C07B2">
      <w:pPr>
        <w:pStyle w:val="Heading2"/>
        <w:widowControl/>
        <w:numPr>
          <w:ilvl w:val="1"/>
          <w:numId w:val="2"/>
        </w:numPr>
        <w:spacing w:after="240" w:line="288" w:lineRule="auto"/>
        <w:ind w:left="0" w:firstLine="0"/>
      </w:pPr>
      <w:bookmarkStart w:id="73" w:name="_bookmark24"/>
      <w:bookmarkStart w:id="74" w:name="_Toc496109872"/>
      <w:bookmarkStart w:id="75" w:name="_Toc499795588"/>
      <w:bookmarkEnd w:id="73"/>
      <w:r w:rsidRPr="00EE44D0">
        <w:t>Safety certificates issued (table)</w:t>
      </w:r>
      <w:bookmarkEnd w:id="74"/>
      <w:bookmarkEnd w:id="75"/>
    </w:p>
    <w:p w:rsidR="00E3058B" w:rsidRPr="00EE44D0" w:rsidRDefault="00DB14F7" w:rsidP="001C07B2">
      <w:pPr>
        <w:pStyle w:val="BodyText"/>
        <w:widowControl/>
        <w:spacing w:after="240" w:line="288" w:lineRule="auto"/>
        <w:jc w:val="both"/>
      </w:pPr>
      <w:r w:rsidRPr="00EE44D0">
        <w:t>No safety certificates were is</w:t>
      </w:r>
      <w:r w:rsidRPr="00EE44D0">
        <w:t>sued to operators in 2016.</w:t>
      </w:r>
    </w:p>
    <w:p w:rsidR="00E3058B" w:rsidRPr="00EE44D0" w:rsidRDefault="00DB14F7" w:rsidP="001C07B2">
      <w:pPr>
        <w:pStyle w:val="Heading2"/>
        <w:widowControl/>
        <w:numPr>
          <w:ilvl w:val="1"/>
          <w:numId w:val="2"/>
        </w:numPr>
        <w:spacing w:after="240" w:line="288" w:lineRule="auto"/>
        <w:ind w:left="0" w:firstLine="0"/>
      </w:pPr>
      <w:bookmarkStart w:id="76" w:name="_bookmark25"/>
      <w:bookmarkStart w:id="77" w:name="_Toc496109873"/>
      <w:bookmarkStart w:id="78" w:name="_Toc499795589"/>
      <w:bookmarkEnd w:id="76"/>
      <w:r w:rsidRPr="00EE44D0">
        <w:t>Safety authorisations and safety certificates</w:t>
      </w:r>
      <w:bookmarkEnd w:id="77"/>
      <w:bookmarkEnd w:id="78"/>
    </w:p>
    <w:p w:rsidR="00E3058B" w:rsidRPr="00EE44D0" w:rsidRDefault="00DB14F7" w:rsidP="001C07B2">
      <w:pPr>
        <w:pStyle w:val="BodyText"/>
        <w:widowControl/>
        <w:spacing w:after="240" w:line="288" w:lineRule="auto"/>
        <w:jc w:val="both"/>
      </w:pPr>
      <w:r w:rsidRPr="00EE44D0">
        <w:t xml:space="preserve">As of 2016, 16 operators hold safety certificates and two operators hold safety authorisations. There were no renewals of either Part A or B passenger safety certificates in 2016. In </w:t>
      </w:r>
      <w:r w:rsidRPr="00EE44D0">
        <w:t>the same year, two freight operators started the process of renewing Parts A and B of their safety certificates. There were a total of 13 valid safety certificates for freight and three valid certificates for passengers. In addition there were two safety c</w:t>
      </w:r>
      <w:r w:rsidRPr="00EE44D0">
        <w:t>ertificates covering the management of the public railway.</w:t>
      </w:r>
    </w:p>
    <w:p w:rsidR="00E3058B" w:rsidRPr="00EE44D0" w:rsidRDefault="00DB14F7" w:rsidP="001C07B2">
      <w:pPr>
        <w:pStyle w:val="BodyText"/>
        <w:widowControl/>
        <w:spacing w:after="240" w:line="288" w:lineRule="auto"/>
      </w:pPr>
      <w:r w:rsidRPr="00EE44D0">
        <w:t>In 2016, two safety certificates were issued for operating on privately-owned railway infrastructure. One of them was for freight operations and the other was for traffic management.</w:t>
      </w:r>
    </w:p>
    <w:p w:rsidR="00E3058B" w:rsidRPr="00EE44D0" w:rsidRDefault="00DB14F7" w:rsidP="001C07B2">
      <w:pPr>
        <w:pStyle w:val="Heading1"/>
        <w:keepNext/>
        <w:widowControl/>
        <w:numPr>
          <w:ilvl w:val="0"/>
          <w:numId w:val="2"/>
        </w:numPr>
        <w:spacing w:after="240" w:line="288" w:lineRule="auto"/>
        <w:ind w:left="0" w:firstLine="0"/>
      </w:pPr>
      <w:bookmarkStart w:id="79" w:name="_bookmark26"/>
      <w:bookmarkStart w:id="80" w:name="_Toc496109874"/>
      <w:bookmarkStart w:id="81" w:name="_Toc499795590"/>
      <w:bookmarkEnd w:id="79"/>
      <w:r w:rsidRPr="00EE44D0">
        <w:t>Monitoring rai</w:t>
      </w:r>
      <w:r w:rsidRPr="00EE44D0">
        <w:t>lway undertakings</w:t>
      </w:r>
      <w:bookmarkEnd w:id="80"/>
      <w:bookmarkEnd w:id="81"/>
    </w:p>
    <w:p w:rsidR="00E3058B" w:rsidRPr="00EE44D0" w:rsidRDefault="00DB14F7" w:rsidP="001C07B2">
      <w:pPr>
        <w:pStyle w:val="BodyText"/>
        <w:widowControl/>
        <w:spacing w:after="240" w:line="288" w:lineRule="auto"/>
        <w:jc w:val="both"/>
      </w:pPr>
      <w:r w:rsidRPr="00EE44D0">
        <w:t>As regards supervision of railway safety, our main aim was to improve the efficiency of supervisory activities. In the course of supervisory activities, attention was paid to all the safety activities of the companies involved. We checked</w:t>
      </w:r>
      <w:r w:rsidRPr="00EE44D0">
        <w:t xml:space="preserve"> the rolling stock, infrastructure, safety documents, and other issues related to ensuring safety and carrying out preventive work.</w:t>
      </w:r>
    </w:p>
    <w:p w:rsidR="00E3058B" w:rsidRPr="00EE44D0" w:rsidRDefault="00DB14F7" w:rsidP="001C07B2">
      <w:pPr>
        <w:pStyle w:val="BodyText"/>
        <w:widowControl/>
        <w:spacing w:after="240" w:line="288" w:lineRule="auto"/>
        <w:jc w:val="both"/>
      </w:pPr>
      <w:r w:rsidRPr="00EE44D0">
        <w:t>In 2016, we carried out safety supervision activities with the biggest railway undertaking in Estonia, AS Eesti Raudtee. Fur</w:t>
      </w:r>
      <w:r w:rsidRPr="00EE44D0">
        <w:t>thermore, we checked 20 smaller undertakings. During the course of the supervisory process we checked safety documents, the safety management system, rolling stock and repair plans, awareness amongst employees, preventive activities, and assessed risk anal</w:t>
      </w:r>
      <w:r w:rsidRPr="00EE44D0">
        <w:t>yses and contingency plans for ensuring safety. The results of the supervisory work show that companies are aware of the safety risks and that employees hold the respective professional certificates and regularly undergo the requisite training. The risks a</w:t>
      </w:r>
      <w:r w:rsidRPr="00EE44D0">
        <w:t>re being managed for key areas and preventive work is ongoing.</w:t>
      </w:r>
    </w:p>
    <w:p w:rsidR="00E3058B" w:rsidRPr="00EE44D0" w:rsidRDefault="00DB14F7" w:rsidP="001C07B2">
      <w:pPr>
        <w:pStyle w:val="BodyText"/>
        <w:widowControl/>
        <w:spacing w:after="240" w:line="288" w:lineRule="auto"/>
        <w:jc w:val="both"/>
      </w:pPr>
      <w:r w:rsidRPr="00EE44D0">
        <w:t>In 2016, the focus of the checks carried out by the TRA’s Railway Infrastructure Department according to the working plan was on Tartu County and Harju County. The inspection committees checked</w:t>
      </w:r>
      <w:r w:rsidRPr="00EE44D0">
        <w:t xml:space="preserve"> the situation regarding level crossings in the county and city of Tartu, and the condition of level crossings in the city of Tallinn. A total of 47 level crossings were checked. The main issue for level crossings was ineffective barriers (users were able </w:t>
      </w:r>
      <w:r w:rsidRPr="00EE44D0">
        <w:t>to cross the railway without passing through the barriers). Overall, it can be said that the number of problems is gradually decreasing, because railway operators are constantly improving the safety of level crossings. No infringement proceedings were init</w:t>
      </w:r>
      <w:r w:rsidRPr="00EE44D0">
        <w:t>iated. In 2016, level crossings were checked during the inspection committee process, mainly in Harjumaa and Virumaa on 45 occasions. No cases where the use of a level crossing should be terminated immediately were detected.</w:t>
      </w:r>
    </w:p>
    <w:p w:rsidR="00E3058B" w:rsidRPr="00EE44D0" w:rsidRDefault="00DB14F7" w:rsidP="001C07B2">
      <w:pPr>
        <w:pStyle w:val="BodyText"/>
        <w:widowControl/>
        <w:spacing w:after="240" w:line="288" w:lineRule="auto"/>
        <w:jc w:val="both"/>
      </w:pPr>
      <w:r w:rsidRPr="00EE44D0">
        <w:t>A total of 60 level crossings a</w:t>
      </w:r>
      <w:r w:rsidRPr="00EE44D0">
        <w:t xml:space="preserve">nd 59 other crossings (including non-public crossings) were checked in 2016. The results of the checks revealed that 70% of level crossings have some kind of deficiency. The main deficiencies involved the absence of traffic signs, missing marker posts and </w:t>
      </w:r>
      <w:r w:rsidRPr="00EE44D0">
        <w:t>shrubs or high grass blocking visibility. All undertakings complied with the deadlines set for addressing safety deficiencies and no further infringement proceedings were initiated.</w:t>
      </w:r>
    </w:p>
    <w:p w:rsidR="00E3058B" w:rsidRPr="00EE44D0" w:rsidRDefault="00DB14F7" w:rsidP="001C07B2">
      <w:pPr>
        <w:pStyle w:val="BodyText"/>
        <w:widowControl/>
        <w:spacing w:after="240" w:line="288" w:lineRule="auto"/>
        <w:jc w:val="both"/>
      </w:pPr>
      <w:r w:rsidRPr="00EE44D0">
        <w:t xml:space="preserve">In 2016, several procedures were undertaken in regard to building permits </w:t>
      </w:r>
      <w:r w:rsidRPr="00EE44D0">
        <w:t>and authorisations for use, as a result of which we issued building permits for building, reconstructing, or demolishing 52 railway civil engineering works. The most remarkable of these was the tram tunnel which passes under Ülemiste railway station, which</w:t>
      </w:r>
      <w:r w:rsidRPr="00EE44D0">
        <w:t xml:space="preserve"> in future will ensure a tram connection to Tallinn Airport. Authorisations for use were issued to 15 railway civil engineering works.</w:t>
      </w:r>
    </w:p>
    <w:p w:rsidR="00E3058B" w:rsidRPr="00EE44D0" w:rsidRDefault="00DB14F7" w:rsidP="001C07B2">
      <w:pPr>
        <w:pStyle w:val="Heading1"/>
        <w:keepNext/>
        <w:widowControl/>
        <w:numPr>
          <w:ilvl w:val="0"/>
          <w:numId w:val="2"/>
        </w:numPr>
        <w:spacing w:after="240" w:line="288" w:lineRule="auto"/>
        <w:ind w:left="0" w:firstLine="0"/>
      </w:pPr>
      <w:bookmarkStart w:id="82" w:name="_bookmark27"/>
      <w:bookmarkStart w:id="83" w:name="_Toc496109875"/>
      <w:bookmarkStart w:id="84" w:name="_Toc499795591"/>
      <w:bookmarkEnd w:id="82"/>
      <w:r w:rsidRPr="00EE44D0">
        <w:t>Implementation of the Common Safety Methods (CSM) Regulation</w:t>
      </w:r>
      <w:bookmarkEnd w:id="83"/>
      <w:bookmarkEnd w:id="84"/>
    </w:p>
    <w:p w:rsidR="00E3058B" w:rsidRPr="00EE44D0" w:rsidRDefault="00DB14F7" w:rsidP="001C07B2">
      <w:pPr>
        <w:pStyle w:val="BodyText"/>
        <w:widowControl/>
        <w:spacing w:after="240" w:line="288" w:lineRule="auto"/>
        <w:jc w:val="both"/>
      </w:pPr>
      <w:r w:rsidRPr="00EE44D0">
        <w:t>In order to regulate the issuing of safety authorisations, C</w:t>
      </w:r>
      <w:r w:rsidRPr="00EE44D0">
        <w:t xml:space="preserve">ommission Regulation (EU) No 1158/2010 of 9 December 2010 on a common safety method for assessing conformity with the requirements for obtaining railway safety certificates and Commission Regulation (EU) No 1077/2012 of 16 November 2012 on a common safety </w:t>
      </w:r>
      <w:r w:rsidRPr="00EE44D0">
        <w:t>method for supervision by national safety authorities after issuing a safety certificate or safety authorisation were both adopted. The TRA is implementing the aforementioned regulations in procedures which cover the issuing or renewal of safety certificat</w:t>
      </w:r>
      <w:r w:rsidRPr="00EE44D0">
        <w:t>es and authorisations.</w:t>
      </w:r>
    </w:p>
    <w:p w:rsidR="00E3058B" w:rsidRPr="00EE44D0" w:rsidRDefault="00DB14F7" w:rsidP="001C07B2">
      <w:pPr>
        <w:pStyle w:val="BodyText"/>
        <w:widowControl/>
        <w:spacing w:after="240" w:line="288" w:lineRule="auto"/>
        <w:jc w:val="both"/>
      </w:pPr>
      <w:r w:rsidRPr="00EE44D0">
        <w:t xml:space="preserve">Additionally, safety authorisations and safety certificates are assessed based on Regulation No 9 of the Minister of Economic Affairs and Communications: ‘Requirements for the safety management system of railway undertakings and its </w:t>
      </w:r>
      <w:r w:rsidRPr="00EE44D0">
        <w:t>implementation’, dated 25 January 2008.</w:t>
      </w:r>
    </w:p>
    <w:p w:rsidR="00E3058B" w:rsidRPr="00EE44D0" w:rsidRDefault="00DB14F7" w:rsidP="001C07B2">
      <w:pPr>
        <w:pStyle w:val="Heading1"/>
        <w:widowControl/>
        <w:numPr>
          <w:ilvl w:val="0"/>
          <w:numId w:val="2"/>
        </w:numPr>
        <w:spacing w:after="240" w:line="288" w:lineRule="auto"/>
        <w:ind w:left="0" w:firstLine="0"/>
      </w:pPr>
      <w:bookmarkStart w:id="85" w:name="_bookmark28"/>
      <w:bookmarkStart w:id="86" w:name="_Toc496109876"/>
      <w:bookmarkStart w:id="87" w:name="_Toc499795592"/>
      <w:bookmarkEnd w:id="85"/>
      <w:r w:rsidRPr="00EE44D0">
        <w:t>Summary, conclusions, priorities</w:t>
      </w:r>
      <w:bookmarkEnd w:id="86"/>
      <w:bookmarkEnd w:id="87"/>
    </w:p>
    <w:p w:rsidR="00E3058B" w:rsidRPr="00EE44D0" w:rsidRDefault="00DB14F7" w:rsidP="001C07B2">
      <w:pPr>
        <w:pStyle w:val="BodyText"/>
        <w:widowControl/>
        <w:spacing w:after="240" w:line="288" w:lineRule="auto"/>
        <w:jc w:val="both"/>
      </w:pPr>
      <w:r w:rsidRPr="00EE44D0">
        <w:t xml:space="preserve">The 2015 safety report showed that focusing on activities related to preventing traffic safety violations continues to be a priority. The objective was to improve public safety level </w:t>
      </w:r>
      <w:r w:rsidRPr="00EE44D0">
        <w:t>indicators.</w:t>
      </w:r>
    </w:p>
    <w:p w:rsidR="00E3058B" w:rsidRPr="00EE44D0" w:rsidRDefault="00DB14F7" w:rsidP="001C07B2">
      <w:pPr>
        <w:pStyle w:val="BodyText"/>
        <w:widowControl/>
        <w:spacing w:after="240" w:line="288" w:lineRule="auto"/>
        <w:jc w:val="both"/>
      </w:pPr>
      <w:r w:rsidRPr="00EE44D0">
        <w:t>In 2016, we managed to meet the goals set for key points. The goals set will also be taken into account in the future. In 2017, we will continue to undergo railway safety supervision duties and in our daily work we will focus on prevention acti</w:t>
      </w:r>
      <w:r w:rsidRPr="00EE44D0">
        <w:t>vities.</w:t>
      </w:r>
    </w:p>
    <w:p w:rsidR="00E3058B" w:rsidRPr="00EE44D0" w:rsidRDefault="00DB14F7" w:rsidP="001C07B2">
      <w:pPr>
        <w:pStyle w:val="Heading1"/>
        <w:widowControl/>
        <w:numPr>
          <w:ilvl w:val="0"/>
          <w:numId w:val="2"/>
        </w:numPr>
        <w:spacing w:after="240" w:line="288" w:lineRule="auto"/>
        <w:ind w:left="0" w:firstLine="0"/>
      </w:pPr>
      <w:bookmarkStart w:id="88" w:name="_bookmark29"/>
      <w:bookmarkStart w:id="89" w:name="_Toc496109877"/>
      <w:bookmarkStart w:id="90" w:name="_Toc499795593"/>
      <w:bookmarkEnd w:id="88"/>
      <w:r w:rsidRPr="00EE44D0">
        <w:t>Primary information sources</w:t>
      </w:r>
      <w:bookmarkEnd w:id="89"/>
      <w:bookmarkEnd w:id="90"/>
    </w:p>
    <w:p w:rsidR="00E3058B" w:rsidRPr="00EE44D0" w:rsidRDefault="00DB14F7" w:rsidP="001C07B2">
      <w:pPr>
        <w:pStyle w:val="ListParagraph"/>
        <w:widowControl/>
        <w:numPr>
          <w:ilvl w:val="0"/>
          <w:numId w:val="1"/>
        </w:numPr>
        <w:spacing w:before="0" w:after="240" w:line="288" w:lineRule="auto"/>
        <w:ind w:left="0" w:firstLine="0"/>
      </w:pPr>
      <w:r w:rsidRPr="00EE44D0">
        <w:t>Reports and applications submitted by railway companies.</w:t>
      </w:r>
    </w:p>
    <w:p w:rsidR="00E3058B" w:rsidRPr="00EE44D0" w:rsidRDefault="00DB14F7" w:rsidP="001C07B2">
      <w:pPr>
        <w:pStyle w:val="ListParagraph"/>
        <w:widowControl/>
        <w:numPr>
          <w:ilvl w:val="0"/>
          <w:numId w:val="1"/>
        </w:numPr>
        <w:spacing w:before="0" w:after="240" w:line="288" w:lineRule="auto"/>
        <w:ind w:left="0" w:firstLine="0"/>
      </w:pPr>
      <w:r w:rsidRPr="00EE44D0">
        <w:t>Information collected by the TRA during supervision (based on common safety indicators).</w:t>
      </w:r>
    </w:p>
    <w:p w:rsidR="00E3058B" w:rsidRPr="00EE44D0" w:rsidRDefault="00DB14F7" w:rsidP="001C07B2">
      <w:pPr>
        <w:pStyle w:val="ListParagraph"/>
        <w:widowControl/>
        <w:numPr>
          <w:ilvl w:val="0"/>
          <w:numId w:val="1"/>
        </w:numPr>
        <w:spacing w:before="0" w:after="240" w:line="288" w:lineRule="auto"/>
        <w:ind w:left="0" w:firstLine="0"/>
      </w:pPr>
      <w:r w:rsidRPr="00EE44D0">
        <w:t>The Safety Investigation Bureau’s opinion: ‘Rail breakages on the AS Eesti</w:t>
      </w:r>
      <w:r w:rsidRPr="00EE44D0">
        <w:t xml:space="preserve"> Raudtee infrastructure during a one-year period between 2015 and 2016’.</w:t>
      </w:r>
    </w:p>
    <w:p w:rsidR="00E3058B" w:rsidRPr="00EE44D0" w:rsidRDefault="00DB14F7" w:rsidP="001C07B2">
      <w:pPr>
        <w:pStyle w:val="ListParagraph"/>
        <w:widowControl/>
        <w:numPr>
          <w:ilvl w:val="0"/>
          <w:numId w:val="1"/>
        </w:numPr>
        <w:spacing w:before="0" w:after="240" w:line="288" w:lineRule="auto"/>
        <w:ind w:left="0" w:firstLine="0"/>
      </w:pPr>
      <w:r w:rsidRPr="00EE44D0">
        <w:t>The official website of NPA Operation Lifesaver Estonia (</w:t>
      </w:r>
      <w:hyperlink r:id="rId25" w:history="1">
        <w:r w:rsidRPr="00EE44D0">
          <w:t>www.ole.ee</w:t>
        </w:r>
      </w:hyperlink>
      <w:r w:rsidRPr="00EE44D0">
        <w:t>).</w:t>
      </w:r>
    </w:p>
    <w:p w:rsidR="00E3058B" w:rsidRPr="00CC3E99" w:rsidRDefault="00DB14F7" w:rsidP="001C07B2">
      <w:pPr>
        <w:pStyle w:val="ListParagraph"/>
        <w:widowControl/>
        <w:numPr>
          <w:ilvl w:val="0"/>
          <w:numId w:val="1"/>
        </w:numPr>
        <w:spacing w:before="0" w:after="240" w:line="288" w:lineRule="auto"/>
        <w:ind w:left="0" w:firstLine="0"/>
      </w:pPr>
      <w:r w:rsidRPr="00EE44D0">
        <w:t>The Statistics Estonia database (source: https://</w:t>
      </w:r>
      <w:hyperlink r:id="rId26" w:history="1">
        <w:r w:rsidRPr="00EE44D0">
          <w:t>www.stat.ee/).</w:t>
        </w:r>
      </w:hyperlink>
    </w:p>
    <w:sectPr w:rsidR="00E3058B" w:rsidRPr="00CC3E99" w:rsidSect="006E4D6F">
      <w:footerReference w:type="default" r:id="rId27"/>
      <w:type w:val="continuous"/>
      <w:pgSz w:w="11910" w:h="16840"/>
      <w:pgMar w:top="2268" w:right="720" w:bottom="720" w:left="1134" w:header="1134" w:footer="567"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4F7" w:rsidRDefault="00DB14F7">
      <w:r>
        <w:separator/>
      </w:r>
    </w:p>
  </w:endnote>
  <w:endnote w:type="continuationSeparator" w:id="0">
    <w:p w:rsidR="00DB14F7" w:rsidRDefault="00DB1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4D0" w:rsidRDefault="00EE44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016344"/>
      <w:docPartObj>
        <w:docPartGallery w:val="Page Numbers (Bottom of Page)"/>
        <w:docPartUnique/>
      </w:docPartObj>
    </w:sdtPr>
    <w:sdtEndPr>
      <w:rPr>
        <w:noProof/>
      </w:rPr>
    </w:sdtEndPr>
    <w:sdtContent>
      <w:p w:rsidR="005774F2" w:rsidRPr="00EE44D0" w:rsidRDefault="00DB14F7">
        <w:pPr>
          <w:pStyle w:val="Footer"/>
          <w:jc w:val="center"/>
        </w:pPr>
        <w:r w:rsidRPr="00EE44D0">
          <w:fldChar w:fldCharType="begin"/>
        </w:r>
        <w:r w:rsidRPr="00EE44D0">
          <w:instrText xml:space="preserve"> PAGE   \* MERGEFORMAT </w:instrText>
        </w:r>
        <w:r w:rsidRPr="00EE44D0">
          <w:fldChar w:fldCharType="separate"/>
        </w:r>
        <w:r w:rsidR="00C02F01">
          <w:rPr>
            <w:noProof/>
          </w:rPr>
          <w:t>6</w:t>
        </w:r>
        <w:r w:rsidRPr="00EE44D0">
          <w:rPr>
            <w:noProof/>
          </w:rPr>
          <w:fldChar w:fldCharType="end"/>
        </w:r>
      </w:p>
    </w:sdtContent>
  </w:sdt>
  <w:p w:rsidR="005774F2" w:rsidRPr="00EE44D0" w:rsidRDefault="005774F2">
    <w:pPr>
      <w:pStyle w:val="Body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4D0" w:rsidRDefault="00EE44D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6831986"/>
      <w:docPartObj>
        <w:docPartGallery w:val="Page Numbers (Bottom of Page)"/>
        <w:docPartUnique/>
      </w:docPartObj>
    </w:sdtPr>
    <w:sdtEndPr>
      <w:rPr>
        <w:noProof/>
      </w:rPr>
    </w:sdtEndPr>
    <w:sdtContent>
      <w:p w:rsidR="003A713B" w:rsidRPr="00EE44D0" w:rsidRDefault="00DB14F7" w:rsidP="003A713B">
        <w:pPr>
          <w:pStyle w:val="Footer"/>
          <w:jc w:val="center"/>
        </w:pPr>
        <w:r w:rsidRPr="00EE44D0">
          <w:fldChar w:fldCharType="begin"/>
        </w:r>
        <w:r w:rsidRPr="00EE44D0">
          <w:instrText xml:space="preserve"> PAGE   \* MERGEFORMAT </w:instrText>
        </w:r>
        <w:r w:rsidRPr="00EE44D0">
          <w:fldChar w:fldCharType="separate"/>
        </w:r>
        <w:r w:rsidR="00C02F01">
          <w:rPr>
            <w:noProof/>
          </w:rPr>
          <w:t>17</w:t>
        </w:r>
        <w:r w:rsidRPr="00EE44D0">
          <w:rPr>
            <w:noProof/>
          </w:rPr>
          <w:fldChar w:fldCharType="end"/>
        </w:r>
      </w:p>
    </w:sdtContent>
  </w:sdt>
  <w:p w:rsidR="005774F2" w:rsidRPr="00EE44D0" w:rsidRDefault="005774F2">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4F7" w:rsidRDefault="00DB14F7">
      <w:r>
        <w:separator/>
      </w:r>
    </w:p>
  </w:footnote>
  <w:footnote w:type="continuationSeparator" w:id="0">
    <w:p w:rsidR="00DB14F7" w:rsidRDefault="00DB14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4D0" w:rsidRDefault="00EE44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4D0" w:rsidRDefault="00EE44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4D0" w:rsidRDefault="00EE44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7487"/>
    <w:multiLevelType w:val="hybridMultilevel"/>
    <w:tmpl w:val="4A3A079A"/>
    <w:lvl w:ilvl="0" w:tplc="E3A0F0DC">
      <w:numFmt w:val="bullet"/>
      <w:lvlText w:val=""/>
      <w:lvlJc w:val="left"/>
      <w:pPr>
        <w:ind w:left="836" w:hanging="360"/>
      </w:pPr>
      <w:rPr>
        <w:rFonts w:ascii="Symbol" w:eastAsia="Symbol" w:hAnsi="Symbol" w:cs="Symbol" w:hint="default"/>
        <w:w w:val="99"/>
        <w:sz w:val="20"/>
        <w:szCs w:val="20"/>
      </w:rPr>
    </w:lvl>
    <w:lvl w:ilvl="1" w:tplc="E96A11C2">
      <w:numFmt w:val="bullet"/>
      <w:lvlText w:val="•"/>
      <w:lvlJc w:val="left"/>
      <w:pPr>
        <w:ind w:left="1686" w:hanging="360"/>
      </w:pPr>
      <w:rPr>
        <w:rFonts w:hint="default"/>
      </w:rPr>
    </w:lvl>
    <w:lvl w:ilvl="2" w:tplc="9CD41CD8">
      <w:numFmt w:val="bullet"/>
      <w:lvlText w:val="•"/>
      <w:lvlJc w:val="left"/>
      <w:pPr>
        <w:ind w:left="2533" w:hanging="360"/>
      </w:pPr>
      <w:rPr>
        <w:rFonts w:hint="default"/>
      </w:rPr>
    </w:lvl>
    <w:lvl w:ilvl="3" w:tplc="EBD6060E">
      <w:numFmt w:val="bullet"/>
      <w:lvlText w:val="•"/>
      <w:lvlJc w:val="left"/>
      <w:pPr>
        <w:ind w:left="3379" w:hanging="360"/>
      </w:pPr>
      <w:rPr>
        <w:rFonts w:hint="default"/>
      </w:rPr>
    </w:lvl>
    <w:lvl w:ilvl="4" w:tplc="AFBC4D4C">
      <w:numFmt w:val="bullet"/>
      <w:lvlText w:val="•"/>
      <w:lvlJc w:val="left"/>
      <w:pPr>
        <w:ind w:left="4226" w:hanging="360"/>
      </w:pPr>
      <w:rPr>
        <w:rFonts w:hint="default"/>
      </w:rPr>
    </w:lvl>
    <w:lvl w:ilvl="5" w:tplc="DB44443A">
      <w:numFmt w:val="bullet"/>
      <w:lvlText w:val="•"/>
      <w:lvlJc w:val="left"/>
      <w:pPr>
        <w:ind w:left="5073" w:hanging="360"/>
      </w:pPr>
      <w:rPr>
        <w:rFonts w:hint="default"/>
      </w:rPr>
    </w:lvl>
    <w:lvl w:ilvl="6" w:tplc="BA40C8AC">
      <w:numFmt w:val="bullet"/>
      <w:lvlText w:val="•"/>
      <w:lvlJc w:val="left"/>
      <w:pPr>
        <w:ind w:left="5919" w:hanging="360"/>
      </w:pPr>
      <w:rPr>
        <w:rFonts w:hint="default"/>
      </w:rPr>
    </w:lvl>
    <w:lvl w:ilvl="7" w:tplc="29A0436C">
      <w:numFmt w:val="bullet"/>
      <w:lvlText w:val="•"/>
      <w:lvlJc w:val="left"/>
      <w:pPr>
        <w:ind w:left="6766" w:hanging="360"/>
      </w:pPr>
      <w:rPr>
        <w:rFonts w:hint="default"/>
      </w:rPr>
    </w:lvl>
    <w:lvl w:ilvl="8" w:tplc="FD7E5DD6">
      <w:numFmt w:val="bullet"/>
      <w:lvlText w:val="•"/>
      <w:lvlJc w:val="left"/>
      <w:pPr>
        <w:ind w:left="7613" w:hanging="360"/>
      </w:pPr>
      <w:rPr>
        <w:rFonts w:hint="default"/>
      </w:rPr>
    </w:lvl>
  </w:abstractNum>
  <w:abstractNum w:abstractNumId="1" w15:restartNumberingAfterBreak="0">
    <w:nsid w:val="30F266FB"/>
    <w:multiLevelType w:val="multilevel"/>
    <w:tmpl w:val="8280E83A"/>
    <w:lvl w:ilvl="0">
      <w:start w:val="2"/>
      <w:numFmt w:val="upperLetter"/>
      <w:lvlText w:val="%1."/>
      <w:lvlJc w:val="left"/>
      <w:pPr>
        <w:ind w:left="385" w:hanging="269"/>
      </w:pPr>
      <w:rPr>
        <w:rFonts w:ascii="Arial" w:eastAsia="Arial" w:hAnsi="Arial" w:cs="Arial" w:hint="default"/>
        <w:spacing w:val="-1"/>
        <w:w w:val="100"/>
        <w:sz w:val="22"/>
        <w:szCs w:val="22"/>
      </w:rPr>
    </w:lvl>
    <w:lvl w:ilvl="1">
      <w:start w:val="1"/>
      <w:numFmt w:val="decimal"/>
      <w:lvlText w:val="%1.%2"/>
      <w:lvlJc w:val="left"/>
      <w:pPr>
        <w:ind w:left="730" w:hanging="393"/>
      </w:pPr>
      <w:rPr>
        <w:rFonts w:ascii="Arial" w:eastAsia="Arial" w:hAnsi="Arial" w:cs="Arial" w:hint="default"/>
        <w:spacing w:val="-1"/>
        <w:w w:val="100"/>
        <w:sz w:val="22"/>
        <w:szCs w:val="22"/>
      </w:rPr>
    </w:lvl>
    <w:lvl w:ilvl="2">
      <w:numFmt w:val="bullet"/>
      <w:lvlText w:val="•"/>
      <w:lvlJc w:val="left"/>
      <w:pPr>
        <w:ind w:left="740" w:hanging="393"/>
      </w:pPr>
      <w:rPr>
        <w:rFonts w:hint="default"/>
      </w:rPr>
    </w:lvl>
    <w:lvl w:ilvl="3">
      <w:numFmt w:val="bullet"/>
      <w:lvlText w:val="•"/>
      <w:lvlJc w:val="left"/>
      <w:pPr>
        <w:ind w:left="1808" w:hanging="393"/>
      </w:pPr>
      <w:rPr>
        <w:rFonts w:hint="default"/>
      </w:rPr>
    </w:lvl>
    <w:lvl w:ilvl="4">
      <w:numFmt w:val="bullet"/>
      <w:lvlText w:val="•"/>
      <w:lvlJc w:val="left"/>
      <w:pPr>
        <w:ind w:left="2876" w:hanging="393"/>
      </w:pPr>
      <w:rPr>
        <w:rFonts w:hint="default"/>
      </w:rPr>
    </w:lvl>
    <w:lvl w:ilvl="5">
      <w:numFmt w:val="bullet"/>
      <w:lvlText w:val="•"/>
      <w:lvlJc w:val="left"/>
      <w:pPr>
        <w:ind w:left="3944" w:hanging="393"/>
      </w:pPr>
      <w:rPr>
        <w:rFonts w:hint="default"/>
      </w:rPr>
    </w:lvl>
    <w:lvl w:ilvl="6">
      <w:numFmt w:val="bullet"/>
      <w:lvlText w:val="•"/>
      <w:lvlJc w:val="left"/>
      <w:pPr>
        <w:ind w:left="5013" w:hanging="393"/>
      </w:pPr>
      <w:rPr>
        <w:rFonts w:hint="default"/>
      </w:rPr>
    </w:lvl>
    <w:lvl w:ilvl="7">
      <w:numFmt w:val="bullet"/>
      <w:lvlText w:val="•"/>
      <w:lvlJc w:val="left"/>
      <w:pPr>
        <w:ind w:left="6081" w:hanging="393"/>
      </w:pPr>
      <w:rPr>
        <w:rFonts w:hint="default"/>
      </w:rPr>
    </w:lvl>
    <w:lvl w:ilvl="8">
      <w:numFmt w:val="bullet"/>
      <w:lvlText w:val="•"/>
      <w:lvlJc w:val="left"/>
      <w:pPr>
        <w:ind w:left="7149" w:hanging="393"/>
      </w:pPr>
      <w:rPr>
        <w:rFonts w:hint="default"/>
      </w:rPr>
    </w:lvl>
  </w:abstractNum>
  <w:abstractNum w:abstractNumId="2" w15:restartNumberingAfterBreak="0">
    <w:nsid w:val="35B51DEE"/>
    <w:multiLevelType w:val="multilevel"/>
    <w:tmpl w:val="753AD230"/>
    <w:lvl w:ilvl="0">
      <w:start w:val="1"/>
      <w:numFmt w:val="upperLetter"/>
      <w:lvlText w:val="%1"/>
      <w:lvlJc w:val="left"/>
      <w:pPr>
        <w:ind w:left="509" w:hanging="393"/>
      </w:pPr>
      <w:rPr>
        <w:rFonts w:hint="default"/>
      </w:rPr>
    </w:lvl>
    <w:lvl w:ilvl="1">
      <w:start w:val="1"/>
      <w:numFmt w:val="decimal"/>
      <w:lvlText w:val="%1.%2"/>
      <w:lvlJc w:val="left"/>
      <w:pPr>
        <w:ind w:left="509" w:hanging="393"/>
      </w:pPr>
      <w:rPr>
        <w:rFonts w:ascii="Arial" w:eastAsia="Arial" w:hAnsi="Arial" w:cs="Arial" w:hint="default"/>
        <w:spacing w:val="-1"/>
        <w:w w:val="100"/>
        <w:sz w:val="22"/>
        <w:szCs w:val="22"/>
      </w:rPr>
    </w:lvl>
    <w:lvl w:ilvl="2">
      <w:numFmt w:val="bullet"/>
      <w:lvlText w:val="•"/>
      <w:lvlJc w:val="left"/>
      <w:pPr>
        <w:ind w:left="2257" w:hanging="393"/>
      </w:pPr>
      <w:rPr>
        <w:rFonts w:hint="default"/>
      </w:rPr>
    </w:lvl>
    <w:lvl w:ilvl="3">
      <w:numFmt w:val="bullet"/>
      <w:lvlText w:val="•"/>
      <w:lvlJc w:val="left"/>
      <w:pPr>
        <w:ind w:left="3135" w:hanging="393"/>
      </w:pPr>
      <w:rPr>
        <w:rFonts w:hint="default"/>
      </w:rPr>
    </w:lvl>
    <w:lvl w:ilvl="4">
      <w:numFmt w:val="bullet"/>
      <w:lvlText w:val="•"/>
      <w:lvlJc w:val="left"/>
      <w:pPr>
        <w:ind w:left="4014" w:hanging="393"/>
      </w:pPr>
      <w:rPr>
        <w:rFonts w:hint="default"/>
      </w:rPr>
    </w:lvl>
    <w:lvl w:ilvl="5">
      <w:numFmt w:val="bullet"/>
      <w:lvlText w:val="•"/>
      <w:lvlJc w:val="left"/>
      <w:pPr>
        <w:ind w:left="4893" w:hanging="393"/>
      </w:pPr>
      <w:rPr>
        <w:rFonts w:hint="default"/>
      </w:rPr>
    </w:lvl>
    <w:lvl w:ilvl="6">
      <w:numFmt w:val="bullet"/>
      <w:lvlText w:val="•"/>
      <w:lvlJc w:val="left"/>
      <w:pPr>
        <w:ind w:left="5771" w:hanging="393"/>
      </w:pPr>
      <w:rPr>
        <w:rFonts w:hint="default"/>
      </w:rPr>
    </w:lvl>
    <w:lvl w:ilvl="7">
      <w:numFmt w:val="bullet"/>
      <w:lvlText w:val="•"/>
      <w:lvlJc w:val="left"/>
      <w:pPr>
        <w:ind w:left="6650" w:hanging="393"/>
      </w:pPr>
      <w:rPr>
        <w:rFonts w:hint="default"/>
      </w:rPr>
    </w:lvl>
    <w:lvl w:ilvl="8">
      <w:numFmt w:val="bullet"/>
      <w:lvlText w:val="•"/>
      <w:lvlJc w:val="left"/>
      <w:pPr>
        <w:ind w:left="7529" w:hanging="393"/>
      </w:pPr>
      <w:rPr>
        <w:rFonts w:hint="default"/>
      </w:rPr>
    </w:lvl>
  </w:abstractNum>
  <w:abstractNum w:abstractNumId="3" w15:restartNumberingAfterBreak="0">
    <w:nsid w:val="3994220C"/>
    <w:multiLevelType w:val="multilevel"/>
    <w:tmpl w:val="22F0D840"/>
    <w:lvl w:ilvl="0">
      <w:start w:val="1"/>
      <w:numFmt w:val="upperLetter"/>
      <w:lvlText w:val="%1"/>
      <w:lvlJc w:val="left"/>
      <w:pPr>
        <w:ind w:left="684" w:hanging="568"/>
      </w:pPr>
      <w:rPr>
        <w:rFonts w:hint="default"/>
      </w:rPr>
    </w:lvl>
    <w:lvl w:ilvl="1">
      <w:start w:val="1"/>
      <w:numFmt w:val="decimal"/>
      <w:lvlText w:val="%1.%2"/>
      <w:lvlJc w:val="left"/>
      <w:pPr>
        <w:ind w:left="684" w:hanging="568"/>
      </w:pPr>
      <w:rPr>
        <w:rFonts w:ascii="Arial" w:eastAsia="Arial" w:hAnsi="Arial" w:cs="Arial" w:hint="default"/>
        <w:w w:val="99"/>
        <w:sz w:val="32"/>
        <w:szCs w:val="32"/>
      </w:rPr>
    </w:lvl>
    <w:lvl w:ilvl="2">
      <w:numFmt w:val="bullet"/>
      <w:lvlText w:val="•"/>
      <w:lvlJc w:val="left"/>
      <w:pPr>
        <w:ind w:left="2405" w:hanging="568"/>
      </w:pPr>
      <w:rPr>
        <w:rFonts w:hint="default"/>
      </w:rPr>
    </w:lvl>
    <w:lvl w:ilvl="3">
      <w:numFmt w:val="bullet"/>
      <w:lvlText w:val="•"/>
      <w:lvlJc w:val="left"/>
      <w:pPr>
        <w:ind w:left="3267" w:hanging="568"/>
      </w:pPr>
      <w:rPr>
        <w:rFonts w:hint="default"/>
      </w:rPr>
    </w:lvl>
    <w:lvl w:ilvl="4">
      <w:numFmt w:val="bullet"/>
      <w:lvlText w:val="•"/>
      <w:lvlJc w:val="left"/>
      <w:pPr>
        <w:ind w:left="4130" w:hanging="568"/>
      </w:pPr>
      <w:rPr>
        <w:rFonts w:hint="default"/>
      </w:rPr>
    </w:lvl>
    <w:lvl w:ilvl="5">
      <w:numFmt w:val="bullet"/>
      <w:lvlText w:val="•"/>
      <w:lvlJc w:val="left"/>
      <w:pPr>
        <w:ind w:left="4993" w:hanging="568"/>
      </w:pPr>
      <w:rPr>
        <w:rFonts w:hint="default"/>
      </w:rPr>
    </w:lvl>
    <w:lvl w:ilvl="6">
      <w:numFmt w:val="bullet"/>
      <w:lvlText w:val="•"/>
      <w:lvlJc w:val="left"/>
      <w:pPr>
        <w:ind w:left="5855" w:hanging="568"/>
      </w:pPr>
      <w:rPr>
        <w:rFonts w:hint="default"/>
      </w:rPr>
    </w:lvl>
    <w:lvl w:ilvl="7">
      <w:numFmt w:val="bullet"/>
      <w:lvlText w:val="•"/>
      <w:lvlJc w:val="left"/>
      <w:pPr>
        <w:ind w:left="6718" w:hanging="568"/>
      </w:pPr>
      <w:rPr>
        <w:rFonts w:hint="default"/>
      </w:rPr>
    </w:lvl>
    <w:lvl w:ilvl="8">
      <w:numFmt w:val="bullet"/>
      <w:lvlText w:val="•"/>
      <w:lvlJc w:val="left"/>
      <w:pPr>
        <w:ind w:left="7581" w:hanging="568"/>
      </w:pPr>
      <w:rPr>
        <w:rFonts w:hint="default"/>
      </w:rPr>
    </w:lvl>
  </w:abstractNum>
  <w:abstractNum w:abstractNumId="4" w15:restartNumberingAfterBreak="0">
    <w:nsid w:val="7B095B29"/>
    <w:multiLevelType w:val="multilevel"/>
    <w:tmpl w:val="AC7EF7D6"/>
    <w:lvl w:ilvl="0">
      <w:start w:val="2"/>
      <w:numFmt w:val="upperLetter"/>
      <w:lvlText w:val="%1."/>
      <w:lvlJc w:val="left"/>
      <w:pPr>
        <w:ind w:left="506" w:hanging="391"/>
      </w:pPr>
      <w:rPr>
        <w:rFonts w:ascii="Arial" w:eastAsia="Arial" w:hAnsi="Arial" w:cs="Arial" w:hint="default"/>
        <w:w w:val="99"/>
        <w:sz w:val="32"/>
        <w:szCs w:val="32"/>
      </w:rPr>
    </w:lvl>
    <w:lvl w:ilvl="1">
      <w:start w:val="1"/>
      <w:numFmt w:val="decimal"/>
      <w:lvlText w:val="%1.%2"/>
      <w:lvlJc w:val="left"/>
      <w:pPr>
        <w:ind w:left="617" w:hanging="502"/>
      </w:pPr>
      <w:rPr>
        <w:rFonts w:ascii="Arial" w:eastAsia="Arial" w:hAnsi="Arial" w:cs="Arial" w:hint="default"/>
        <w:w w:val="100"/>
        <w:sz w:val="28"/>
        <w:szCs w:val="28"/>
      </w:rPr>
    </w:lvl>
    <w:lvl w:ilvl="2">
      <w:numFmt w:val="bullet"/>
      <w:lvlText w:val="•"/>
      <w:lvlJc w:val="left"/>
      <w:pPr>
        <w:ind w:left="620" w:hanging="502"/>
      </w:pPr>
      <w:rPr>
        <w:rFonts w:hint="default"/>
      </w:rPr>
    </w:lvl>
    <w:lvl w:ilvl="3">
      <w:numFmt w:val="bullet"/>
      <w:lvlText w:val="•"/>
      <w:lvlJc w:val="left"/>
      <w:pPr>
        <w:ind w:left="640" w:hanging="502"/>
      </w:pPr>
      <w:rPr>
        <w:rFonts w:hint="default"/>
      </w:rPr>
    </w:lvl>
    <w:lvl w:ilvl="4">
      <w:numFmt w:val="bullet"/>
      <w:lvlText w:val="•"/>
      <w:lvlJc w:val="left"/>
      <w:pPr>
        <w:ind w:left="1878" w:hanging="502"/>
      </w:pPr>
      <w:rPr>
        <w:rFonts w:hint="default"/>
      </w:rPr>
    </w:lvl>
    <w:lvl w:ilvl="5">
      <w:numFmt w:val="bullet"/>
      <w:lvlText w:val="•"/>
      <w:lvlJc w:val="left"/>
      <w:pPr>
        <w:ind w:left="3116" w:hanging="502"/>
      </w:pPr>
      <w:rPr>
        <w:rFonts w:hint="default"/>
      </w:rPr>
    </w:lvl>
    <w:lvl w:ilvl="6">
      <w:numFmt w:val="bullet"/>
      <w:lvlText w:val="•"/>
      <w:lvlJc w:val="left"/>
      <w:pPr>
        <w:ind w:left="4354" w:hanging="502"/>
      </w:pPr>
      <w:rPr>
        <w:rFonts w:hint="default"/>
      </w:rPr>
    </w:lvl>
    <w:lvl w:ilvl="7">
      <w:numFmt w:val="bullet"/>
      <w:lvlText w:val="•"/>
      <w:lvlJc w:val="left"/>
      <w:pPr>
        <w:ind w:left="5592" w:hanging="502"/>
      </w:pPr>
      <w:rPr>
        <w:rFonts w:hint="default"/>
      </w:rPr>
    </w:lvl>
    <w:lvl w:ilvl="8">
      <w:numFmt w:val="bullet"/>
      <w:lvlText w:val="•"/>
      <w:lvlJc w:val="left"/>
      <w:pPr>
        <w:ind w:left="6830" w:hanging="502"/>
      </w:pPr>
      <w:rPr>
        <w:rFont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F0A"/>
    <w:rsid w:val="00093370"/>
    <w:rsid w:val="001C07B2"/>
    <w:rsid w:val="001D3E24"/>
    <w:rsid w:val="00344496"/>
    <w:rsid w:val="003A713B"/>
    <w:rsid w:val="004E1F0A"/>
    <w:rsid w:val="00507431"/>
    <w:rsid w:val="005774F2"/>
    <w:rsid w:val="005F16A2"/>
    <w:rsid w:val="006D6ED6"/>
    <w:rsid w:val="00813547"/>
    <w:rsid w:val="00A22E12"/>
    <w:rsid w:val="00A840F4"/>
    <w:rsid w:val="00AB6459"/>
    <w:rsid w:val="00B7224C"/>
    <w:rsid w:val="00C02F01"/>
    <w:rsid w:val="00C12AA2"/>
    <w:rsid w:val="00CC3E99"/>
    <w:rsid w:val="00CE18AC"/>
    <w:rsid w:val="00CE4FDA"/>
    <w:rsid w:val="00DB14F7"/>
    <w:rsid w:val="00E3058B"/>
    <w:rsid w:val="00E770FD"/>
    <w:rsid w:val="00EE44D0"/>
    <w:rsid w:val="00F161FB"/>
    <w:rsid w:val="00F54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95719A-9A16-4763-A3D7-0072DB12A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524" w:hanging="408"/>
      <w:jc w:val="both"/>
      <w:outlineLvl w:val="0"/>
    </w:pPr>
    <w:rPr>
      <w:sz w:val="32"/>
      <w:szCs w:val="32"/>
    </w:rPr>
  </w:style>
  <w:style w:type="paragraph" w:styleId="Heading2">
    <w:name w:val="heading 2"/>
    <w:basedOn w:val="Normal"/>
    <w:uiPriority w:val="1"/>
    <w:qFormat/>
    <w:pPr>
      <w:ind w:left="632" w:hanging="516"/>
      <w:jc w:val="both"/>
      <w:outlineLvl w:val="1"/>
    </w:pPr>
    <w:rPr>
      <w:sz w:val="28"/>
      <w:szCs w:val="28"/>
    </w:rPr>
  </w:style>
  <w:style w:type="paragraph" w:styleId="Heading3">
    <w:name w:val="heading 3"/>
    <w:basedOn w:val="Normal"/>
    <w:uiPriority w:val="1"/>
    <w:qFormat/>
    <w:pPr>
      <w:ind w:left="116"/>
      <w:jc w:val="both"/>
      <w:outlineLvl w:val="2"/>
    </w:pPr>
    <w:rPr>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9"/>
      <w:ind w:left="385" w:hanging="393"/>
    </w:pPr>
  </w:style>
  <w:style w:type="paragraph" w:styleId="TOC2">
    <w:name w:val="toc 2"/>
    <w:basedOn w:val="Normal"/>
    <w:uiPriority w:val="39"/>
    <w:qFormat/>
    <w:pPr>
      <w:spacing w:before="121"/>
      <w:ind w:left="730" w:hanging="405"/>
    </w:pPr>
  </w:style>
  <w:style w:type="paragraph" w:styleId="TOC3">
    <w:name w:val="toc 3"/>
    <w:basedOn w:val="Normal"/>
    <w:uiPriority w:val="39"/>
    <w:qFormat/>
    <w:pPr>
      <w:spacing w:before="119"/>
      <w:ind w:left="555"/>
    </w:pPr>
  </w:style>
  <w:style w:type="paragraph" w:styleId="BodyText">
    <w:name w:val="Body Text"/>
    <w:basedOn w:val="Normal"/>
    <w:uiPriority w:val="1"/>
    <w:qFormat/>
  </w:style>
  <w:style w:type="paragraph" w:styleId="ListParagraph">
    <w:name w:val="List Paragraph"/>
    <w:basedOn w:val="Normal"/>
    <w:uiPriority w:val="1"/>
    <w:qFormat/>
    <w:pPr>
      <w:spacing w:before="119"/>
      <w:ind w:left="836" w:hanging="516"/>
    </w:pPr>
  </w:style>
  <w:style w:type="paragraph" w:customStyle="1" w:styleId="TableParagraph">
    <w:name w:val="Table Paragraph"/>
    <w:basedOn w:val="Normal"/>
    <w:uiPriority w:val="1"/>
    <w:qFormat/>
    <w:pPr>
      <w:spacing w:before="101"/>
      <w:ind w:left="191"/>
    </w:pPr>
  </w:style>
  <w:style w:type="paragraph" w:styleId="Header">
    <w:name w:val="header"/>
    <w:basedOn w:val="Normal"/>
    <w:link w:val="HeaderChar"/>
    <w:uiPriority w:val="99"/>
    <w:unhideWhenUsed/>
    <w:rsid w:val="005F16A2"/>
    <w:pPr>
      <w:tabs>
        <w:tab w:val="center" w:pos="4680"/>
        <w:tab w:val="right" w:pos="9360"/>
      </w:tabs>
    </w:pPr>
  </w:style>
  <w:style w:type="character" w:customStyle="1" w:styleId="HeaderChar">
    <w:name w:val="Header Char"/>
    <w:basedOn w:val="DefaultParagraphFont"/>
    <w:link w:val="Header"/>
    <w:uiPriority w:val="99"/>
    <w:rsid w:val="005F16A2"/>
    <w:rPr>
      <w:rFonts w:ascii="Arial" w:eastAsia="Arial" w:hAnsi="Arial" w:cs="Arial"/>
    </w:rPr>
  </w:style>
  <w:style w:type="paragraph" w:styleId="Footer">
    <w:name w:val="footer"/>
    <w:basedOn w:val="Normal"/>
    <w:link w:val="FooterChar"/>
    <w:uiPriority w:val="99"/>
    <w:unhideWhenUsed/>
    <w:rsid w:val="005F16A2"/>
    <w:pPr>
      <w:tabs>
        <w:tab w:val="center" w:pos="4680"/>
        <w:tab w:val="right" w:pos="9360"/>
      </w:tabs>
    </w:pPr>
  </w:style>
  <w:style w:type="character" w:customStyle="1" w:styleId="FooterChar">
    <w:name w:val="Footer Char"/>
    <w:basedOn w:val="DefaultParagraphFont"/>
    <w:link w:val="Footer"/>
    <w:uiPriority w:val="99"/>
    <w:rsid w:val="005F16A2"/>
    <w:rPr>
      <w:rFonts w:ascii="Arial" w:eastAsia="Arial" w:hAnsi="Arial" w:cs="Arial"/>
    </w:rPr>
  </w:style>
  <w:style w:type="table" w:styleId="TableGrid">
    <w:name w:val="Table Grid"/>
    <w:basedOn w:val="TableNormal"/>
    <w:uiPriority w:val="39"/>
    <w:rsid w:val="005F1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74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4.png"/><Relationship Id="rId26" Type="http://schemas.openxmlformats.org/officeDocument/2006/relationships/hyperlink" Target="http://www.stat.ee/)" TargetMode="Externa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ole.ee/"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www.riigiteataja.ee/"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ojk.ee/" TargetMode="External"/><Relationship Id="rId28" Type="http://schemas.openxmlformats.org/officeDocument/2006/relationships/fontTable" Target="fontTable.xml"/><Relationship Id="rId10" Type="http://schemas.openxmlformats.org/officeDocument/2006/relationships/hyperlink" Target="http://www.tja.ee/"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hyperlink" Target="http://erail.era.europa.eu/" TargetMode="Externa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516BE-9695-474A-8995-4151110C0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4894</Words>
  <Characters>27896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32725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CDT</dc:creator>
  <cp:lastModifiedBy>WALRAVENS Brigitte (ERA)</cp:lastModifiedBy>
  <cp:revision>2</cp:revision>
  <dcterms:created xsi:type="dcterms:W3CDTF">2017-12-11T14:51:00Z</dcterms:created>
  <dcterms:modified xsi:type="dcterms:W3CDTF">2017-12-11T14:51:00Z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2017-09-28T00:00:00Z</vt:filetime>
  </property>
  <property fmtid="{D5CDD505-2E9C-101B-9397-08002B2CF9AE}" pid="3" name="Creator">
    <vt:lpwstr>Microsoft® Word 2016</vt:lpwstr>
  </property>
  <property fmtid="{D5CDD505-2E9C-101B-9397-08002B2CF9AE}" pid="4" name="LastSaved">
    <vt:filetime>2017-10-06T00:00:00Z</vt:filetime>
  </property>
</Properties>
</file>