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 -->
  <w:body>
    <w:p w:rsidR="005854EB" w:rsidRPr="00BB1E73">
      <w:pPr>
        <w:pStyle w:val="BodyText"/>
        <w:ind w:left="102"/>
        <w:rPr>
          <w:rFonts w:ascii="Times New Roman"/>
          <w:sz w:val="20"/>
        </w:rPr>
      </w:pPr>
      <w:r w:rsidRPr="00BB1E73">
        <w:rPr>
          <w:rFonts w:ascii="Times New Roman"/>
          <w:noProof/>
          <w:sz w:val="20"/>
          <w:lang w:val="en-US" w:eastAsia="en-US" w:bidi="ar-SA"/>
        </w:rPr>
        <w:drawing>
          <wp:inline distT="0" distB="0" distL="0" distR="0">
            <wp:extent cx="2933484" cy="35299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xmlns:r="http://schemas.openxmlformats.org/officeDocument/2006/relationships" r:embed="rId5" cstate="print"/>
                    <a:stretch>
                      <a:fillRect/>
                    </a:stretch>
                  </pic:blipFill>
                  <pic:spPr>
                    <a:xfrm>
                      <a:off x="0" y="0"/>
                      <a:ext cx="2933484" cy="352996"/>
                    </a:xfrm>
                    <a:prstGeom prst="rect">
                      <a:avLst/>
                    </a:prstGeom>
                  </pic:spPr>
                </pic:pic>
              </a:graphicData>
            </a:graphic>
          </wp:inline>
        </w:drawing>
      </w:r>
    </w:p>
    <w:p w:rsidR="005854EB" w:rsidRPr="00BB1E73">
      <w:pPr>
        <w:pStyle w:val="BodyText"/>
        <w:spacing w:before="8"/>
        <w:rPr>
          <w:rFonts w:ascii="Times New Roman"/>
          <w:sz w:val="14"/>
        </w:rPr>
      </w:pPr>
    </w:p>
    <w:p w:rsidR="005854EB" w:rsidRPr="00BB1E73" w:rsidP="00CB07AF">
      <w:pPr>
        <w:spacing w:before="95"/>
        <w:ind w:left="899" w:right="52"/>
        <w:rPr>
          <w:sz w:val="18"/>
          <w:szCs w:val="18"/>
        </w:rPr>
      </w:pPr>
      <w:r w:rsidRPr="00BB1E73">
        <w:rPr>
          <w:sz w:val="18"/>
        </w:rPr>
        <w:t>DEPARTMENT FOR THE INVESTIGATION OF AVIATION, MARITIME AND RAILWAY ACCIDENTS AND INCIDENTS</w:t>
      </w:r>
    </w:p>
    <w:p w:rsidR="005854EB" w:rsidRPr="00BB1E73">
      <w:pPr>
        <w:pStyle w:val="BodyText"/>
        <w:rPr>
          <w:sz w:val="22"/>
        </w:rPr>
      </w:pPr>
    </w:p>
    <w:p w:rsidR="005854EB" w:rsidRPr="00BB1E73">
      <w:pPr>
        <w:tabs>
          <w:tab w:val="left" w:pos="6011"/>
        </w:tabs>
        <w:spacing w:before="155"/>
        <w:ind w:left="899"/>
        <w:rPr>
          <w:sz w:val="16"/>
        </w:rPr>
      </w:pPr>
      <w:r w:rsidRPr="00BB1E73">
        <w:rPr>
          <w:sz w:val="16"/>
        </w:rPr>
        <w:t>Langusova</w:t>
      </w:r>
      <w:r w:rsidRPr="00BB1E73">
        <w:rPr>
          <w:sz w:val="16"/>
        </w:rPr>
        <w:t xml:space="preserve"> </w:t>
      </w:r>
      <w:r w:rsidRPr="00BB1E73">
        <w:rPr>
          <w:sz w:val="16"/>
        </w:rPr>
        <w:t>ulica</w:t>
      </w:r>
      <w:r w:rsidRPr="00BB1E73">
        <w:rPr>
          <w:sz w:val="16"/>
        </w:rPr>
        <w:t> 4, 1535 Ljubljana</w:t>
      </w:r>
      <w:r w:rsidRPr="00BB1E73">
        <w:tab/>
      </w:r>
      <w:r w:rsidRPr="00BB1E73">
        <w:rPr>
          <w:sz w:val="16"/>
        </w:rPr>
        <w:t>Tel: 01 478 88 51</w:t>
      </w:r>
    </w:p>
    <w:p w:rsidR="00FE09FE" w:rsidRPr="00BB1E73" w:rsidP="00BB1E73">
      <w:pPr>
        <w:spacing w:before="56"/>
        <w:ind w:left="6010" w:right="-89"/>
        <w:rPr>
          <w:sz w:val="16"/>
        </w:rPr>
      </w:pPr>
      <w:r w:rsidRPr="00BB1E73">
        <w:rPr>
          <w:sz w:val="16"/>
        </w:rPr>
        <w:t>E-mail:</w:t>
      </w:r>
      <w:r>
        <w:fldChar w:fldCharType="begin"/>
      </w:r>
      <w:r>
        <w:instrText xml:space="preserve"> HYPERLINK "mailto:gp.mzip@gov.si" </w:instrText>
      </w:r>
      <w:r>
        <w:fldChar w:fldCharType="separate"/>
      </w:r>
      <w:r w:rsidRPr="00BB1E73">
        <w:rPr>
          <w:sz w:val="16"/>
        </w:rPr>
        <w:t>gp.mzip@gov.si</w:t>
      </w:r>
      <w:r>
        <w:fldChar w:fldCharType="end"/>
      </w:r>
    </w:p>
    <w:p w:rsidR="005854EB" w:rsidRPr="00BB1E73" w:rsidP="00FE09FE">
      <w:pPr>
        <w:spacing w:before="56"/>
        <w:ind w:left="6010" w:right="2183"/>
        <w:rPr>
          <w:sz w:val="16"/>
        </w:rPr>
      </w:pPr>
      <w:r>
        <w:fldChar w:fldCharType="begin"/>
      </w:r>
      <w:r>
        <w:instrText xml:space="preserve"> HYPERLINK "http://www.mzip.gov.si/" </w:instrText>
      </w:r>
      <w:r>
        <w:fldChar w:fldCharType="separate"/>
      </w:r>
      <w:r w:rsidRPr="00BB1E73">
        <w:rPr>
          <w:sz w:val="16"/>
        </w:rPr>
        <w:t>www.m</w:t>
      </w:r>
      <w:r w:rsidRPr="00BB1E73">
        <w:rPr>
          <w:sz w:val="16"/>
        </w:rPr>
        <w:t>z</w:t>
      </w:r>
      <w:r w:rsidRPr="00BB1E73">
        <w:rPr>
          <w:sz w:val="16"/>
        </w:rPr>
        <w:t>ip.gov.si</w:t>
      </w:r>
      <w:r>
        <w:fldChar w:fldCharType="end"/>
      </w:r>
    </w:p>
    <w:p w:rsidR="005854EB" w:rsidRPr="00BB1E73">
      <w:pPr>
        <w:pStyle w:val="BodyText"/>
        <w:spacing w:before="5"/>
        <w:rPr>
          <w:sz w:val="21"/>
        </w:rPr>
      </w:pPr>
    </w:p>
    <w:p w:rsidR="005854EB" w:rsidRPr="00BB1E73">
      <w:pPr>
        <w:tabs>
          <w:tab w:val="left" w:pos="2597"/>
        </w:tabs>
        <w:spacing w:before="1"/>
        <w:ind w:left="899"/>
        <w:rPr>
          <w:sz w:val="20"/>
        </w:rPr>
      </w:pPr>
      <w:r w:rsidRPr="00BB1E73">
        <w:rPr>
          <w:sz w:val="20"/>
        </w:rPr>
        <w:t>Ref no:</w:t>
      </w:r>
      <w:r w:rsidRPr="00BB1E73">
        <w:tab/>
      </w:r>
      <w:r w:rsidRPr="00BB1E73">
        <w:rPr>
          <w:sz w:val="20"/>
        </w:rPr>
        <w:t>010-19/2017/59</w:t>
      </w:r>
    </w:p>
    <w:p w:rsidR="005854EB" w:rsidRPr="00BB1E73">
      <w:pPr>
        <w:tabs>
          <w:tab w:val="left" w:pos="2597"/>
        </w:tabs>
        <w:spacing w:before="29"/>
        <w:ind w:left="899"/>
        <w:rPr>
          <w:sz w:val="20"/>
        </w:rPr>
      </w:pPr>
      <w:r w:rsidRPr="00BB1E73">
        <w:rPr>
          <w:sz w:val="20"/>
        </w:rPr>
        <w:t>ID code:</w:t>
      </w:r>
      <w:r w:rsidRPr="00BB1E73">
        <w:tab/>
      </w:r>
      <w:r w:rsidRPr="00BB1E73">
        <w:rPr>
          <w:sz w:val="20"/>
        </w:rPr>
        <w:t>00221736</w:t>
      </w:r>
    </w:p>
    <w:p w:rsidR="005854EB" w:rsidRPr="00BB1E73" w:rsidP="00BB1E73">
      <w:pPr>
        <w:pStyle w:val="BodyText"/>
        <w:ind w:right="-798"/>
        <w:rPr>
          <w:sz w:val="22"/>
        </w:rPr>
      </w:pPr>
    </w:p>
    <w:p w:rsidR="00BB1E73" w:rsidP="00BB1E73">
      <w:pPr>
        <w:spacing w:before="140" w:line="381" w:lineRule="auto"/>
        <w:ind w:right="-798"/>
        <w:jc w:val="center"/>
        <w:rPr>
          <w:b/>
          <w:sz w:val="36"/>
        </w:rPr>
      </w:pPr>
      <w:r w:rsidRPr="00BB1E73">
        <w:rPr>
          <w:b/>
          <w:sz w:val="36"/>
        </w:rPr>
        <w:t>ANNUAL REPORT</w:t>
      </w:r>
    </w:p>
    <w:p w:rsidR="005854EB" w:rsidRPr="00BB1E73" w:rsidP="00BB1E73">
      <w:pPr>
        <w:tabs>
          <w:tab w:val="left" w:pos="9072"/>
        </w:tabs>
        <w:spacing w:line="381" w:lineRule="auto"/>
        <w:ind w:right="-798"/>
        <w:jc w:val="center"/>
        <w:rPr>
          <w:b/>
          <w:sz w:val="36"/>
        </w:rPr>
      </w:pPr>
      <w:r w:rsidRPr="00BB1E73">
        <w:rPr>
          <w:b/>
          <w:sz w:val="36"/>
        </w:rPr>
        <w:t>OF THE SLOVENIAN</w:t>
      </w:r>
    </w:p>
    <w:p w:rsidR="005854EB" w:rsidRPr="00BB1E73" w:rsidP="00BB1E73">
      <w:pPr>
        <w:spacing w:before="37" w:line="400" w:lineRule="auto"/>
        <w:ind w:right="-798"/>
        <w:jc w:val="center"/>
        <w:rPr>
          <w:b/>
          <w:sz w:val="36"/>
        </w:rPr>
      </w:pPr>
      <w:r w:rsidRPr="00BB1E73">
        <w:rPr>
          <w:b/>
          <w:sz w:val="36"/>
        </w:rPr>
        <w:t>RAILWAY INVESTIGATING BODY</w:t>
      </w:r>
    </w:p>
    <w:p w:rsidR="005854EB" w:rsidRPr="00BB1E73" w:rsidP="00BB1E73">
      <w:pPr>
        <w:spacing w:before="4" w:after="11"/>
        <w:ind w:right="-798"/>
        <w:jc w:val="center"/>
        <w:rPr>
          <w:b/>
          <w:sz w:val="36"/>
        </w:rPr>
      </w:pPr>
      <w:r w:rsidRPr="00BB1E73">
        <w:rPr>
          <w:b/>
          <w:sz w:val="36"/>
        </w:rPr>
        <w:t>2016</w:t>
      </w:r>
    </w:p>
    <w:p w:rsidR="005854EB" w:rsidRPr="00BB1E73">
      <w:pPr>
        <w:pStyle w:val="BodyText"/>
        <w:ind w:left="1326"/>
        <w:rPr>
          <w:sz w:val="20"/>
        </w:rPr>
      </w:pPr>
      <w:r>
        <w:rPr>
          <w:sz w:val="20"/>
        </w:rPr>
        <w:pict>
          <v:group id="_x0000_i1025" style="width:383.05pt;height:287.8pt;mso-position-horizontal-relative:char;mso-position-vertical-relative:line" coordsize="7661,5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7661;height:2876;position:absolute">
              <v:imagedata r:id="rId6" o:title=""/>
            </v:shape>
            <v:shape id="_x0000_s1027" type="#_x0000_t75" style="width:7661;height:2880;position:absolute;top:2875">
              <v:imagedata r:id="rId7" o:title=""/>
            </v:shape>
            <w10:wrap type="none"/>
            <w10:anchorlock/>
          </v:group>
        </w:pict>
      </w:r>
    </w:p>
    <w:p w:rsidR="005854EB" w:rsidRPr="00BB1E73">
      <w:pPr>
        <w:pStyle w:val="BodyText"/>
        <w:rPr>
          <w:b/>
          <w:sz w:val="20"/>
        </w:rPr>
      </w:pPr>
    </w:p>
    <w:p w:rsidR="005854EB" w:rsidRPr="00BB1E73">
      <w:pPr>
        <w:pStyle w:val="BodyText"/>
        <w:rPr>
          <w:b/>
          <w:sz w:val="20"/>
        </w:rPr>
      </w:pPr>
    </w:p>
    <w:p w:rsidR="005854EB" w:rsidRPr="00BB1E73">
      <w:pPr>
        <w:pStyle w:val="BodyText"/>
        <w:spacing w:before="1"/>
        <w:rPr>
          <w:b/>
          <w:sz w:val="18"/>
        </w:rPr>
      </w:pPr>
    </w:p>
    <w:p w:rsidR="003253B5" w:rsidRPr="00BB1E73">
      <w:pPr>
        <w:spacing w:before="94"/>
        <w:ind w:left="3101" w:right="2455"/>
        <w:jc w:val="center"/>
        <w:rPr>
          <w:b/>
        </w:rPr>
      </w:pPr>
      <w:r w:rsidRPr="00BB1E73">
        <w:rPr>
          <w:b/>
        </w:rPr>
        <w:t>Ljubljana, 29 September 2017</w:t>
      </w:r>
    </w:p>
    <w:p w:rsidR="003253B5" w:rsidRPr="00BB1E73">
      <w:pPr>
        <w:spacing w:before="94"/>
        <w:ind w:left="3101" w:right="2455"/>
        <w:jc w:val="center"/>
        <w:rPr>
          <w:b/>
        </w:rPr>
      </w:pPr>
    </w:p>
    <w:p w:rsidR="003253B5" w:rsidRPr="00BB1E73" w:rsidP="003253B5">
      <w:pPr>
        <w:spacing w:before="94"/>
        <w:ind w:right="2455"/>
        <w:jc w:val="center"/>
        <w:rPr>
          <w:b/>
        </w:rPr>
        <w:sectPr w:rsidSect="003253B5">
          <w:footerReference w:type="default" r:id="rId8"/>
          <w:pgSz w:w="11910" w:h="16840"/>
          <w:pgMar w:top="1100" w:right="1560" w:bottom="1000" w:left="800" w:header="0" w:footer="818" w:gutter="0"/>
          <w:pgNumType w:start="1"/>
          <w:cols w:space="720"/>
        </w:sectPr>
      </w:pPr>
    </w:p>
    <w:p w:rsidR="005854EB" w:rsidRPr="00BB1E73" w:rsidP="005E17D5">
      <w:pPr>
        <w:pStyle w:val="Heading1"/>
        <w:spacing w:before="89"/>
        <w:ind w:left="902" w:firstLine="0"/>
      </w:pPr>
      <w:bookmarkStart w:id="0" w:name="_Toc503796860"/>
      <w:bookmarkStart w:id="1" w:name="_Toc506208145"/>
      <w:r w:rsidRPr="00BB1E73">
        <w:t>INTRODUCTION</w:t>
      </w:r>
      <w:bookmarkEnd w:id="0"/>
      <w:bookmarkEnd w:id="1"/>
    </w:p>
    <w:p w:rsidR="005854EB" w:rsidRPr="00BB1E73">
      <w:pPr>
        <w:spacing w:before="68"/>
        <w:ind w:left="899" w:right="234"/>
        <w:jc w:val="both"/>
        <w:rPr>
          <w:sz w:val="32"/>
        </w:rPr>
      </w:pPr>
      <w:r w:rsidRPr="00BB1E73">
        <w:rPr>
          <w:sz w:val="32"/>
        </w:rPr>
        <w:t>The railway investigating body conducts investigations of accidents and incidents with the aim of improving railway safety and preventing accidents from occurring in the future.</w:t>
      </w:r>
    </w:p>
    <w:p w:rsidR="005854EB" w:rsidRPr="00BB1E73">
      <w:pPr>
        <w:ind w:left="899" w:right="238"/>
        <w:jc w:val="both"/>
        <w:rPr>
          <w:sz w:val="32"/>
        </w:rPr>
      </w:pPr>
      <w:r w:rsidRPr="00BB1E73">
        <w:rPr>
          <w:sz w:val="32"/>
        </w:rPr>
        <w:t xml:space="preserve">It operates in accordance with Railway Safety Directive 2004/49/EC of the European Parliament and of the Council of 29 April 2004, which was transposed into Slovenian law with the adoption of the Railway Transport Act (UL RS, No 44/2007, 21 May 2007) and the Railway Safety Act (UL RS, No 61/2007, </w:t>
      </w:r>
      <w:r w:rsidRPr="00BB1E73">
        <w:rPr>
          <w:sz w:val="32"/>
        </w:rPr>
        <w:t>10</w:t>
      </w:r>
      <w:r w:rsidRPr="00BB1E73">
        <w:rPr>
          <w:sz w:val="32"/>
        </w:rPr>
        <w:t> July 2007).</w:t>
      </w:r>
    </w:p>
    <w:p w:rsidR="005854EB" w:rsidRPr="00BB1E73">
      <w:pPr>
        <w:ind w:left="899" w:right="237"/>
        <w:jc w:val="both"/>
        <w:rPr>
          <w:sz w:val="32"/>
        </w:rPr>
      </w:pPr>
      <w:r w:rsidRPr="00BB1E73">
        <w:rPr>
          <w:sz w:val="32"/>
        </w:rPr>
        <w:t>The 2016 annual report on the performance of railway safety investigations in Slovenia includes a presentation of the organisation of the body, the legislative basis for its operations, a review of the accidents and incidents investigated, and a review of recommendations issued and adopted in the past year.</w:t>
      </w:r>
    </w:p>
    <w:p w:rsidR="005854EB" w:rsidRPr="00BB1E73" w:rsidP="005E17D5">
      <w:pPr>
        <w:pageBreakBefore/>
        <w:spacing w:before="74"/>
        <w:ind w:left="3096" w:right="2455"/>
        <w:jc w:val="center"/>
        <w:rPr>
          <w:b/>
          <w:sz w:val="32"/>
        </w:rPr>
      </w:pPr>
      <w:r w:rsidRPr="00BB1E73">
        <w:rPr>
          <w:b/>
          <w:sz w:val="32"/>
        </w:rPr>
        <w:t>TABLE OF CONTENTS</w:t>
      </w:r>
    </w:p>
    <w:p w:rsidR="005854EB" w:rsidRPr="00BB1E73">
      <w:pPr>
        <w:pStyle w:val="BodyText"/>
        <w:spacing w:before="1"/>
        <w:rPr>
          <w:b/>
          <w:sz w:val="32"/>
        </w:rPr>
      </w:pPr>
    </w:p>
    <w:p w:rsidR="005854EB" w:rsidRPr="00BB1E73">
      <w:pPr>
        <w:tabs>
          <w:tab w:val="left" w:pos="8747"/>
        </w:tabs>
        <w:ind w:left="875"/>
        <w:rPr>
          <w:b/>
          <w:sz w:val="24"/>
        </w:rPr>
      </w:pPr>
      <w:r w:rsidRPr="00BB1E73">
        <w:rPr>
          <w:b/>
          <w:sz w:val="24"/>
        </w:rPr>
        <w:t>Point: Title:</w:t>
      </w:r>
      <w:r w:rsidRPr="00BB1E73">
        <w:tab/>
      </w:r>
      <w:r w:rsidRPr="00BB1E73">
        <w:rPr>
          <w:b/>
          <w:sz w:val="24"/>
        </w:rPr>
        <w:t>Page:</w:t>
      </w:r>
    </w:p>
    <w:sdt>
      <w:sdtPr>
        <w:rPr>
          <w:rFonts w:ascii="Arial" w:eastAsia="Arial" w:hAnsi="Arial" w:cs="Arial"/>
          <w:b/>
          <w:bCs/>
          <w:sz w:val="22"/>
          <w:szCs w:val="22"/>
        </w:rPr>
        <w:id w:val="-499574055"/>
        <w:docPartObj>
          <w:docPartGallery w:val="Table of Contents"/>
          <w:docPartUnique/>
        </w:docPartObj>
      </w:sdtPr>
      <w:sdtEndPr>
        <w:rPr>
          <w:noProof/>
        </w:rPr>
      </w:sdtEndPr>
      <w:sdtContent>
        <w:p w:rsidR="00EA1401" w:rsidRPr="00BB1E73">
          <w:pPr>
            <w:pStyle w:val="TOCHeading"/>
          </w:pPr>
        </w:p>
        <w:p w:rsidR="000F51A5">
          <w:pPr>
            <w:pStyle w:val="TOC1"/>
            <w:tabs>
              <w:tab w:val="right" w:pos="9540"/>
            </w:tabs>
            <w:rPr>
              <w:rFonts w:asciiTheme="minorHAnsi" w:eastAsiaTheme="minorEastAsia" w:hAnsiTheme="minorHAnsi" w:cstheme="minorBidi"/>
              <w:b w:val="0"/>
              <w:bCs w:val="0"/>
              <w:noProof/>
              <w:sz w:val="22"/>
              <w:szCs w:val="22"/>
              <w:lang w:val="en-US" w:eastAsia="en-US" w:bidi="ar-SA"/>
            </w:rPr>
          </w:pPr>
          <w:bookmarkStart w:id="2" w:name="_GoBack"/>
          <w:bookmarkEnd w:id="2"/>
          <w:r w:rsidRPr="00BB1E73">
            <w:rPr>
              <w:b w:val="0"/>
              <w:bCs w:val="0"/>
            </w:rPr>
            <w:fldChar w:fldCharType="begin"/>
          </w:r>
          <w:r w:rsidRPr="00BB1E73">
            <w:rPr>
              <w:b w:val="0"/>
              <w:bCs w:val="0"/>
            </w:rPr>
            <w:instrText xml:space="preserve"> TOC \o "1-3" \h \z \u </w:instrText>
          </w:r>
          <w:r w:rsidRPr="00BB1E73">
            <w:rPr>
              <w:b w:val="0"/>
              <w:bCs w:val="0"/>
            </w:rPr>
            <w:fldChar w:fldCharType="separate"/>
          </w:r>
          <w:r>
            <w:fldChar w:fldCharType="begin"/>
          </w:r>
          <w:r>
            <w:instrText xml:space="preserve"> HYPERLINK \l "_Toc506208145" </w:instrText>
          </w:r>
          <w:r>
            <w:fldChar w:fldCharType="separate"/>
          </w:r>
          <w:r w:rsidRPr="00C02DFE">
            <w:rPr>
              <w:rStyle w:val="Hyperlink"/>
              <w:noProof/>
            </w:rPr>
            <w:t>INTRODUCTION</w:t>
          </w:r>
          <w:r>
            <w:rPr>
              <w:noProof/>
              <w:webHidden/>
            </w:rPr>
            <w:tab/>
          </w:r>
          <w:r>
            <w:rPr>
              <w:noProof/>
              <w:webHidden/>
            </w:rPr>
            <w:fldChar w:fldCharType="begin"/>
          </w:r>
          <w:r>
            <w:rPr>
              <w:noProof/>
              <w:webHidden/>
            </w:rPr>
            <w:instrText xml:space="preserve"> PAGEREF _Toc506208145 \h </w:instrText>
          </w:r>
          <w:r>
            <w:rPr>
              <w:noProof/>
              <w:webHidden/>
            </w:rPr>
            <w:fldChar w:fldCharType="separate"/>
          </w:r>
          <w:r>
            <w:rPr>
              <w:noProof/>
              <w:webHidden/>
            </w:rPr>
            <w:t>1</w:t>
          </w:r>
          <w:r>
            <w:rPr>
              <w:noProof/>
              <w:webHidden/>
            </w:rPr>
            <w:fldChar w:fldCharType="end"/>
          </w:r>
          <w:r>
            <w:fldChar w:fldCharType="end"/>
          </w:r>
        </w:p>
        <w:p w:rsidR="000F51A5">
          <w:pPr>
            <w:pStyle w:val="TOC1"/>
            <w:tabs>
              <w:tab w:val="left" w:pos="1503"/>
              <w:tab w:val="right" w:pos="9540"/>
            </w:tabs>
            <w:rPr>
              <w:rFonts w:asciiTheme="minorHAnsi" w:eastAsiaTheme="minorEastAsia" w:hAnsiTheme="minorHAnsi" w:cstheme="minorBidi"/>
              <w:b w:val="0"/>
              <w:bCs w:val="0"/>
              <w:noProof/>
              <w:sz w:val="22"/>
              <w:szCs w:val="22"/>
              <w:lang w:val="en-US" w:eastAsia="en-US" w:bidi="ar-SA"/>
            </w:rPr>
          </w:pPr>
          <w:r>
            <w:fldChar w:fldCharType="begin"/>
          </w:r>
          <w:r>
            <w:instrText xml:space="preserve"> HYPERLINK \l "_Toc506208146" </w:instrText>
          </w:r>
          <w:r>
            <w:fldChar w:fldCharType="separate"/>
          </w:r>
          <w:r w:rsidRPr="00C02DFE">
            <w:rPr>
              <w:rStyle w:val="Hyperlink"/>
              <w:noProof/>
            </w:rPr>
            <w:t>1.</w:t>
          </w:r>
          <w:r>
            <w:rPr>
              <w:rFonts w:asciiTheme="minorHAnsi" w:eastAsiaTheme="minorEastAsia" w:hAnsiTheme="minorHAnsi" w:cstheme="minorBidi"/>
              <w:b w:val="0"/>
              <w:bCs w:val="0"/>
              <w:noProof/>
              <w:sz w:val="22"/>
              <w:szCs w:val="22"/>
              <w:lang w:val="en-US" w:eastAsia="en-US" w:bidi="ar-SA"/>
            </w:rPr>
            <w:tab/>
          </w:r>
          <w:r w:rsidRPr="00C02DFE">
            <w:rPr>
              <w:rStyle w:val="Hyperlink"/>
              <w:noProof/>
            </w:rPr>
            <w:t>PRESENTATION OF THE ORGANISATION OF SAFETY INVESTIGATIONS</w:t>
          </w:r>
          <w:r>
            <w:rPr>
              <w:noProof/>
              <w:webHidden/>
            </w:rPr>
            <w:tab/>
          </w:r>
          <w:r>
            <w:rPr>
              <w:noProof/>
              <w:webHidden/>
            </w:rPr>
            <w:fldChar w:fldCharType="begin"/>
          </w:r>
          <w:r>
            <w:rPr>
              <w:noProof/>
              <w:webHidden/>
            </w:rPr>
            <w:instrText xml:space="preserve"> PAGEREF _Toc506208146 \h </w:instrText>
          </w:r>
          <w:r>
            <w:rPr>
              <w:noProof/>
              <w:webHidden/>
            </w:rPr>
            <w:fldChar w:fldCharType="separate"/>
          </w:r>
          <w:r>
            <w:rPr>
              <w:noProof/>
              <w:webHidden/>
            </w:rPr>
            <w:t>3</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"_Toc506208147" </w:instrText>
          </w:r>
          <w:r>
            <w:fldChar w:fldCharType="separate"/>
          </w:r>
          <w:r w:rsidRPr="00C02DFE">
            <w:rPr>
              <w:rStyle w:val="Hyperlink"/>
              <w:noProof/>
              <w:w w:val="99"/>
            </w:rPr>
            <w:t>1.1.</w:t>
          </w:r>
          <w:r>
            <w:rPr>
              <w:rFonts w:asciiTheme="minorHAnsi" w:eastAsiaTheme="minorEastAsia" w:hAnsiTheme="minorHAnsi" w:cstheme="minorBidi"/>
              <w:noProof/>
              <w:sz w:val="22"/>
              <w:szCs w:val="22"/>
              <w:lang w:val="en-US" w:eastAsia="en-US" w:bidi="ar-SA"/>
            </w:rPr>
            <w:tab/>
          </w:r>
          <w:r w:rsidRPr="00C02DFE">
            <w:rPr>
              <w:rStyle w:val="Hyperlink"/>
              <w:noProof/>
            </w:rPr>
            <w:t>Legal basis (or legal framework)</w:t>
          </w:r>
          <w:r>
            <w:rPr>
              <w:noProof/>
              <w:webHidden/>
            </w:rPr>
            <w:tab/>
          </w:r>
          <w:r>
            <w:rPr>
              <w:noProof/>
              <w:webHidden/>
            </w:rPr>
            <w:fldChar w:fldCharType="begin"/>
          </w:r>
          <w:r>
            <w:rPr>
              <w:noProof/>
              <w:webHidden/>
            </w:rPr>
            <w:instrText xml:space="preserve"> PAGEREF _Toc506208147 \h </w:instrText>
          </w:r>
          <w:r>
            <w:rPr>
              <w:noProof/>
              <w:webHidden/>
            </w:rPr>
            <w:fldChar w:fldCharType="separate"/>
          </w:r>
          <w:r>
            <w:rPr>
              <w:noProof/>
              <w:webHidden/>
            </w:rPr>
            <w:t>6</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"_Toc506208148" </w:instrText>
          </w:r>
          <w:r>
            <w:fldChar w:fldCharType="separate"/>
          </w:r>
          <w:r w:rsidRPr="00C02DFE">
            <w:rPr>
              <w:rStyle w:val="Hyperlink"/>
              <w:noProof/>
              <w:w w:val="99"/>
            </w:rPr>
            <w:t>1.2.</w:t>
          </w:r>
          <w:r>
            <w:rPr>
              <w:rFonts w:asciiTheme="minorHAnsi" w:eastAsiaTheme="minorEastAsia" w:hAnsiTheme="minorHAnsi" w:cstheme="minorBidi"/>
              <w:noProof/>
              <w:sz w:val="22"/>
              <w:szCs w:val="22"/>
              <w:lang w:val="en-US" w:eastAsia="en-US" w:bidi="ar-SA"/>
            </w:rPr>
            <w:tab/>
          </w:r>
          <w:r w:rsidRPr="00C02DFE">
            <w:rPr>
              <w:rStyle w:val="Hyperlink"/>
              <w:noProof/>
            </w:rPr>
            <w:t>Role (description of mandate) and objective (or mission)</w:t>
          </w:r>
          <w:r>
            <w:rPr>
              <w:noProof/>
              <w:webHidden/>
            </w:rPr>
            <w:tab/>
          </w:r>
          <w:r>
            <w:rPr>
              <w:noProof/>
              <w:webHidden/>
            </w:rPr>
            <w:fldChar w:fldCharType="begin"/>
          </w:r>
          <w:r>
            <w:rPr>
              <w:noProof/>
              <w:webHidden/>
            </w:rPr>
            <w:instrText xml:space="preserve"> PAGEREF _Toc506208148 \h </w:instrText>
          </w:r>
          <w:r>
            <w:rPr>
              <w:noProof/>
              <w:webHidden/>
            </w:rPr>
            <w:fldChar w:fldCharType="separate"/>
          </w:r>
          <w:r>
            <w:rPr>
              <w:noProof/>
              <w:webHidden/>
            </w:rPr>
            <w:t>6</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"_Toc506208149" </w:instrText>
          </w:r>
          <w:r>
            <w:fldChar w:fldCharType="separate"/>
          </w:r>
          <w:r w:rsidRPr="00C02DFE">
            <w:rPr>
              <w:rStyle w:val="Hyperlink"/>
              <w:noProof/>
              <w:w w:val="99"/>
            </w:rPr>
            <w:t>1.3.</w:t>
          </w:r>
          <w:r>
            <w:rPr>
              <w:rFonts w:asciiTheme="minorHAnsi" w:eastAsiaTheme="minorEastAsia" w:hAnsiTheme="minorHAnsi" w:cstheme="minorBidi"/>
              <w:noProof/>
              <w:sz w:val="22"/>
              <w:szCs w:val="22"/>
              <w:lang w:val="en-US" w:eastAsia="en-US" w:bidi="ar-SA"/>
            </w:rPr>
            <w:tab/>
          </w:r>
          <w:r w:rsidRPr="00C02DFE">
            <w:rPr>
              <w:rStyle w:val="Hyperlink"/>
              <w:noProof/>
            </w:rPr>
            <w:t>Internal organisation and sub-departments</w:t>
          </w:r>
          <w:r>
            <w:rPr>
              <w:noProof/>
              <w:webHidden/>
            </w:rPr>
            <w:tab/>
          </w:r>
          <w:r>
            <w:rPr>
              <w:noProof/>
              <w:webHidden/>
            </w:rPr>
            <w:fldChar w:fldCharType="begin"/>
          </w:r>
          <w:r>
            <w:rPr>
              <w:noProof/>
              <w:webHidden/>
            </w:rPr>
            <w:instrText xml:space="preserve"> PAGEREF _Toc506208149 \h </w:instrText>
          </w:r>
          <w:r>
            <w:rPr>
              <w:noProof/>
              <w:webHidden/>
            </w:rPr>
            <w:fldChar w:fldCharType="separate"/>
          </w:r>
          <w:r>
            <w:rPr>
              <w:noProof/>
              <w:webHidden/>
            </w:rPr>
            <w:t>6</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"_Toc506208150" </w:instrText>
          </w:r>
          <w:r>
            <w:fldChar w:fldCharType="separate"/>
          </w:r>
          <w:r w:rsidRPr="00C02DFE">
            <w:rPr>
              <w:rStyle w:val="Hyperlink"/>
              <w:noProof/>
              <w:w w:val="99"/>
            </w:rPr>
            <w:t>1.4.</w:t>
          </w:r>
          <w:r>
            <w:rPr>
              <w:rFonts w:asciiTheme="minorHAnsi" w:eastAsiaTheme="minorEastAsia" w:hAnsiTheme="minorHAnsi" w:cstheme="minorBidi"/>
              <w:noProof/>
              <w:sz w:val="22"/>
              <w:szCs w:val="22"/>
              <w:lang w:val="en-US" w:eastAsia="en-US" w:bidi="ar-SA"/>
            </w:rPr>
            <w:tab/>
          </w:r>
          <w:r w:rsidRPr="00C02DFE">
            <w:rPr>
              <w:rStyle w:val="Hyperlink"/>
              <w:noProof/>
            </w:rPr>
            <w:t>Organisational flow and position of the national investigating body within the diagram/scheme</w:t>
          </w:r>
          <w:r>
            <w:rPr>
              <w:noProof/>
              <w:webHidden/>
            </w:rPr>
            <w:tab/>
          </w:r>
          <w:r>
            <w:rPr>
              <w:noProof/>
              <w:webHidden/>
            </w:rPr>
            <w:fldChar w:fldCharType="begin"/>
          </w:r>
          <w:r>
            <w:rPr>
              <w:noProof/>
              <w:webHidden/>
            </w:rPr>
            <w:instrText xml:space="preserve"> PAGEREF _Toc506208150 \h </w:instrText>
          </w:r>
          <w:r>
            <w:rPr>
              <w:noProof/>
              <w:webHidden/>
            </w:rPr>
            <w:fldChar w:fldCharType="separate"/>
          </w:r>
          <w:r>
            <w:rPr>
              <w:noProof/>
              <w:webHidden/>
            </w:rPr>
            <w:t>7</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"_Toc506208151" </w:instrText>
          </w:r>
          <w:r>
            <w:fldChar w:fldCharType="separate"/>
          </w:r>
          <w:r w:rsidRPr="00C02DFE">
            <w:rPr>
              <w:rStyle w:val="Hyperlink"/>
              <w:noProof/>
              <w:w w:val="99"/>
            </w:rPr>
            <w:t>1.5.</w:t>
          </w:r>
          <w:r>
            <w:rPr>
              <w:rFonts w:asciiTheme="minorHAnsi" w:eastAsiaTheme="minorEastAsia" w:hAnsiTheme="minorHAnsi" w:cstheme="minorBidi"/>
              <w:noProof/>
              <w:sz w:val="22"/>
              <w:szCs w:val="22"/>
              <w:lang w:val="en-US" w:eastAsia="en-US" w:bidi="ar-SA"/>
            </w:rPr>
            <w:tab/>
          </w:r>
          <w:r w:rsidRPr="00C02DFE">
            <w:rPr>
              <w:rStyle w:val="Hyperlink"/>
              <w:noProof/>
            </w:rPr>
            <w:t>Approach to accident investigation (philosophy and approach when deciding whether to investigate an accident in the country, and the level of mobility, readiness and timeliness)</w:t>
          </w:r>
          <w:r>
            <w:rPr>
              <w:noProof/>
              <w:webHidden/>
            </w:rPr>
            <w:tab/>
          </w:r>
          <w:r>
            <w:rPr>
              <w:noProof/>
              <w:webHidden/>
            </w:rPr>
            <w:fldChar w:fldCharType="begin"/>
          </w:r>
          <w:r>
            <w:rPr>
              <w:noProof/>
              <w:webHidden/>
            </w:rPr>
            <w:instrText xml:space="preserve"> PAGEREF _Toc506208151 \h </w:instrText>
          </w:r>
          <w:r>
            <w:rPr>
              <w:noProof/>
              <w:webHidden/>
            </w:rPr>
            <w:fldChar w:fldCharType="separate"/>
          </w:r>
          <w:r>
            <w:rPr>
              <w:noProof/>
              <w:webHidden/>
            </w:rPr>
            <w:t>9</w:t>
          </w:r>
          <w:r>
            <w:rPr>
              <w:noProof/>
              <w:webHidden/>
            </w:rPr>
            <w:fldChar w:fldCharType="end"/>
          </w:r>
          <w:r>
            <w:fldChar w:fldCharType="end"/>
          </w:r>
        </w:p>
        <w:p w:rsidR="000F51A5">
          <w:pPr>
            <w:pStyle w:val="TOC1"/>
            <w:tabs>
              <w:tab w:val="left" w:pos="1503"/>
              <w:tab w:val="right" w:pos="9540"/>
            </w:tabs>
            <w:rPr>
              <w:rFonts w:asciiTheme="minorHAnsi" w:eastAsiaTheme="minorEastAsia" w:hAnsiTheme="minorHAnsi" w:cstheme="minorBidi"/>
              <w:b w:val="0"/>
              <w:bCs w:val="0"/>
              <w:noProof/>
              <w:sz w:val="22"/>
              <w:szCs w:val="22"/>
              <w:lang w:val="en-US" w:eastAsia="en-US" w:bidi="ar-SA"/>
            </w:rPr>
          </w:pPr>
          <w:r>
            <w:fldChar w:fldCharType="begin"/>
          </w:r>
          <w:r>
            <w:instrText xml:space="preserve"> HYPERLINK \l "_Toc506208152" </w:instrText>
          </w:r>
          <w:r>
            <w:fldChar w:fldCharType="separate"/>
          </w:r>
          <w:r w:rsidRPr="00C02DFE">
            <w:rPr>
              <w:rStyle w:val="Hyperlink"/>
              <w:noProof/>
            </w:rPr>
            <w:t>2</w:t>
          </w:r>
          <w:r>
            <w:rPr>
              <w:rFonts w:asciiTheme="minorHAnsi" w:eastAsiaTheme="minorEastAsia" w:hAnsiTheme="minorHAnsi" w:cstheme="minorBidi"/>
              <w:b w:val="0"/>
              <w:bCs w:val="0"/>
              <w:noProof/>
              <w:sz w:val="22"/>
              <w:szCs w:val="22"/>
              <w:lang w:val="en-US" w:eastAsia="en-US" w:bidi="ar-SA"/>
            </w:rPr>
            <w:tab/>
          </w:r>
          <w:r w:rsidRPr="00C02DFE">
            <w:rPr>
              <w:rStyle w:val="Hyperlink"/>
              <w:noProof/>
            </w:rPr>
            <w:t>INVESTIGATION PROCEDURE</w:t>
          </w:r>
          <w:r>
            <w:rPr>
              <w:noProof/>
              <w:webHidden/>
            </w:rPr>
            <w:tab/>
          </w:r>
          <w:r>
            <w:rPr>
              <w:noProof/>
              <w:webHidden/>
            </w:rPr>
            <w:fldChar w:fldCharType="begin"/>
          </w:r>
          <w:r>
            <w:rPr>
              <w:noProof/>
              <w:webHidden/>
            </w:rPr>
            <w:instrText xml:space="preserve"> PAGEREF _Toc506208152 \h </w:instrText>
          </w:r>
          <w:r>
            <w:rPr>
              <w:noProof/>
              <w:webHidden/>
            </w:rPr>
            <w:fldChar w:fldCharType="separate"/>
          </w:r>
          <w:r>
            <w:rPr>
              <w:noProof/>
              <w:webHidden/>
            </w:rPr>
            <w:t>10</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"_Toc506208153" </w:instrText>
          </w:r>
          <w:r>
            <w:fldChar w:fldCharType="separate"/>
          </w:r>
          <w:r w:rsidRPr="00C02DFE">
            <w:rPr>
              <w:rStyle w:val="Hyperlink"/>
              <w:noProof/>
              <w:w w:val="99"/>
            </w:rPr>
            <w:t>2.1</w:t>
          </w:r>
          <w:r>
            <w:rPr>
              <w:rFonts w:asciiTheme="minorHAnsi" w:eastAsiaTheme="minorEastAsia" w:hAnsiTheme="minorHAnsi" w:cstheme="minorBidi"/>
              <w:noProof/>
              <w:sz w:val="22"/>
              <w:szCs w:val="22"/>
              <w:lang w:val="en-US" w:eastAsia="en-US" w:bidi="ar-SA"/>
            </w:rPr>
            <w:tab/>
          </w:r>
          <w:r w:rsidRPr="00C02DFE">
            <w:rPr>
              <w:rStyle w:val="Hyperlink"/>
              <w:noProof/>
            </w:rPr>
            <w:t>Cases investigated: mandatory and non-mandatory under Articles 19 and 21 of the Railway Safety Directive</w:t>
          </w:r>
          <w:r>
            <w:rPr>
              <w:noProof/>
              <w:webHidden/>
            </w:rPr>
            <w:tab/>
          </w:r>
          <w:r>
            <w:rPr>
              <w:noProof/>
              <w:webHidden/>
            </w:rPr>
            <w:fldChar w:fldCharType="begin"/>
          </w:r>
          <w:r>
            <w:rPr>
              <w:noProof/>
              <w:webHidden/>
            </w:rPr>
            <w:instrText xml:space="preserve"> PAGEREF _Toc506208153 \h </w:instrText>
          </w:r>
          <w:r>
            <w:rPr>
              <w:noProof/>
              <w:webHidden/>
            </w:rPr>
            <w:fldChar w:fldCharType="separate"/>
          </w:r>
          <w:r>
            <w:rPr>
              <w:noProof/>
              <w:webHidden/>
            </w:rPr>
            <w:t>10</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"_Toc506208154" </w:instrText>
          </w:r>
          <w:r>
            <w:fldChar w:fldCharType="separate"/>
          </w:r>
          <w:r w:rsidRPr="00C02DFE">
            <w:rPr>
              <w:rStyle w:val="Hyperlink"/>
              <w:noProof/>
              <w:w w:val="99"/>
            </w:rPr>
            <w:t>2.2</w:t>
          </w:r>
          <w:r>
            <w:rPr>
              <w:rFonts w:asciiTheme="minorHAnsi" w:eastAsiaTheme="minorEastAsia" w:hAnsiTheme="minorHAnsi" w:cstheme="minorBidi"/>
              <w:noProof/>
              <w:sz w:val="22"/>
              <w:szCs w:val="22"/>
              <w:lang w:val="en-US" w:eastAsia="en-US" w:bidi="ar-SA"/>
            </w:rPr>
            <w:tab/>
          </w:r>
          <w:r w:rsidRPr="00C02DFE">
            <w:rPr>
              <w:rStyle w:val="Hyperlink"/>
              <w:noProof/>
            </w:rPr>
            <w:t>Institutions participating in investigations (as a matter of course or in exceptional circumstances)</w:t>
          </w:r>
          <w:r>
            <w:rPr>
              <w:noProof/>
              <w:webHidden/>
            </w:rPr>
            <w:tab/>
          </w:r>
          <w:r>
            <w:rPr>
              <w:noProof/>
              <w:webHidden/>
            </w:rPr>
            <w:fldChar w:fldCharType="begin"/>
          </w:r>
          <w:r>
            <w:rPr>
              <w:noProof/>
              <w:webHidden/>
            </w:rPr>
            <w:instrText xml:space="preserve"> PAGEREF _Toc506208154 \h </w:instrText>
          </w:r>
          <w:r>
            <w:rPr>
              <w:noProof/>
              <w:webHidden/>
            </w:rPr>
            <w:fldChar w:fldCharType="separate"/>
          </w:r>
          <w:r>
            <w:rPr>
              <w:noProof/>
              <w:webHidden/>
            </w:rPr>
            <w:t>11</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"_Toc506208155" </w:instrText>
          </w:r>
          <w:r>
            <w:fldChar w:fldCharType="separate"/>
          </w:r>
          <w:r w:rsidRPr="00C02DFE">
            <w:rPr>
              <w:rStyle w:val="Hyperlink"/>
              <w:noProof/>
              <w:w w:val="99"/>
            </w:rPr>
            <w:t>2.3</w:t>
          </w:r>
          <w:r>
            <w:rPr>
              <w:rFonts w:asciiTheme="minorHAnsi" w:eastAsiaTheme="minorEastAsia" w:hAnsiTheme="minorHAnsi" w:cstheme="minorBidi"/>
              <w:noProof/>
              <w:sz w:val="22"/>
              <w:szCs w:val="22"/>
              <w:lang w:val="en-US" w:eastAsia="en-US" w:bidi="ar-SA"/>
            </w:rPr>
            <w:tab/>
          </w:r>
          <w:r w:rsidRPr="00C02DFE">
            <w:rPr>
              <w:rStyle w:val="Hyperlink"/>
              <w:noProof/>
            </w:rPr>
            <w:t>Investigation procedure and the investigating body’s approach (as under point 1.5 but in greater detail)</w:t>
          </w:r>
          <w:r>
            <w:rPr>
              <w:noProof/>
              <w:webHidden/>
            </w:rPr>
            <w:tab/>
          </w:r>
          <w:r>
            <w:rPr>
              <w:noProof/>
              <w:webHidden/>
            </w:rPr>
            <w:fldChar w:fldCharType="begin"/>
          </w:r>
          <w:r>
            <w:rPr>
              <w:noProof/>
              <w:webHidden/>
            </w:rPr>
            <w:instrText xml:space="preserve"> PAGEREF _Toc506208155 \h </w:instrText>
          </w:r>
          <w:r>
            <w:rPr>
              <w:noProof/>
              <w:webHidden/>
            </w:rPr>
            <w:fldChar w:fldCharType="separate"/>
          </w:r>
          <w:r>
            <w:rPr>
              <w:noProof/>
              <w:webHidden/>
            </w:rPr>
            <w:t>11</w:t>
          </w:r>
          <w:r>
            <w:rPr>
              <w:noProof/>
              <w:webHidden/>
            </w:rPr>
            <w:fldChar w:fldCharType="end"/>
          </w:r>
          <w:r>
            <w:fldChar w:fldCharType="end"/>
          </w:r>
        </w:p>
        <w:p w:rsidR="000F51A5">
          <w:pPr>
            <w:pStyle w:val="TOC1"/>
            <w:tabs>
              <w:tab w:val="left" w:pos="1503"/>
              <w:tab w:val="right" w:pos="9540"/>
            </w:tabs>
            <w:rPr>
              <w:rFonts w:asciiTheme="minorHAnsi" w:eastAsiaTheme="minorEastAsia" w:hAnsiTheme="minorHAnsi" w:cstheme="minorBidi"/>
              <w:b w:val="0"/>
              <w:bCs w:val="0"/>
              <w:noProof/>
              <w:sz w:val="22"/>
              <w:szCs w:val="22"/>
              <w:lang w:val="en-US" w:eastAsia="en-US" w:bidi="ar-SA"/>
            </w:rPr>
          </w:pPr>
          <w:r>
            <w:fldChar w:fldCharType="begin"/>
          </w:r>
          <w:r>
            <w:instrText xml:space="preserve"> HYPERLINK \l "_Toc506208156" </w:instrText>
          </w:r>
          <w:r>
            <w:fldChar w:fldCharType="separate"/>
          </w:r>
          <w:r w:rsidRPr="00C02DFE">
            <w:rPr>
              <w:rStyle w:val="Hyperlink"/>
              <w:noProof/>
            </w:rPr>
            <w:t>3</w:t>
          </w:r>
          <w:r>
            <w:rPr>
              <w:rFonts w:asciiTheme="minorHAnsi" w:eastAsiaTheme="minorEastAsia" w:hAnsiTheme="minorHAnsi" w:cstheme="minorBidi"/>
              <w:b w:val="0"/>
              <w:bCs w:val="0"/>
              <w:noProof/>
              <w:sz w:val="22"/>
              <w:szCs w:val="22"/>
              <w:lang w:val="en-US" w:eastAsia="en-US" w:bidi="ar-SA"/>
            </w:rPr>
            <w:tab/>
          </w:r>
          <w:r w:rsidRPr="00C02DFE">
            <w:rPr>
              <w:rStyle w:val="Hyperlink"/>
              <w:noProof/>
            </w:rPr>
            <w:t>INVESTIGATIONS</w:t>
          </w:r>
          <w:r>
            <w:rPr>
              <w:noProof/>
              <w:webHidden/>
            </w:rPr>
            <w:tab/>
          </w:r>
          <w:r>
            <w:rPr>
              <w:noProof/>
              <w:webHidden/>
            </w:rPr>
            <w:fldChar w:fldCharType="begin"/>
          </w:r>
          <w:r>
            <w:rPr>
              <w:noProof/>
              <w:webHidden/>
            </w:rPr>
            <w:instrText xml:space="preserve"> PAGEREF _Toc506208156 \h </w:instrText>
          </w:r>
          <w:r>
            <w:rPr>
              <w:noProof/>
              <w:webHidden/>
            </w:rPr>
            <w:fldChar w:fldCharType="separate"/>
          </w:r>
          <w:r>
            <w:rPr>
              <w:noProof/>
              <w:webHidden/>
            </w:rPr>
            <w:t>14</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"_Toc506208157" </w:instrText>
          </w:r>
          <w:r>
            <w:fldChar w:fldCharType="separate"/>
          </w:r>
          <w:r w:rsidRPr="00C02DFE">
            <w:rPr>
              <w:rStyle w:val="Hyperlink"/>
              <w:noProof/>
              <w:w w:val="99"/>
            </w:rPr>
            <w:t>3.1</w:t>
          </w:r>
          <w:r>
            <w:rPr>
              <w:rFonts w:asciiTheme="minorHAnsi" w:eastAsiaTheme="minorEastAsia" w:hAnsiTheme="minorHAnsi" w:cstheme="minorBidi"/>
              <w:noProof/>
              <w:sz w:val="22"/>
              <w:szCs w:val="22"/>
              <w:lang w:val="en-US" w:eastAsia="en-US" w:bidi="ar-SA"/>
            </w:rPr>
            <w:tab/>
          </w:r>
          <w:r w:rsidRPr="00C02DFE">
            <w:rPr>
              <w:rStyle w:val="Hyperlink"/>
              <w:noProof/>
            </w:rPr>
            <w:t>Review of investigations completed in 2016</w:t>
          </w:r>
          <w:r>
            <w:rPr>
              <w:noProof/>
              <w:webHidden/>
            </w:rPr>
            <w:tab/>
          </w:r>
          <w:r>
            <w:rPr>
              <w:noProof/>
              <w:webHidden/>
            </w:rPr>
            <w:fldChar w:fldCharType="begin"/>
          </w:r>
          <w:r>
            <w:rPr>
              <w:noProof/>
              <w:webHidden/>
            </w:rPr>
            <w:instrText xml:space="preserve"> PAGEREF _Toc506208157 \h </w:instrText>
          </w:r>
          <w:r>
            <w:rPr>
              <w:noProof/>
              <w:webHidden/>
            </w:rPr>
            <w:fldChar w:fldCharType="separate"/>
          </w:r>
          <w:r>
            <w:rPr>
              <w:noProof/>
              <w:webHidden/>
            </w:rPr>
            <w:t>14</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"_Toc506208158" </w:instrText>
          </w:r>
          <w:r>
            <w:fldChar w:fldCharType="separate"/>
          </w:r>
          <w:r w:rsidRPr="00C02DFE">
            <w:rPr>
              <w:rStyle w:val="Hyperlink"/>
              <w:noProof/>
              <w:w w:val="99"/>
            </w:rPr>
            <w:t>3.2</w:t>
          </w:r>
          <w:r>
            <w:rPr>
              <w:rFonts w:asciiTheme="minorHAnsi" w:eastAsiaTheme="minorEastAsia" w:hAnsiTheme="minorHAnsi" w:cstheme="minorBidi"/>
              <w:noProof/>
              <w:sz w:val="22"/>
              <w:szCs w:val="22"/>
              <w:lang w:val="en-US" w:eastAsia="en-US" w:bidi="ar-SA"/>
            </w:rPr>
            <w:tab/>
          </w:r>
          <w:r w:rsidRPr="00C02DFE">
            <w:rPr>
              <w:rStyle w:val="Hyperlink"/>
              <w:noProof/>
            </w:rPr>
            <w:t>Investigations commenced and completed in 2016</w:t>
          </w:r>
          <w:r>
            <w:rPr>
              <w:noProof/>
              <w:webHidden/>
            </w:rPr>
            <w:tab/>
          </w:r>
          <w:r>
            <w:rPr>
              <w:noProof/>
              <w:webHidden/>
            </w:rPr>
            <w:fldChar w:fldCharType="begin"/>
          </w:r>
          <w:r>
            <w:rPr>
              <w:noProof/>
              <w:webHidden/>
            </w:rPr>
            <w:instrText xml:space="preserve"> PAGEREF _Toc506208158 \h </w:instrText>
          </w:r>
          <w:r>
            <w:rPr>
              <w:noProof/>
              <w:webHidden/>
            </w:rPr>
            <w:fldChar w:fldCharType="separate"/>
          </w:r>
          <w:r>
            <w:rPr>
              <w:noProof/>
              <w:webHidden/>
            </w:rPr>
            <w:t>15</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"_Toc506208159" </w:instrText>
          </w:r>
          <w:r>
            <w:fldChar w:fldCharType="separate"/>
          </w:r>
          <w:r w:rsidRPr="00C02DFE">
            <w:rPr>
              <w:rStyle w:val="Hyperlink"/>
              <w:noProof/>
              <w:w w:val="99"/>
            </w:rPr>
            <w:t>3.3</w:t>
          </w:r>
          <w:r>
            <w:rPr>
              <w:rFonts w:asciiTheme="minorHAnsi" w:eastAsiaTheme="minorEastAsia" w:hAnsiTheme="minorHAnsi" w:cstheme="minorBidi"/>
              <w:noProof/>
              <w:sz w:val="22"/>
              <w:szCs w:val="22"/>
              <w:lang w:val="en-US" w:eastAsia="en-US" w:bidi="ar-SA"/>
            </w:rPr>
            <w:tab/>
          </w:r>
          <w:r w:rsidRPr="00C02DFE">
            <w:rPr>
              <w:rStyle w:val="Hyperlink"/>
              <w:noProof/>
            </w:rPr>
            <w:t>Research studies (studies on safety involving serious accidents) commissioned and completed in 2016</w:t>
          </w:r>
          <w:r>
            <w:rPr>
              <w:noProof/>
              <w:webHidden/>
            </w:rPr>
            <w:tab/>
          </w:r>
          <w:r>
            <w:rPr>
              <w:noProof/>
              <w:webHidden/>
            </w:rPr>
            <w:fldChar w:fldCharType="begin"/>
          </w:r>
          <w:r>
            <w:rPr>
              <w:noProof/>
              <w:webHidden/>
            </w:rPr>
            <w:instrText xml:space="preserve"> PAGEREF _Toc506208159 \h </w:instrText>
          </w:r>
          <w:r>
            <w:rPr>
              <w:noProof/>
              <w:webHidden/>
            </w:rPr>
            <w:fldChar w:fldCharType="separate"/>
          </w:r>
          <w:r>
            <w:rPr>
              <w:noProof/>
              <w:webHidden/>
            </w:rPr>
            <w:t>17</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"_Toc506208160" </w:instrText>
          </w:r>
          <w:r>
            <w:fldChar w:fldCharType="separate"/>
          </w:r>
          <w:r w:rsidRPr="00C02DFE">
            <w:rPr>
              <w:rStyle w:val="Hyperlink"/>
              <w:noProof/>
              <w:w w:val="99"/>
            </w:rPr>
            <w:t>3.4</w:t>
          </w:r>
          <w:r>
            <w:rPr>
              <w:rFonts w:asciiTheme="minorHAnsi" w:eastAsiaTheme="minorEastAsia" w:hAnsiTheme="minorHAnsi" w:cstheme="minorBidi"/>
              <w:noProof/>
              <w:sz w:val="22"/>
              <w:szCs w:val="22"/>
              <w:lang w:val="en-US" w:eastAsia="en-US" w:bidi="ar-SA"/>
            </w:rPr>
            <w:tab/>
          </w:r>
          <w:r w:rsidRPr="00C02DFE">
            <w:rPr>
              <w:rStyle w:val="Hyperlink"/>
              <w:noProof/>
            </w:rPr>
            <w:t>Summary of investigations completed in 2016 Short descriptions, photographs, diagrams and safety studies</w:t>
          </w:r>
          <w:r>
            <w:rPr>
              <w:noProof/>
              <w:webHidden/>
            </w:rPr>
            <w:tab/>
          </w:r>
          <w:r>
            <w:rPr>
              <w:noProof/>
              <w:webHidden/>
            </w:rPr>
            <w:fldChar w:fldCharType="begin"/>
          </w:r>
          <w:r>
            <w:rPr>
              <w:noProof/>
              <w:webHidden/>
            </w:rPr>
            <w:instrText xml:space="preserve"> PAGEREF _Toc506208160 \h </w:instrText>
          </w:r>
          <w:r>
            <w:rPr>
              <w:noProof/>
              <w:webHidden/>
            </w:rPr>
            <w:fldChar w:fldCharType="separate"/>
          </w:r>
          <w:r>
            <w:rPr>
              <w:noProof/>
              <w:webHidden/>
            </w:rPr>
            <w:t>18</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"_Toc506208161" </w:instrText>
          </w:r>
          <w:r>
            <w:fldChar w:fldCharType="separate"/>
          </w:r>
          <w:r w:rsidRPr="00C02DFE">
            <w:rPr>
              <w:rStyle w:val="Hyperlink"/>
              <w:noProof/>
              <w:w w:val="99"/>
            </w:rPr>
            <w:t>3.5</w:t>
          </w:r>
          <w:r>
            <w:rPr>
              <w:rFonts w:asciiTheme="minorHAnsi" w:eastAsiaTheme="minorEastAsia" w:hAnsiTheme="minorHAnsi" w:cstheme="minorBidi"/>
              <w:noProof/>
              <w:sz w:val="22"/>
              <w:szCs w:val="22"/>
              <w:lang w:val="en-US" w:eastAsia="en-US" w:bidi="ar-SA"/>
            </w:rPr>
            <w:tab/>
          </w:r>
          <w:r w:rsidRPr="00C02DFE">
            <w:rPr>
              <w:rStyle w:val="Hyperlink"/>
              <w:noProof/>
            </w:rPr>
            <w:t>Explanation and introduction or background of investigations</w:t>
          </w:r>
          <w:r>
            <w:rPr>
              <w:noProof/>
              <w:webHidden/>
            </w:rPr>
            <w:tab/>
          </w:r>
          <w:r>
            <w:rPr>
              <w:noProof/>
              <w:webHidden/>
            </w:rPr>
            <w:fldChar w:fldCharType="begin"/>
          </w:r>
          <w:r>
            <w:rPr>
              <w:noProof/>
              <w:webHidden/>
            </w:rPr>
            <w:instrText xml:space="preserve"> PAGEREF _Toc506208161 \h </w:instrText>
          </w:r>
          <w:r>
            <w:rPr>
              <w:noProof/>
              <w:webHidden/>
            </w:rPr>
            <w:fldChar w:fldCharType="separate"/>
          </w:r>
          <w:r>
            <w:rPr>
              <w:noProof/>
              <w:webHidden/>
            </w:rPr>
            <w:t>24</w:t>
          </w:r>
          <w:r>
            <w:rPr>
              <w:noProof/>
              <w:webHidden/>
            </w:rPr>
            <w:fldChar w:fldCharType="end"/>
          </w:r>
          <w:r>
            <w:fldChar w:fldCharType="end"/>
          </w:r>
        </w:p>
        <w:p w:rsidR="000F51A5">
          <w:pPr>
            <w:pStyle w:val="TOC2"/>
            <w:tabs>
              <w:tab w:val="left" w:pos="1503"/>
              <w:tab w:val="right" w:pos="9540"/>
            </w:tabs>
            <w:rPr>
              <w:rFonts w:asciiTheme="minorHAnsi" w:eastAsiaTheme="minorEastAsia" w:hAnsiTheme="minorHAnsi" w:cstheme="minorBidi"/>
              <w:noProof/>
              <w:sz w:val="22"/>
              <w:szCs w:val="22"/>
              <w:lang w:val="en-US" w:eastAsia="en-US" w:bidi="ar-SA"/>
            </w:rPr>
          </w:pPr>
          <w:r>
            <w:fldChar w:fldCharType="begin"/>
          </w:r>
          <w:r>
            <w:instrText xml:space="preserve"> HYPERLINK \l "_Toc506208162" </w:instrText>
          </w:r>
          <w:r>
            <w:fldChar w:fldCharType="separate"/>
          </w:r>
          <w:r w:rsidRPr="00C02DFE">
            <w:rPr>
              <w:rStyle w:val="Hyperlink"/>
              <w:noProof/>
              <w:w w:val="99"/>
            </w:rPr>
            <w:t>3.6</w:t>
          </w:r>
          <w:r>
            <w:rPr>
              <w:rFonts w:asciiTheme="minorHAnsi" w:eastAsiaTheme="minorEastAsia" w:hAnsiTheme="minorHAnsi" w:cstheme="minorBidi"/>
              <w:noProof/>
              <w:sz w:val="22"/>
              <w:szCs w:val="22"/>
              <w:lang w:val="en-US" w:eastAsia="en-US" w:bidi="ar-SA"/>
            </w:rPr>
            <w:tab/>
          </w:r>
          <w:r w:rsidRPr="00C02DFE">
            <w:rPr>
              <w:rStyle w:val="Hyperlink"/>
              <w:noProof/>
            </w:rPr>
            <w:t>Accidents and events investigated in the past five years (2012</w:t>
          </w:r>
          <w:r w:rsidRPr="00C02DFE">
            <w:rPr>
              <w:rStyle w:val="Hyperlink"/>
              <w:noProof/>
            </w:rPr>
            <w:noBreakHyphen/>
            <w:t>2016)</w:t>
          </w:r>
          <w:r>
            <w:rPr>
              <w:noProof/>
              <w:webHidden/>
            </w:rPr>
            <w:tab/>
          </w:r>
          <w:r>
            <w:rPr>
              <w:noProof/>
              <w:webHidden/>
            </w:rPr>
            <w:fldChar w:fldCharType="begin"/>
          </w:r>
          <w:r>
            <w:rPr>
              <w:noProof/>
              <w:webHidden/>
            </w:rPr>
            <w:instrText xml:space="preserve"> PAGEREF _Toc506208162 \h </w:instrText>
          </w:r>
          <w:r>
            <w:rPr>
              <w:noProof/>
              <w:webHidden/>
            </w:rPr>
            <w:fldChar w:fldCharType="separate"/>
          </w:r>
          <w:r>
            <w:rPr>
              <w:noProof/>
              <w:webHidden/>
            </w:rPr>
            <w:t>25</w:t>
          </w:r>
          <w:r>
            <w:rPr>
              <w:noProof/>
              <w:webHidden/>
            </w:rPr>
            <w:fldChar w:fldCharType="end"/>
          </w:r>
          <w:r>
            <w:fldChar w:fldCharType="end"/>
          </w:r>
        </w:p>
        <w:p w:rsidR="000F51A5">
          <w:pPr>
            <w:pStyle w:val="TOC1"/>
            <w:tabs>
              <w:tab w:val="left" w:pos="1503"/>
              <w:tab w:val="right" w:pos="9540"/>
            </w:tabs>
            <w:rPr>
              <w:rFonts w:asciiTheme="minorHAnsi" w:eastAsiaTheme="minorEastAsia" w:hAnsiTheme="minorHAnsi" w:cstheme="minorBidi"/>
              <w:b w:val="0"/>
              <w:bCs w:val="0"/>
              <w:noProof/>
              <w:sz w:val="22"/>
              <w:szCs w:val="22"/>
              <w:lang w:val="en-US" w:eastAsia="en-US" w:bidi="ar-SA"/>
            </w:rPr>
          </w:pPr>
          <w:r>
            <w:fldChar w:fldCharType="begin"/>
          </w:r>
          <w:r>
            <w:instrText xml:space="preserve"> HYPERLINK \l "_Toc506208163" </w:instrText>
          </w:r>
          <w:r>
            <w:fldChar w:fldCharType="separate"/>
          </w:r>
          <w:r w:rsidRPr="00C02DFE">
            <w:rPr>
              <w:rStyle w:val="Hyperlink"/>
              <w:noProof/>
            </w:rPr>
            <w:t>4</w:t>
          </w:r>
          <w:r>
            <w:rPr>
              <w:rFonts w:asciiTheme="minorHAnsi" w:eastAsiaTheme="minorEastAsia" w:hAnsiTheme="minorHAnsi" w:cstheme="minorBidi"/>
              <w:b w:val="0"/>
              <w:bCs w:val="0"/>
              <w:noProof/>
              <w:sz w:val="22"/>
              <w:szCs w:val="22"/>
              <w:lang w:val="en-US" w:eastAsia="en-US" w:bidi="ar-SA"/>
            </w:rPr>
            <w:tab/>
          </w:r>
          <w:r w:rsidRPr="00C02DFE">
            <w:rPr>
              <w:rStyle w:val="Hyperlink"/>
              <w:noProof/>
            </w:rPr>
            <w:t>RECOMMENDATIONS</w:t>
          </w:r>
          <w:r>
            <w:rPr>
              <w:noProof/>
              <w:webHidden/>
            </w:rPr>
            <w:tab/>
          </w:r>
          <w:r>
            <w:rPr>
              <w:noProof/>
              <w:webHidden/>
            </w:rPr>
            <w:fldChar w:fldCharType="begin"/>
          </w:r>
          <w:r>
            <w:rPr>
              <w:noProof/>
              <w:webHidden/>
            </w:rPr>
            <w:instrText xml:space="preserve"> PAGEREF _Toc506208163 \h </w:instrText>
          </w:r>
          <w:r>
            <w:rPr>
              <w:noProof/>
              <w:webHidden/>
            </w:rPr>
            <w:fldChar w:fldCharType="separate"/>
          </w:r>
          <w:r>
            <w:rPr>
              <w:noProof/>
              <w:webHidden/>
            </w:rPr>
            <w:t>27</w:t>
          </w:r>
          <w:r>
            <w:rPr>
              <w:noProof/>
              <w:webHidden/>
            </w:rPr>
            <w:fldChar w:fldCharType="end"/>
          </w:r>
          <w:r>
            <w:fldChar w:fldCharType="end"/>
          </w:r>
        </w:p>
        <w:p w:rsidR="00FD5E06" w:rsidRPr="00BB1E73">
          <w:pPr>
            <w:pStyle w:val="TOC1"/>
            <w:tabs>
              <w:tab w:val="right" w:pos="9540"/>
            </w:tabs>
            <w:rPr>
              <w:rFonts w:asciiTheme="minorHAnsi" w:eastAsiaTheme="minorEastAsia" w:hAnsiTheme="minorHAnsi" w:cstheme="minorBidi"/>
              <w:b w:val="0"/>
              <w:bCs w:val="0"/>
              <w:noProof/>
              <w:sz w:val="22"/>
              <w:szCs w:val="22"/>
            </w:rPr>
          </w:pPr>
          <w:r w:rsidRPr="00BB1E73">
            <w:fldChar w:fldCharType="end"/>
          </w:r>
        </w:p>
      </w:sdtContent>
    </w:sdt>
    <w:p w:rsidR="005854EB" w:rsidRPr="00BB1E73"/>
    <w:p w:rsidR="00E46FCF" w:rsidRPr="00BB1E73">
      <w:pPr>
        <w:sectPr w:rsidSect="003253B5">
          <w:footerReference w:type="default" r:id="rId9"/>
          <w:pgSz w:w="11910" w:h="16840"/>
          <w:pgMar w:top="1100" w:right="1560" w:bottom="1000" w:left="800" w:header="0" w:footer="818" w:gutter="0"/>
          <w:pgNumType w:start="1"/>
          <w:cols w:space="720"/>
        </w:sectPr>
      </w:pPr>
    </w:p>
    <w:p w:rsidR="005854EB" w:rsidRPr="00BB1E73" w:rsidP="005E17D5">
      <w:pPr>
        <w:pStyle w:val="Heading1"/>
        <w:numPr>
          <w:ilvl w:val="0"/>
          <w:numId w:val="8"/>
        </w:numPr>
        <w:tabs>
          <w:tab w:val="left" w:pos="1397"/>
        </w:tabs>
        <w:spacing w:before="83" w:line="235" w:lineRule="auto"/>
        <w:ind w:right="-89"/>
      </w:pPr>
      <w:bookmarkStart w:id="3" w:name="_Toc503796861"/>
      <w:bookmarkStart w:id="4" w:name="_Toc506208146"/>
      <w:r w:rsidRPr="00BB1E73">
        <w:t>PRESENTATION OF THE ORGANISATION OF SAFETY INVESTIGATIONS</w:t>
      </w:r>
      <w:bookmarkEnd w:id="3"/>
      <w:bookmarkEnd w:id="4"/>
    </w:p>
    <w:p w:rsidR="005854EB" w:rsidRPr="00BB1E73">
      <w:pPr>
        <w:pStyle w:val="BodyText"/>
        <w:spacing w:before="247"/>
        <w:ind w:left="1398" w:right="244"/>
        <w:jc w:val="both"/>
      </w:pPr>
      <w:r w:rsidRPr="00BB1E73">
        <w:t>Slovenia’s railway investigating body is part of the Ministry of Infrastructure as an independent and autonomous organisational unit: the Department for the Investigation of Railway Accidents and Incidents. It answers directly to the minister.</w:t>
      </w:r>
    </w:p>
    <w:p w:rsidR="005854EB" w:rsidRPr="00BB1E73">
      <w:pPr>
        <w:pStyle w:val="BodyText"/>
        <w:spacing w:before="243"/>
        <w:ind w:left="1398" w:right="246"/>
        <w:jc w:val="both"/>
      </w:pPr>
      <w:r w:rsidRPr="00BB1E73">
        <w:t>The Department for the Investigation of Railway Accidents and Incidents employs only one person. Along with managing and investigating, they perform other duties defined in cooperation within the network of the EU investigating bodies operating under the auspices of the European Railway Agency (ERA).</w:t>
      </w:r>
    </w:p>
    <w:p w:rsidR="005854EB" w:rsidRPr="00BB1E73" w:rsidP="00E46FCF">
      <w:pPr>
        <w:pStyle w:val="BodyText"/>
        <w:tabs>
          <w:tab w:val="left" w:pos="2835"/>
        </w:tabs>
        <w:spacing w:before="243"/>
        <w:ind w:left="1398" w:right="245"/>
        <w:jc w:val="both"/>
      </w:pPr>
      <w:r w:rsidRPr="00BB1E73">
        <w:t>The railway investigating body operates independently and is organisationally autonomous. It is completely independent of the investigating bodies for other transport sectors, and from the national railway safety and regulatory body. The funds for the functioning of the investigating body are provided from the budget.</w:t>
      </w:r>
    </w:p>
    <w:p w:rsidR="005854EB" w:rsidRPr="00BB1E73">
      <w:pPr>
        <w:pStyle w:val="BodyText"/>
        <w:spacing w:before="238"/>
        <w:ind w:left="1398" w:right="248"/>
        <w:jc w:val="both"/>
      </w:pPr>
      <w:r w:rsidRPr="00BB1E73">
        <w:t xml:space="preserve">The headquarters of the Department for the Investigation of Railway Accidents and Incidents are based at the Ministry of Infrastructure, </w:t>
      </w:r>
      <w:r w:rsidRPr="00BB1E73">
        <w:t>Langusova</w:t>
      </w:r>
      <w:r w:rsidRPr="00BB1E73">
        <w:t xml:space="preserve"> </w:t>
      </w:r>
      <w:r w:rsidRPr="00BB1E73">
        <w:t>ulica</w:t>
      </w:r>
      <w:r w:rsidRPr="00BB1E73">
        <w:t> 4, Ljubljana.</w:t>
      </w:r>
    </w:p>
    <w:p w:rsidR="00E46FCF" w:rsidRPr="00BB1E73"/>
    <w:p w:rsidR="00E46FCF" w:rsidRPr="00BB1E73"/>
    <w:p w:rsidR="00E46FCF" w:rsidRPr="00BB1E73">
      <w:pPr>
        <w:sectPr w:rsidSect="00E46FCF">
          <w:type w:val="continuous"/>
          <w:pgSz w:w="11910" w:h="16840"/>
          <w:pgMar w:top="1899" w:right="1278" w:bottom="1338" w:left="1100" w:header="720" w:footer="720" w:gutter="0"/>
          <w:cols w:space="720"/>
        </w:sectPr>
      </w:pPr>
    </w:p>
    <w:p w:rsidR="005854EB" w:rsidRPr="00BB1E73" w:rsidP="00BD5888">
      <w:pPr>
        <w:pageBreakBefore/>
        <w:spacing w:before="93"/>
        <w:ind w:right="119"/>
        <w:jc w:val="right"/>
        <w:rPr>
          <w:sz w:val="16"/>
        </w:rPr>
      </w:pPr>
      <w:r w:rsidRPr="00BB1E73">
        <w:rPr>
          <w:noProof/>
          <w:sz w:val="16"/>
          <w:lang w:val="en-US" w:eastAsia="en-US" w:bidi="ar-SA"/>
        </w:rPr>
        <w:drawing>
          <wp:inline distT="0" distB="0" distL="0" distR="0">
            <wp:extent cx="8638540" cy="6075045"/>
            <wp:effectExtent l="0" t="0" r="0" b="0"/>
            <wp:docPr id="787521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4082" name="Picture 4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8638540" cy="6075045"/>
                    </a:xfrm>
                    <a:prstGeom prst="rect">
                      <a:avLst/>
                    </a:prstGeom>
                    <a:noFill/>
                    <a:ln>
                      <a:noFill/>
                    </a:ln>
                  </pic:spPr>
                </pic:pic>
              </a:graphicData>
            </a:graphic>
          </wp:inline>
        </w:drawing>
      </w:r>
    </w:p>
    <w:p w:rsidR="003F0A7E" w:rsidRPr="00BB1E73" w:rsidP="003F0A7E">
      <w:pPr>
        <w:spacing w:before="93"/>
        <w:ind w:right="117"/>
        <w:jc w:val="right"/>
        <w:rPr>
          <w:sz w:val="16"/>
        </w:rPr>
      </w:pPr>
    </w:p>
    <w:tbl>
      <w:tblPr>
        <w:tblStyle w:val="TableGrid"/>
        <w:tblW w:w="14283" w:type="dxa"/>
        <w:tblLook w:val="04A0"/>
      </w:tblPr>
      <w:tblGrid>
        <w:gridCol w:w="7196"/>
        <w:gridCol w:w="7087"/>
      </w:tblGrid>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KABINET MINISTRA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OFFICE OF THE MINISTER</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 ZA ODNOSE Z JAVNOSTMI</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PUBLIC RELATIONS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 ZA NOTRANJO REVIZIJO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INTERNAL AUDIT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 ZA PREISKOVANJE LETALSKIH, POMORSKIH IN ŽELEZNIŠKIH NESREČ IN INCIDENTOV</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DEPARTMENT FOR THE INVESTIGATION OF AVIATION, MARITIME AND RAILWAY ACCIDENTS AND INCIDENTS</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 ZA MEDNARODNE ZADEVE IN PROTOKOL</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INTERNATIONAL AFFAIRS AND PROTOCOL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 ZA TRAJNOSTNO MOBILNOST IN PROMETNO POLITIKO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SUSTAINABLE MOBILITY AND TRANSPORT POLICY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PROJEKTNA ENOTA ZA USTANOVITEV DRUŽBE ZA UPRAVLJANJE JAVNEGA POTNIŠKEGA PROMETA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PROJECT UNIT FOR THE ESTABLISHMENT OF A PUBLIC RAILWAY TRANSPORT MANAGEMENT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FINANČNI SEKTOR</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FINANCIAL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Oddelek</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evropska</w:t>
            </w:r>
            <w:r w:rsidRPr="00BB1E73">
              <w:rPr>
                <w:rFonts w:asciiTheme="minorHAnsi" w:hAnsiTheme="minorHAnsi" w:cstheme="minorHAnsi"/>
                <w:sz w:val="16"/>
              </w:rPr>
              <w:t xml:space="preserve"> </w:t>
            </w:r>
            <w:r w:rsidRPr="00BB1E73">
              <w:rPr>
                <w:rFonts w:asciiTheme="minorHAnsi" w:hAnsiTheme="minorHAnsi" w:cstheme="minorHAnsi"/>
                <w:sz w:val="16"/>
              </w:rPr>
              <w:t>sredstva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Department for European Funds</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MINISTRSTVO ZA INFRASTRUKTURO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MINISTRY OF INFRASTRUCTURE</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MINISTER</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MINISTER</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RŽAVNASEKRETARJA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STATE SECRETARIES</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Direkcija</w:t>
            </w:r>
            <w:r w:rsidRPr="00BB1E73">
              <w:rPr>
                <w:rFonts w:asciiTheme="minorHAnsi" w:hAnsiTheme="minorHAnsi" w:cstheme="minorHAnsi"/>
                <w:sz w:val="16"/>
              </w:rPr>
              <w:t xml:space="preserve"> RS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infrastrukturo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Infrastructure Directorate of the Republic of Slovenia</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 xml:space="preserve">(organ v </w:t>
            </w:r>
            <w:r w:rsidRPr="00BB1E73">
              <w:rPr>
                <w:rFonts w:asciiTheme="minorHAnsi" w:hAnsiTheme="minorHAnsi" w:cstheme="minorHAnsi"/>
                <w:sz w:val="16"/>
              </w:rPr>
              <w:t>sestavi</w:t>
            </w:r>
            <w:r w:rsidRPr="00BB1E73">
              <w:rPr>
                <w:rFonts w:asciiTheme="minorHAnsi" w:hAnsiTheme="minorHAnsi" w:cstheme="minorHAnsi"/>
                <w:sz w:val="16"/>
              </w:rPr>
              <w:t xml:space="preserve"> </w:t>
            </w:r>
            <w:r w:rsidRPr="00BB1E73">
              <w:rPr>
                <w:rFonts w:asciiTheme="minorHAnsi" w:hAnsiTheme="minorHAnsi" w:cstheme="minorHAnsi"/>
                <w:sz w:val="16"/>
              </w:rPr>
              <w:t>ministrstva</w:t>
            </w:r>
            <w:r w:rsidRPr="00BB1E73">
              <w:rPr>
                <w:rFonts w:asciiTheme="minorHAnsi" w:hAnsiTheme="minorHAnsi" w:cstheme="minorHAnsi"/>
                <w:sz w:val="16"/>
              </w:rPr>
              <w:t>)</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(body affiliated to the ministry)</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Uprava</w:t>
            </w:r>
            <w:r w:rsidRPr="00BB1E73">
              <w:rPr>
                <w:rFonts w:asciiTheme="minorHAnsi" w:hAnsiTheme="minorHAnsi" w:cstheme="minorHAnsi"/>
                <w:sz w:val="16"/>
              </w:rPr>
              <w:t xml:space="preserve"> RS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pomorstvo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Slovenian Maritime Administration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 xml:space="preserve">(organ v </w:t>
            </w:r>
            <w:r w:rsidRPr="00BB1E73">
              <w:rPr>
                <w:rFonts w:asciiTheme="minorHAnsi" w:hAnsiTheme="minorHAnsi" w:cstheme="minorHAnsi"/>
                <w:sz w:val="16"/>
              </w:rPr>
              <w:t>sestavi</w:t>
            </w:r>
            <w:r w:rsidRPr="00BB1E73">
              <w:rPr>
                <w:rFonts w:asciiTheme="minorHAnsi" w:hAnsiTheme="minorHAnsi" w:cstheme="minorHAnsi"/>
                <w:sz w:val="16"/>
              </w:rPr>
              <w:t xml:space="preserve"> </w:t>
            </w:r>
            <w:r w:rsidRPr="00BB1E73">
              <w:rPr>
                <w:rFonts w:asciiTheme="minorHAnsi" w:hAnsiTheme="minorHAnsi" w:cstheme="minorHAnsi"/>
                <w:sz w:val="16"/>
              </w:rPr>
              <w:t>ministrstva</w:t>
            </w:r>
            <w:r w:rsidRPr="00BB1E73">
              <w:rPr>
                <w:rFonts w:asciiTheme="minorHAnsi" w:hAnsiTheme="minorHAnsi" w:cstheme="minorHAnsi"/>
                <w:sz w:val="16"/>
              </w:rPr>
              <w:t>)</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(body affiliated to the ministry)</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Inšpektorat</w:t>
            </w:r>
            <w:r w:rsidRPr="00BB1E73">
              <w:rPr>
                <w:rFonts w:asciiTheme="minorHAnsi" w:hAnsiTheme="minorHAnsi" w:cstheme="minorHAnsi"/>
                <w:sz w:val="16"/>
              </w:rPr>
              <w:t xml:space="preserve"> RS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infrastrukturo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Infrastructure Inspectorate of the Republic of Slovenia</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 xml:space="preserve">(organ v </w:t>
            </w:r>
            <w:r w:rsidRPr="00BB1E73">
              <w:rPr>
                <w:rFonts w:asciiTheme="minorHAnsi" w:hAnsiTheme="minorHAnsi" w:cstheme="minorHAnsi"/>
                <w:sz w:val="16"/>
              </w:rPr>
              <w:t>sestavi</w:t>
            </w:r>
            <w:r w:rsidRPr="00BB1E73">
              <w:rPr>
                <w:rFonts w:asciiTheme="minorHAnsi" w:hAnsiTheme="minorHAnsi" w:cstheme="minorHAnsi"/>
                <w:sz w:val="16"/>
              </w:rPr>
              <w:t xml:space="preserve"> </w:t>
            </w:r>
            <w:r w:rsidRPr="00BB1E73">
              <w:rPr>
                <w:rFonts w:asciiTheme="minorHAnsi" w:hAnsiTheme="minorHAnsi" w:cstheme="minorHAnsi"/>
                <w:sz w:val="16"/>
              </w:rPr>
              <w:t>ministrstva</w:t>
            </w:r>
            <w:r w:rsidRPr="00BB1E73">
              <w:rPr>
                <w:rFonts w:asciiTheme="minorHAnsi" w:hAnsiTheme="minorHAnsi" w:cstheme="minorHAnsi"/>
                <w:sz w:val="16"/>
              </w:rPr>
              <w:t>)</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(body affiliated to the ministry)</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SEKRETARIAT</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SECRETARIAT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Pravna</w:t>
            </w:r>
            <w:r w:rsidRPr="00BB1E73">
              <w:rPr>
                <w:rFonts w:asciiTheme="minorHAnsi" w:hAnsiTheme="minorHAnsi" w:cstheme="minorHAnsi"/>
                <w:sz w:val="16"/>
              </w:rPr>
              <w:t xml:space="preserve"> </w:t>
            </w:r>
            <w:r w:rsidRPr="00BB1E73">
              <w:rPr>
                <w:rFonts w:asciiTheme="minorHAnsi" w:hAnsiTheme="minorHAnsi" w:cstheme="minorHAnsi"/>
                <w:sz w:val="16"/>
              </w:rPr>
              <w:t>služba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Legal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kadrovske</w:t>
            </w:r>
            <w:r w:rsidRPr="00BB1E73">
              <w:rPr>
                <w:rFonts w:asciiTheme="minorHAnsi" w:hAnsiTheme="minorHAnsi" w:cstheme="minorHAnsi"/>
                <w:sz w:val="16"/>
              </w:rPr>
              <w:t xml:space="preserve"> in </w:t>
            </w:r>
            <w:r w:rsidRPr="00BB1E73">
              <w:rPr>
                <w:rFonts w:asciiTheme="minorHAnsi" w:hAnsiTheme="minorHAnsi" w:cstheme="minorHAnsi"/>
                <w:sz w:val="16"/>
              </w:rPr>
              <w:t>splošne</w:t>
            </w:r>
            <w:r w:rsidRPr="00BB1E73">
              <w:rPr>
                <w:rFonts w:asciiTheme="minorHAnsi" w:hAnsiTheme="minorHAnsi" w:cstheme="minorHAnsi"/>
                <w:sz w:val="16"/>
              </w:rPr>
              <w:t xml:space="preserve"> </w:t>
            </w:r>
            <w:r w:rsidRPr="00BB1E73">
              <w:rPr>
                <w:rFonts w:asciiTheme="minorHAnsi" w:hAnsiTheme="minorHAnsi" w:cstheme="minorHAnsi"/>
                <w:sz w:val="16"/>
              </w:rPr>
              <w:t>zadeve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Human Resources and General Affairs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Oddelek</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upravno</w:t>
            </w:r>
            <w:r w:rsidRPr="00BB1E73">
              <w:rPr>
                <w:rFonts w:asciiTheme="minorHAnsi" w:hAnsiTheme="minorHAnsi" w:cstheme="minorHAnsi"/>
                <w:sz w:val="16"/>
              </w:rPr>
              <w:t xml:space="preserve"> </w:t>
            </w:r>
            <w:r w:rsidRPr="00BB1E73">
              <w:rPr>
                <w:rFonts w:asciiTheme="minorHAnsi" w:hAnsiTheme="minorHAnsi" w:cstheme="minorHAnsi"/>
                <w:sz w:val="16"/>
              </w:rPr>
              <w:t>poslovanje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Administrative Operations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javna</w:t>
            </w:r>
            <w:r w:rsidRPr="00BB1E73">
              <w:rPr>
                <w:rFonts w:asciiTheme="minorHAnsi" w:hAnsiTheme="minorHAnsi" w:cstheme="minorHAnsi"/>
                <w:sz w:val="16"/>
              </w:rPr>
              <w:t xml:space="preserve"> </w:t>
            </w:r>
            <w:r w:rsidRPr="00BB1E73">
              <w:rPr>
                <w:rFonts w:asciiTheme="minorHAnsi" w:hAnsiTheme="minorHAnsi" w:cstheme="minorHAnsi"/>
                <w:sz w:val="16"/>
              </w:rPr>
              <w:t>naročila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Public Procurement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Služba</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informatiko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IT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DIREKTORAT ZA ENERGIJO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ENERGY DIRECTORATE</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oskrbo</w:t>
            </w:r>
            <w:r w:rsidRPr="00BB1E73">
              <w:rPr>
                <w:rFonts w:asciiTheme="minorHAnsi" w:hAnsiTheme="minorHAnsi" w:cstheme="minorHAnsi"/>
                <w:sz w:val="16"/>
              </w:rPr>
              <w:t xml:space="preserve"> z </w:t>
            </w:r>
            <w:r w:rsidRPr="00BB1E73">
              <w:rPr>
                <w:rFonts w:asciiTheme="minorHAnsi" w:hAnsiTheme="minorHAnsi" w:cstheme="minorHAnsi"/>
                <w:sz w:val="16"/>
              </w:rPr>
              <w:t>energijo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Energy Supply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nizkoogljično</w:t>
            </w:r>
            <w:r w:rsidRPr="00BB1E73">
              <w:rPr>
                <w:rFonts w:asciiTheme="minorHAnsi" w:hAnsiTheme="minorHAnsi" w:cstheme="minorHAnsi"/>
                <w:sz w:val="16"/>
              </w:rPr>
              <w:t xml:space="preserve"> </w:t>
            </w:r>
            <w:r w:rsidRPr="00BB1E73">
              <w:rPr>
                <w:rFonts w:asciiTheme="minorHAnsi" w:hAnsiTheme="minorHAnsi" w:cstheme="minorHAnsi"/>
                <w:sz w:val="16"/>
              </w:rPr>
              <w:t>družbo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Low-Carbon Society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Oddelek</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politiko</w:t>
            </w:r>
            <w:r w:rsidRPr="00BB1E73">
              <w:rPr>
                <w:rFonts w:asciiTheme="minorHAnsi" w:hAnsiTheme="minorHAnsi" w:cstheme="minorHAnsi"/>
                <w:sz w:val="16"/>
              </w:rPr>
              <w:t xml:space="preserve"> </w:t>
            </w:r>
            <w:r w:rsidRPr="00BB1E73">
              <w:rPr>
                <w:rFonts w:asciiTheme="minorHAnsi" w:hAnsiTheme="minorHAnsi" w:cstheme="minorHAnsi"/>
                <w:sz w:val="16"/>
              </w:rPr>
              <w:t>učinkovite</w:t>
            </w:r>
            <w:r w:rsidRPr="00BB1E73">
              <w:rPr>
                <w:rFonts w:asciiTheme="minorHAnsi" w:hAnsiTheme="minorHAnsi" w:cstheme="minorHAnsi"/>
                <w:sz w:val="16"/>
              </w:rPr>
              <w:t xml:space="preserve"> </w:t>
            </w:r>
            <w:r w:rsidRPr="00BB1E73">
              <w:rPr>
                <w:rFonts w:asciiTheme="minorHAnsi" w:hAnsiTheme="minorHAnsi" w:cstheme="minorHAnsi"/>
                <w:sz w:val="16"/>
              </w:rPr>
              <w:t>rabe</w:t>
            </w:r>
            <w:r w:rsidRPr="00BB1E73">
              <w:rPr>
                <w:rFonts w:asciiTheme="minorHAnsi" w:hAnsiTheme="minorHAnsi" w:cstheme="minorHAnsi"/>
                <w:sz w:val="16"/>
              </w:rPr>
              <w:t xml:space="preserve"> in </w:t>
            </w:r>
            <w:r w:rsidRPr="00BB1E73">
              <w:rPr>
                <w:rFonts w:asciiTheme="minorHAnsi" w:hAnsiTheme="minorHAnsi" w:cstheme="minorHAnsi"/>
                <w:sz w:val="16"/>
              </w:rPr>
              <w:t>obnovljive</w:t>
            </w:r>
            <w:r w:rsidRPr="00BB1E73">
              <w:rPr>
                <w:rFonts w:asciiTheme="minorHAnsi" w:hAnsiTheme="minorHAnsi" w:cstheme="minorHAnsi"/>
                <w:sz w:val="16"/>
              </w:rPr>
              <w:t xml:space="preserve"> </w:t>
            </w:r>
            <w:r w:rsidRPr="00BB1E73">
              <w:rPr>
                <w:rFonts w:asciiTheme="minorHAnsi" w:hAnsiTheme="minorHAnsi" w:cstheme="minorHAnsi"/>
                <w:sz w:val="16"/>
              </w:rPr>
              <w:t>vire</w:t>
            </w:r>
            <w:r w:rsidRPr="00BB1E73">
              <w:rPr>
                <w:rFonts w:asciiTheme="minorHAnsi" w:hAnsiTheme="minorHAnsi" w:cstheme="minorHAnsi"/>
                <w:sz w:val="16"/>
              </w:rPr>
              <w:t xml:space="preserve"> </w:t>
            </w:r>
            <w:r w:rsidRPr="00BB1E73">
              <w:rPr>
                <w:rFonts w:asciiTheme="minorHAnsi" w:hAnsiTheme="minorHAnsi" w:cstheme="minorHAnsi"/>
                <w:sz w:val="16"/>
              </w:rPr>
              <w:t>energije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Energy Efficiency and Renewable Energy Sources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Oddelek</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trajnostno</w:t>
            </w:r>
            <w:r w:rsidRPr="00BB1E73">
              <w:rPr>
                <w:rFonts w:asciiTheme="minorHAnsi" w:hAnsiTheme="minorHAnsi" w:cstheme="minorHAnsi"/>
                <w:sz w:val="16"/>
              </w:rPr>
              <w:t xml:space="preserve"> </w:t>
            </w:r>
            <w:r w:rsidRPr="00BB1E73">
              <w:rPr>
                <w:rFonts w:asciiTheme="minorHAnsi" w:hAnsiTheme="minorHAnsi" w:cstheme="minorHAnsi"/>
                <w:sz w:val="16"/>
              </w:rPr>
              <w:t>rabo</w:t>
            </w:r>
            <w:r w:rsidRPr="00BB1E73">
              <w:rPr>
                <w:rFonts w:asciiTheme="minorHAnsi" w:hAnsiTheme="minorHAnsi" w:cstheme="minorHAnsi"/>
                <w:sz w:val="16"/>
              </w:rPr>
              <w:t xml:space="preserve"> </w:t>
            </w:r>
            <w:r w:rsidRPr="00BB1E73">
              <w:rPr>
                <w:rFonts w:asciiTheme="minorHAnsi" w:hAnsiTheme="minorHAnsi" w:cstheme="minorHAnsi"/>
                <w:sz w:val="16"/>
              </w:rPr>
              <w:t>energije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Sustainable Energy Consumption Department</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Projektna</w:t>
            </w:r>
            <w:r w:rsidRPr="00BB1E73">
              <w:rPr>
                <w:rFonts w:asciiTheme="minorHAnsi" w:hAnsiTheme="minorHAnsi" w:cstheme="minorHAnsi"/>
                <w:sz w:val="16"/>
              </w:rPr>
              <w:t xml:space="preserve"> </w:t>
            </w:r>
            <w:r w:rsidRPr="00BB1E73">
              <w:rPr>
                <w:rFonts w:asciiTheme="minorHAnsi" w:hAnsiTheme="minorHAnsi" w:cstheme="minorHAnsi"/>
                <w:sz w:val="16"/>
              </w:rPr>
              <w:t>enota</w:t>
            </w:r>
            <w:r w:rsidRPr="00BB1E73">
              <w:rPr>
                <w:rFonts w:asciiTheme="minorHAnsi" w:hAnsiTheme="minorHAnsi" w:cstheme="minorHAnsi"/>
                <w:sz w:val="16"/>
              </w:rPr>
              <w:t xml:space="preserve"> – </w:t>
            </w:r>
            <w:r w:rsidRPr="00BB1E73">
              <w:rPr>
                <w:rFonts w:asciiTheme="minorHAnsi" w:hAnsiTheme="minorHAnsi" w:cstheme="minorHAnsi"/>
                <w:sz w:val="16"/>
              </w:rPr>
              <w:t>pisarna</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energetsko</w:t>
            </w:r>
            <w:r w:rsidRPr="00BB1E73">
              <w:rPr>
                <w:rFonts w:asciiTheme="minorHAnsi" w:hAnsiTheme="minorHAnsi" w:cstheme="minorHAnsi"/>
                <w:sz w:val="16"/>
              </w:rPr>
              <w:t xml:space="preserve"> </w:t>
            </w:r>
            <w:r w:rsidRPr="00BB1E73">
              <w:rPr>
                <w:rFonts w:asciiTheme="minorHAnsi" w:hAnsiTheme="minorHAnsi" w:cstheme="minorHAnsi"/>
                <w:sz w:val="16"/>
              </w:rPr>
              <w:t>prenovo</w:t>
            </w:r>
            <w:r w:rsidRPr="00BB1E73">
              <w:rPr>
                <w:rFonts w:asciiTheme="minorHAnsi" w:hAnsiTheme="minorHAnsi" w:cstheme="minorHAnsi"/>
                <w:sz w:val="16"/>
              </w:rPr>
              <w:t xml:space="preserve"> </w:t>
            </w:r>
            <w:r w:rsidRPr="00BB1E73">
              <w:rPr>
                <w:rFonts w:asciiTheme="minorHAnsi" w:hAnsiTheme="minorHAnsi" w:cstheme="minorHAnsi"/>
                <w:sz w:val="16"/>
              </w:rPr>
              <w:t>stavb</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Project Unit </w:t>
            </w:r>
            <w:r w:rsidRPr="00BB1E73">
              <w:noBreakHyphen/>
            </w:r>
            <w:r w:rsidRPr="00BB1E73">
              <w:rPr>
                <w:rFonts w:asciiTheme="minorHAnsi" w:hAnsiTheme="minorHAnsi" w:cstheme="minorHAnsi"/>
                <w:sz w:val="16"/>
              </w:rPr>
              <w:t> Office for the Energy Renovation of Buildings</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pravne</w:t>
            </w:r>
            <w:r w:rsidRPr="00BB1E73">
              <w:rPr>
                <w:rFonts w:asciiTheme="minorHAnsi" w:hAnsiTheme="minorHAnsi" w:cstheme="minorHAnsi"/>
                <w:sz w:val="16"/>
              </w:rPr>
              <w:t xml:space="preserve"> in </w:t>
            </w:r>
            <w:r w:rsidRPr="00BB1E73">
              <w:rPr>
                <w:rFonts w:asciiTheme="minorHAnsi" w:hAnsiTheme="minorHAnsi" w:cstheme="minorHAnsi"/>
                <w:sz w:val="16"/>
              </w:rPr>
              <w:t>mednarodne</w:t>
            </w:r>
            <w:r w:rsidRPr="00BB1E73">
              <w:rPr>
                <w:rFonts w:asciiTheme="minorHAnsi" w:hAnsiTheme="minorHAnsi" w:cstheme="minorHAnsi"/>
                <w:sz w:val="16"/>
              </w:rPr>
              <w:t xml:space="preserve"> </w:t>
            </w:r>
            <w:r w:rsidRPr="00BB1E73">
              <w:rPr>
                <w:rFonts w:asciiTheme="minorHAnsi" w:hAnsiTheme="minorHAnsi" w:cstheme="minorHAnsi"/>
                <w:sz w:val="16"/>
              </w:rPr>
              <w:t>energetske</w:t>
            </w:r>
            <w:r w:rsidRPr="00BB1E73">
              <w:rPr>
                <w:rFonts w:asciiTheme="minorHAnsi" w:hAnsiTheme="minorHAnsi" w:cstheme="minorHAnsi"/>
                <w:sz w:val="16"/>
              </w:rPr>
              <w:t xml:space="preserve"> </w:t>
            </w:r>
            <w:r w:rsidRPr="00BB1E73">
              <w:rPr>
                <w:rFonts w:asciiTheme="minorHAnsi" w:hAnsiTheme="minorHAnsi" w:cstheme="minorHAnsi"/>
                <w:sz w:val="16"/>
              </w:rPr>
              <w:t>zadeve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Legal and International Energy Affairs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DIREKTORAT ZA LETALSKI IN POMORSKI PROMET</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AVIATION AND MARITIME TRANSPORT DIRECTORATE</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letalstvo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Aviation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pomorstvo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Maritime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DIREKTORAT ZA KOPENSKI PROMET</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LAND TRANSPORT DIRECTORATE</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ceste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Roads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cestni</w:t>
            </w:r>
            <w:r w:rsidRPr="00BB1E73">
              <w:rPr>
                <w:rFonts w:asciiTheme="minorHAnsi" w:hAnsiTheme="minorHAnsi" w:cstheme="minorHAnsi"/>
                <w:sz w:val="16"/>
              </w:rPr>
              <w:t xml:space="preserve"> </w:t>
            </w:r>
            <w:r w:rsidRPr="00BB1E73">
              <w:rPr>
                <w:rFonts w:asciiTheme="minorHAnsi" w:hAnsiTheme="minorHAnsi" w:cstheme="minorHAnsi"/>
                <w:sz w:val="16"/>
              </w:rPr>
              <w:t>promet</w:t>
            </w:r>
            <w:r w:rsidRPr="00BB1E73">
              <w:rPr>
                <w:rFonts w:asciiTheme="minorHAnsi" w:hAnsiTheme="minorHAnsi" w:cstheme="minorHAnsi"/>
                <w:sz w:val="16"/>
              </w:rPr>
              <w:t xml:space="preserve"> in </w:t>
            </w:r>
            <w:r w:rsidRPr="00BB1E73">
              <w:rPr>
                <w:rFonts w:asciiTheme="minorHAnsi" w:hAnsiTheme="minorHAnsi" w:cstheme="minorHAnsi"/>
                <w:sz w:val="16"/>
              </w:rPr>
              <w:t>logistiko</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Road Transport and Logistics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Sektor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železnice</w:t>
            </w:r>
            <w:r w:rsidRPr="00BB1E73">
              <w:rPr>
                <w:rFonts w:asciiTheme="minorHAnsi" w:hAnsiTheme="minorHAnsi" w:cstheme="minorHAnsi"/>
                <w:sz w:val="16"/>
              </w:rPr>
              <w:t xml:space="preserve"> in </w:t>
            </w:r>
            <w:r w:rsidRPr="00BB1E73">
              <w:rPr>
                <w:rFonts w:asciiTheme="minorHAnsi" w:hAnsiTheme="minorHAnsi" w:cstheme="minorHAnsi"/>
                <w:sz w:val="16"/>
              </w:rPr>
              <w:t>žičnice</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Railways and Cableways Division</w:t>
            </w:r>
          </w:p>
        </w:tc>
      </w:tr>
      <w:tr w:rsidTr="00BB1E73">
        <w:tblPrEx>
          <w:tblW w:w="14283" w:type="dxa"/>
          <w:tblLook w:val="04A0"/>
        </w:tblPrEx>
        <w:tc>
          <w:tcPr>
            <w:tcW w:w="7196"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Nacionalni</w:t>
            </w:r>
            <w:r w:rsidRPr="00BB1E73">
              <w:rPr>
                <w:rFonts w:asciiTheme="minorHAnsi" w:hAnsiTheme="minorHAnsi" w:cstheme="minorHAnsi"/>
                <w:sz w:val="16"/>
              </w:rPr>
              <w:t xml:space="preserve"> </w:t>
            </w:r>
            <w:r w:rsidRPr="00BB1E73">
              <w:rPr>
                <w:rFonts w:asciiTheme="minorHAnsi" w:hAnsiTheme="minorHAnsi" w:cstheme="minorHAnsi"/>
                <w:sz w:val="16"/>
              </w:rPr>
              <w:t>center</w:t>
            </w:r>
            <w:r w:rsidRPr="00BB1E73">
              <w:rPr>
                <w:rFonts w:asciiTheme="minorHAnsi" w:hAnsiTheme="minorHAnsi" w:cstheme="minorHAnsi"/>
                <w:sz w:val="16"/>
              </w:rPr>
              <w:t xml:space="preserve"> </w:t>
            </w:r>
            <w:r w:rsidRPr="00BB1E73">
              <w:rPr>
                <w:rFonts w:asciiTheme="minorHAnsi" w:hAnsiTheme="minorHAnsi" w:cstheme="minorHAnsi"/>
                <w:sz w:val="16"/>
              </w:rPr>
              <w:t>za</w:t>
            </w:r>
            <w:r w:rsidRPr="00BB1E73">
              <w:rPr>
                <w:rFonts w:asciiTheme="minorHAnsi" w:hAnsiTheme="minorHAnsi" w:cstheme="minorHAnsi"/>
                <w:sz w:val="16"/>
              </w:rPr>
              <w:t xml:space="preserve"> </w:t>
            </w:r>
            <w:r w:rsidRPr="00BB1E73">
              <w:rPr>
                <w:rFonts w:asciiTheme="minorHAnsi" w:hAnsiTheme="minorHAnsi" w:cstheme="minorHAnsi"/>
                <w:sz w:val="16"/>
              </w:rPr>
              <w:t>upravljanje</w:t>
            </w:r>
            <w:r w:rsidRPr="00BB1E73">
              <w:rPr>
                <w:rFonts w:asciiTheme="minorHAnsi" w:hAnsiTheme="minorHAnsi" w:cstheme="minorHAnsi"/>
                <w:sz w:val="16"/>
              </w:rPr>
              <w:t xml:space="preserve"> </w:t>
            </w:r>
            <w:r w:rsidRPr="00BB1E73">
              <w:rPr>
                <w:rFonts w:asciiTheme="minorHAnsi" w:hAnsiTheme="minorHAnsi" w:cstheme="minorHAnsi"/>
                <w:sz w:val="16"/>
              </w:rPr>
              <w:t>prometa</w:t>
            </w:r>
          </w:p>
        </w:tc>
        <w:tc>
          <w:tcPr>
            <w:tcW w:w="7087" w:type="dxa"/>
          </w:tcPr>
          <w:p w:rsidR="004509D5" w:rsidRPr="00BB1E73" w:rsidP="00BB1E73">
            <w:pPr>
              <w:ind w:right="119"/>
              <w:rPr>
                <w:rFonts w:asciiTheme="minorHAnsi" w:hAnsiTheme="minorHAnsi" w:cstheme="minorHAnsi"/>
                <w:sz w:val="16"/>
              </w:rPr>
            </w:pPr>
            <w:r w:rsidRPr="00BB1E73">
              <w:rPr>
                <w:rFonts w:asciiTheme="minorHAnsi" w:hAnsiTheme="minorHAnsi" w:cstheme="minorHAnsi"/>
                <w:sz w:val="16"/>
              </w:rPr>
              <w:t>National Traffic Management Centre</w:t>
            </w:r>
          </w:p>
        </w:tc>
      </w:tr>
    </w:tbl>
    <w:p w:rsidR="003F0A7E" w:rsidRPr="00BB1E73" w:rsidP="003F0A7E">
      <w:pPr>
        <w:spacing w:before="93"/>
        <w:ind w:right="117"/>
        <w:rPr>
          <w:sz w:val="16"/>
        </w:rPr>
        <w:sectPr w:rsidSect="00E46FCF">
          <w:footerReference w:type="default" r:id="rId11"/>
          <w:pgSz w:w="16840" w:h="11910" w:orient="landscape"/>
          <w:pgMar w:top="1100" w:right="1900" w:bottom="280" w:left="1340" w:header="720" w:footer="720" w:gutter="0"/>
          <w:cols w:space="720"/>
        </w:sectPr>
      </w:pPr>
    </w:p>
    <w:p w:rsidR="005854EB" w:rsidRPr="00BB1E73" w:rsidP="003F0A7E">
      <w:pPr>
        <w:pStyle w:val="BodyText"/>
        <w:pageBreakBefore/>
        <w:rPr>
          <w:sz w:val="20"/>
        </w:rPr>
      </w:pPr>
    </w:p>
    <w:p w:rsidR="005854EB" w:rsidRPr="00BB1E73">
      <w:pPr>
        <w:pStyle w:val="Heading2"/>
        <w:numPr>
          <w:ilvl w:val="1"/>
          <w:numId w:val="5"/>
        </w:numPr>
        <w:tabs>
          <w:tab w:val="left" w:pos="695"/>
        </w:tabs>
        <w:spacing w:before="89"/>
        <w:ind w:hanging="600"/>
      </w:pPr>
      <w:bookmarkStart w:id="5" w:name="_Toc503796862"/>
      <w:bookmarkStart w:id="6" w:name="_Toc506208147"/>
      <w:r w:rsidRPr="00BB1E73">
        <w:t>Legal basis (or legal framework)</w:t>
      </w:r>
      <w:bookmarkEnd w:id="5"/>
      <w:bookmarkEnd w:id="6"/>
    </w:p>
    <w:p w:rsidR="005854EB" w:rsidRPr="00BB1E73">
      <w:pPr>
        <w:pStyle w:val="BodyText"/>
        <w:spacing w:before="68" w:line="208" w:lineRule="auto"/>
        <w:ind w:left="719" w:right="685"/>
        <w:jc w:val="both"/>
      </w:pPr>
      <w:r w:rsidRPr="00BB1E73">
        <w:t xml:space="preserve">The legal basis for the operation of the railway investigating body is provided in Article 26 of the Railway Transport Act (ZZeIP-UPB8, UL RS, No 99/2015, </w:t>
      </w:r>
      <w:r w:rsidRPr="00BB1E73">
        <w:t>21</w:t>
      </w:r>
      <w:r w:rsidRPr="00BB1E73">
        <w:t> December 2015).</w:t>
      </w:r>
    </w:p>
    <w:p w:rsidR="005854EB" w:rsidRPr="00BB1E73">
      <w:pPr>
        <w:pStyle w:val="BodyText"/>
        <w:spacing w:before="238" w:line="208" w:lineRule="auto"/>
        <w:ind w:left="719" w:right="690"/>
        <w:jc w:val="both"/>
      </w:pPr>
      <w:r w:rsidRPr="00BB1E73">
        <w:t>In organisational, financial and legal terms, the railway investigating body is independent of the railway infrastructure manager, railway undertakings, the body responsible for setting the infrastructure charge, the body responsible for allocating infrastructure capacities, and the notified body.</w:t>
      </w:r>
    </w:p>
    <w:p w:rsidR="005854EB" w:rsidRPr="00BB1E73">
      <w:pPr>
        <w:pStyle w:val="BodyText"/>
        <w:spacing w:before="243" w:line="206" w:lineRule="auto"/>
        <w:ind w:left="719" w:right="693"/>
        <w:jc w:val="both"/>
      </w:pPr>
      <w:r w:rsidRPr="00BB1E73">
        <w:t>It is also functionally independent of the safety and regulatory body.</w:t>
      </w:r>
    </w:p>
    <w:p w:rsidR="005854EB" w:rsidRPr="00BB1E73">
      <w:pPr>
        <w:pStyle w:val="Heading2"/>
        <w:numPr>
          <w:ilvl w:val="1"/>
          <w:numId w:val="5"/>
        </w:numPr>
        <w:tabs>
          <w:tab w:val="left" w:pos="695"/>
        </w:tabs>
        <w:spacing w:before="235"/>
        <w:ind w:hanging="600"/>
      </w:pPr>
      <w:bookmarkStart w:id="7" w:name="_Toc503796863"/>
      <w:bookmarkStart w:id="8" w:name="_Toc506208148"/>
      <w:r w:rsidRPr="00BB1E73">
        <w:t>Role (description of mandate) and objective (or mission)</w:t>
      </w:r>
      <w:bookmarkEnd w:id="7"/>
      <w:bookmarkEnd w:id="8"/>
    </w:p>
    <w:p w:rsidR="005854EB" w:rsidRPr="00BB1E73">
      <w:pPr>
        <w:pStyle w:val="BodyText"/>
        <w:spacing w:line="208" w:lineRule="auto"/>
        <w:ind w:left="719" w:right="688"/>
        <w:jc w:val="both"/>
      </w:pPr>
      <w:r w:rsidRPr="00BB1E73">
        <w:t>The chief railway accident investigator at the Slovenian ministry responsible for transport is appointed on the basis of a permanent contract, and conducts safety investigations into serious accidents, accidents and incidents.</w:t>
      </w:r>
    </w:p>
    <w:p w:rsidR="005854EB" w:rsidRPr="00BB1E73">
      <w:pPr>
        <w:pStyle w:val="BodyText"/>
        <w:spacing w:before="243" w:line="208" w:lineRule="auto"/>
        <w:ind w:left="719" w:right="685"/>
        <w:jc w:val="both"/>
      </w:pPr>
      <w:r w:rsidRPr="00BB1E73">
        <w:t>Investigations are conducted into serious railway accidents, accidents and incidents with the aim of improving railway safety. The chief railway accident and incident investigator at the Slovenian ministry responsible for transport cooperates with investigating bodies from other railways within the network of national investigating bodies in the EU operating under the auspices of the European Railway Agency (ERA).</w:t>
      </w:r>
    </w:p>
    <w:p w:rsidR="005854EB" w:rsidRPr="00BB1E73">
      <w:pPr>
        <w:pStyle w:val="Heading2"/>
        <w:numPr>
          <w:ilvl w:val="1"/>
          <w:numId w:val="5"/>
        </w:numPr>
        <w:tabs>
          <w:tab w:val="left" w:pos="695"/>
        </w:tabs>
        <w:spacing w:before="232"/>
        <w:ind w:hanging="600"/>
      </w:pPr>
      <w:bookmarkStart w:id="9" w:name="_Toc503796864"/>
      <w:bookmarkStart w:id="10" w:name="_Toc506208149"/>
      <w:r w:rsidRPr="00BB1E73">
        <w:t>Internal organisation and sub-departments</w:t>
      </w:r>
      <w:bookmarkEnd w:id="9"/>
      <w:bookmarkEnd w:id="10"/>
    </w:p>
    <w:p w:rsidR="005854EB" w:rsidRPr="00BB1E73">
      <w:pPr>
        <w:pStyle w:val="BodyText"/>
        <w:spacing w:line="208" w:lineRule="auto"/>
        <w:ind w:left="719" w:right="690"/>
        <w:jc w:val="both"/>
      </w:pPr>
      <w:r w:rsidRPr="00BB1E73">
        <w:t>The Department for the Investigation of Aviation, Maritime and Railway Accidents and Incidents is part of the Ministry of Infrastructure, which is responsible for transport, and has no sub-departments.</w:t>
      </w:r>
    </w:p>
    <w:p w:rsidR="005854EB" w:rsidRPr="00BB1E73">
      <w:pPr>
        <w:pStyle w:val="BodyText"/>
        <w:spacing w:before="237" w:line="208" w:lineRule="auto"/>
        <w:ind w:left="719" w:right="685"/>
        <w:jc w:val="both"/>
      </w:pPr>
      <w:r w:rsidRPr="00BB1E73">
        <w:t>According to the ministry’s internal job classification system, there is one employed position at the Department for the Investigation of Aviation, Maritime and Railway Accidents and Incidents, that of the chief railway accident investigator. In conducting accident and incident investigations, the chief railway accident and incident investigator does not manage funds earmarked under the budget for the investigation of railway accidents and incidents; rather, these funds are managed by the budget item manager for the department as a whole.</w:t>
      </w:r>
    </w:p>
    <w:p w:rsidR="005854EB" w:rsidRPr="00BB1E73">
      <w:pPr>
        <w:spacing w:line="208" w:lineRule="auto"/>
        <w:jc w:val="both"/>
      </w:pPr>
    </w:p>
    <w:p w:rsidR="005854EB" w:rsidRPr="00BB1E73" w:rsidP="0048519E">
      <w:pPr>
        <w:pStyle w:val="BodyText"/>
        <w:pageBreakBefore/>
        <w:spacing w:before="106" w:line="206" w:lineRule="auto"/>
        <w:ind w:left="720" w:right="692"/>
        <w:jc w:val="both"/>
      </w:pPr>
      <w:r w:rsidRPr="00BB1E73">
        <w:t>The chief investigator is qualified to perform all necessary functions within the investigative procedure in the event of an accident or serious incident.</w:t>
      </w:r>
    </w:p>
    <w:p w:rsidR="005854EB" w:rsidRPr="00BB1E73" w:rsidP="00BB1E73">
      <w:pPr>
        <w:pStyle w:val="Heading2"/>
        <w:numPr>
          <w:ilvl w:val="1"/>
          <w:numId w:val="5"/>
        </w:numPr>
        <w:tabs>
          <w:tab w:val="left" w:pos="720"/>
        </w:tabs>
        <w:spacing w:before="246"/>
        <w:ind w:right="521" w:hanging="600"/>
      </w:pPr>
      <w:bookmarkStart w:id="11" w:name="_Toc503796865"/>
      <w:bookmarkStart w:id="12" w:name="_Toc506208150"/>
      <w:r w:rsidRPr="00BB1E73">
        <w:t>Organisational flow and position of the national investigating body within the diagram/scheme</w:t>
      </w:r>
      <w:bookmarkEnd w:id="11"/>
      <w:bookmarkEnd w:id="12"/>
    </w:p>
    <w:p w:rsidR="005854EB" w:rsidRPr="00BB1E73">
      <w:pPr>
        <w:pStyle w:val="BodyText"/>
        <w:spacing w:before="258"/>
        <w:ind w:left="719" w:right="687"/>
        <w:jc w:val="both"/>
      </w:pPr>
      <w:r w:rsidRPr="00BB1E73">
        <w:t>The Department for the Investigation of Aviation, Maritime and Railway Accidents and Incidents at the Slovenian ministry responsible for transport conducts safety investigations of accidents and incidents separately by transport sector, and operates with complete autonomy.</w:t>
      </w:r>
    </w:p>
    <w:p w:rsidR="005854EB" w:rsidRPr="00BB1E73">
      <w:pPr>
        <w:pStyle w:val="BodyText"/>
        <w:spacing w:before="119"/>
        <w:ind w:left="719" w:right="685"/>
        <w:jc w:val="both"/>
      </w:pPr>
      <w:r w:rsidRPr="00BB1E73">
        <w:t>The railway investigating body cooperates with other national investigating and judicial bodies, the railway safety body, the railway infrastructure manager, and all licensed railway undertakings in Slovenia.</w:t>
      </w:r>
    </w:p>
    <w:p w:rsidR="005854EB" w:rsidRPr="00BB1E73">
      <w:pPr>
        <w:pStyle w:val="BodyText"/>
        <w:spacing w:before="243"/>
        <w:ind w:left="719" w:right="689"/>
        <w:jc w:val="both"/>
      </w:pPr>
      <w:r w:rsidRPr="00BB1E73">
        <w:t>Where necessary, it also cooperates with the national investigating bodies of EU Member States operating within the network of national investigating bodies under the auspices of the European Railway Agency (ERA).</w:t>
      </w:r>
    </w:p>
    <w:p w:rsidR="005854EB" w:rsidRPr="00BB1E73">
      <w:pPr>
        <w:pStyle w:val="BodyText"/>
        <w:spacing w:before="239"/>
        <w:ind w:left="719" w:right="687"/>
        <w:jc w:val="both"/>
      </w:pPr>
      <w:r w:rsidRPr="00BB1E73">
        <w:t>It obtains the necessary information for its investigative procedures from all the above-mentioned entities. As railway accident investigations are conducted as openly as possible, all those involved and all interested parties are entitled to be heard and to make use of the results of investigations.</w:t>
      </w:r>
    </w:p>
    <w:p w:rsidR="005854EB" w:rsidRPr="00BB1E73">
      <w:pPr>
        <w:pStyle w:val="BodyText"/>
        <w:spacing w:before="243"/>
        <w:ind w:left="719" w:right="688"/>
        <w:jc w:val="both"/>
      </w:pPr>
      <w:r w:rsidRPr="00BB1E73">
        <w:t>The Slovenian ministry responsible for transport ensures that the Department for the Investigation of Aviation, Maritime and Railway Accidents and Incidents operates independently, and provides it with funds from the budget. On no account does the ministry interfere with the investigating body’s independence.</w:t>
      </w:r>
    </w:p>
    <w:p w:rsidR="005854EB" w:rsidRPr="00BB1E73">
      <w:pPr>
        <w:pStyle w:val="BodyText"/>
        <w:spacing w:before="238"/>
        <w:ind w:left="719" w:right="684"/>
        <w:jc w:val="both"/>
      </w:pPr>
      <w:r w:rsidRPr="00BB1E73">
        <w:t>Under the provisions of Article 35 of the Railway Safety Act (ZVZelP-UPB3, UL RS, No 56/2013, 2 July 2013), the railway infrastructure manager and railway undertakings are obliged to notify the investigating body of all serious railway accidents, accidents and incidents without delay.</w:t>
      </w:r>
    </w:p>
    <w:p w:rsidR="005854EB" w:rsidRPr="00BB1E73">
      <w:pPr>
        <w:pStyle w:val="BodyText"/>
        <w:spacing w:before="238"/>
        <w:ind w:left="719" w:right="688"/>
        <w:jc w:val="both"/>
      </w:pPr>
      <w:r w:rsidRPr="00BB1E73">
        <w:t>The investigating body is notified by telephone, and subsequently also in writing on the prescribed ID-1 form.</w:t>
      </w:r>
    </w:p>
    <w:p w:rsidR="005854EB" w:rsidRPr="00BB1E73">
      <w:pPr>
        <w:jc w:val="both"/>
      </w:pPr>
    </w:p>
    <w:p w:rsidR="005854EB" w:rsidRPr="00BB1E73" w:rsidP="0048519E">
      <w:pPr>
        <w:pStyle w:val="BodyText"/>
        <w:pageBreakBefore/>
        <w:rPr>
          <w:rFonts w:ascii="Times New Roman"/>
          <w:sz w:val="20"/>
        </w:rPr>
      </w:pPr>
      <w:r w:rsidRPr="00BB1E73">
        <w:rPr>
          <w:rFonts w:ascii="Times New Roman"/>
          <w:noProof/>
          <w:sz w:val="20"/>
          <w:lang w:val="en-US" w:eastAsia="en-US" w:bidi="ar-SA"/>
        </w:rPr>
        <w:drawing>
          <wp:inline distT="0" distB="0" distL="0" distR="0">
            <wp:extent cx="5230618" cy="892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75299" name="Picture 45"/>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3235" cy="8926214"/>
                    </a:xfrm>
                    <a:prstGeom prst="rect">
                      <a:avLst/>
                    </a:prstGeom>
                    <a:noFill/>
                    <a:ln>
                      <a:noFill/>
                    </a:ln>
                  </pic:spPr>
                </pic:pic>
              </a:graphicData>
            </a:graphic>
          </wp:inline>
        </w:drawing>
      </w:r>
    </w:p>
    <w:p w:rsidR="005854EB" w:rsidRPr="00BB1E73" w:rsidP="009A62BA">
      <w:pPr>
        <w:pStyle w:val="BodyText"/>
        <w:rPr>
          <w:rFonts w:ascii="Times New Roman"/>
          <w:sz w:val="20"/>
        </w:rPr>
      </w:pPr>
    </w:p>
    <w:tbl>
      <w:tblPr>
        <w:tblStyle w:val="TableGrid"/>
        <w:tblW w:w="9526" w:type="dxa"/>
        <w:tblLook w:val="04A0"/>
      </w:tblPr>
      <w:tblGrid>
        <w:gridCol w:w="4763"/>
        <w:gridCol w:w="4763"/>
      </w:tblGrid>
      <w:tr w:rsidTr="00274B25">
        <w:tblPrEx>
          <w:tblW w:w="9526" w:type="dxa"/>
          <w:tblLook w:val="04A0"/>
        </w:tblPrEx>
        <w:tc>
          <w:tcPr>
            <w:tcW w:w="4763" w:type="dxa"/>
          </w:tcPr>
          <w:p w:rsidR="00274B25" w:rsidRPr="00BB1E73" w:rsidP="004A496A">
            <w:pPr>
              <w:pStyle w:val="BodyText"/>
              <w:keepNext/>
              <w:rPr>
                <w:rFonts w:asciiTheme="minorHAnsi" w:hAnsiTheme="minorHAnsi" w:cstheme="minorHAnsi"/>
                <w:sz w:val="20"/>
              </w:rPr>
            </w:pPr>
            <w:r w:rsidRPr="00BB1E73">
              <w:rPr>
                <w:rFonts w:asciiTheme="minorHAnsi" w:hAnsiTheme="minorHAnsi" w:cstheme="minorHAnsi"/>
                <w:sz w:val="20"/>
              </w:rPr>
              <w:t>Ministrstvo</w:t>
            </w:r>
            <w:r w:rsidRPr="00BB1E73">
              <w:rPr>
                <w:rFonts w:asciiTheme="minorHAnsi" w:hAnsiTheme="minorHAnsi" w:cstheme="minorHAnsi"/>
                <w:sz w:val="20"/>
              </w:rPr>
              <w:t xml:space="preserve"> </w:t>
            </w:r>
            <w:r w:rsidRPr="00BB1E73">
              <w:rPr>
                <w:rFonts w:asciiTheme="minorHAnsi" w:hAnsiTheme="minorHAnsi" w:cstheme="minorHAnsi"/>
                <w:sz w:val="20"/>
              </w:rPr>
              <w:t>za</w:t>
            </w:r>
            <w:r w:rsidRPr="00BB1E73">
              <w:rPr>
                <w:rFonts w:asciiTheme="minorHAnsi" w:hAnsiTheme="minorHAnsi" w:cstheme="minorHAnsi"/>
                <w:sz w:val="20"/>
              </w:rPr>
              <w:t xml:space="preserve"> </w:t>
            </w:r>
            <w:r w:rsidRPr="00BB1E73">
              <w:rPr>
                <w:rFonts w:asciiTheme="minorHAnsi" w:hAnsiTheme="minorHAnsi" w:cstheme="minorHAnsi"/>
                <w:sz w:val="20"/>
              </w:rPr>
              <w:t>infrastrukturo</w:t>
            </w:r>
            <w:r w:rsidRPr="00BB1E73">
              <w:rPr>
                <w:rFonts w:asciiTheme="minorHAnsi" w:hAnsiTheme="minorHAnsi" w:cstheme="minorHAnsi"/>
                <w:sz w:val="20"/>
              </w:rPr>
              <w:t xml:space="preserve"> R </w:t>
            </w:r>
            <w:r w:rsidRPr="00BB1E73">
              <w:rPr>
                <w:rFonts w:asciiTheme="minorHAnsi" w:hAnsiTheme="minorHAnsi" w:cstheme="minorHAnsi"/>
                <w:sz w:val="20"/>
              </w:rPr>
              <w:t>Slovenije</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Ministry of Infrastructure of the Republic of Slovenia</w:t>
            </w:r>
          </w:p>
        </w:tc>
      </w:tr>
      <w:tr w:rsidTr="00274B25">
        <w:tblPrEx>
          <w:tblW w:w="9526" w:type="dxa"/>
          <w:tblLook w:val="04A0"/>
        </w:tblPrEx>
        <w:tc>
          <w:tcPr>
            <w:tcW w:w="4763" w:type="dxa"/>
          </w:tcPr>
          <w:p w:rsidR="00274B25" w:rsidRPr="00BB1E73" w:rsidP="004A496A">
            <w:pPr>
              <w:pStyle w:val="BodyText"/>
              <w:keepNext/>
              <w:rPr>
                <w:rFonts w:asciiTheme="minorHAnsi" w:hAnsiTheme="minorHAnsi" w:cstheme="minorHAnsi"/>
                <w:sz w:val="20"/>
              </w:rPr>
            </w:pPr>
            <w:r w:rsidRPr="00BB1E73">
              <w:rPr>
                <w:rFonts w:asciiTheme="minorHAnsi" w:hAnsiTheme="minorHAnsi" w:cstheme="minorHAnsi"/>
                <w:sz w:val="20"/>
              </w:rPr>
              <w:t>Služba</w:t>
            </w:r>
            <w:r w:rsidRPr="00BB1E73">
              <w:rPr>
                <w:rFonts w:asciiTheme="minorHAnsi" w:hAnsiTheme="minorHAnsi" w:cstheme="minorHAnsi"/>
                <w:sz w:val="20"/>
              </w:rPr>
              <w:t xml:space="preserve"> </w:t>
            </w:r>
            <w:r w:rsidRPr="00BB1E73">
              <w:rPr>
                <w:rFonts w:asciiTheme="minorHAnsi" w:hAnsiTheme="minorHAnsi" w:cstheme="minorHAnsi"/>
                <w:sz w:val="20"/>
              </w:rPr>
              <w:t>za</w:t>
            </w:r>
            <w:r w:rsidRPr="00BB1E73">
              <w:rPr>
                <w:rFonts w:asciiTheme="minorHAnsi" w:hAnsiTheme="minorHAnsi" w:cstheme="minorHAnsi"/>
                <w:sz w:val="20"/>
              </w:rPr>
              <w:t xml:space="preserve"> </w:t>
            </w:r>
            <w:r w:rsidRPr="00BB1E73">
              <w:rPr>
                <w:rFonts w:asciiTheme="minorHAnsi" w:hAnsiTheme="minorHAnsi" w:cstheme="minorHAnsi"/>
                <w:sz w:val="20"/>
              </w:rPr>
              <w:t>preiskovanje</w:t>
            </w:r>
            <w:r w:rsidRPr="00BB1E73">
              <w:rPr>
                <w:rFonts w:asciiTheme="minorHAnsi" w:hAnsiTheme="minorHAnsi" w:cstheme="minorHAnsi"/>
                <w:sz w:val="20"/>
              </w:rPr>
              <w:t xml:space="preserve"> </w:t>
            </w:r>
            <w:r w:rsidRPr="00BB1E73">
              <w:rPr>
                <w:rFonts w:asciiTheme="minorHAnsi" w:hAnsiTheme="minorHAnsi" w:cstheme="minorHAnsi"/>
                <w:sz w:val="20"/>
              </w:rPr>
              <w:t>letalskih</w:t>
            </w:r>
            <w:r w:rsidRPr="00BB1E73">
              <w:rPr>
                <w:rFonts w:asciiTheme="minorHAnsi" w:hAnsiTheme="minorHAnsi" w:cstheme="minorHAnsi"/>
                <w:sz w:val="20"/>
              </w:rPr>
              <w:t xml:space="preserve">, </w:t>
            </w:r>
            <w:r w:rsidRPr="00BB1E73">
              <w:rPr>
                <w:rFonts w:asciiTheme="minorHAnsi" w:hAnsiTheme="minorHAnsi" w:cstheme="minorHAnsi"/>
                <w:sz w:val="20"/>
              </w:rPr>
              <w:t>pomorskih</w:t>
            </w:r>
            <w:r w:rsidRPr="00BB1E73">
              <w:rPr>
                <w:rFonts w:asciiTheme="minorHAnsi" w:hAnsiTheme="minorHAnsi" w:cstheme="minorHAnsi"/>
                <w:sz w:val="20"/>
              </w:rPr>
              <w:t xml:space="preserve"> in </w:t>
            </w:r>
            <w:r w:rsidRPr="00BB1E73">
              <w:rPr>
                <w:rFonts w:asciiTheme="minorHAnsi" w:hAnsiTheme="minorHAnsi" w:cstheme="minorHAnsi"/>
                <w:sz w:val="20"/>
              </w:rPr>
              <w:t>železniških</w:t>
            </w:r>
            <w:r w:rsidRPr="00BB1E73">
              <w:rPr>
                <w:rFonts w:asciiTheme="minorHAnsi" w:hAnsiTheme="minorHAnsi" w:cstheme="minorHAnsi"/>
                <w:sz w:val="20"/>
              </w:rPr>
              <w:t xml:space="preserve"> </w:t>
            </w:r>
            <w:r w:rsidRPr="00BB1E73">
              <w:rPr>
                <w:rFonts w:asciiTheme="minorHAnsi" w:hAnsiTheme="minorHAnsi" w:cstheme="minorHAnsi"/>
                <w:sz w:val="20"/>
              </w:rPr>
              <w:t>nesreč</w:t>
            </w:r>
            <w:r w:rsidRPr="00BB1E73">
              <w:rPr>
                <w:rFonts w:asciiTheme="minorHAnsi" w:hAnsiTheme="minorHAnsi" w:cstheme="minorHAnsi"/>
                <w:sz w:val="20"/>
              </w:rPr>
              <w:t xml:space="preserve"> in </w:t>
            </w:r>
            <w:r w:rsidRPr="00BB1E73">
              <w:rPr>
                <w:rFonts w:asciiTheme="minorHAnsi" w:hAnsiTheme="minorHAnsi" w:cstheme="minorHAnsi"/>
                <w:sz w:val="20"/>
              </w:rPr>
              <w:t>incidentov</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Department for the Investigation of Aviation, Maritime and Railway Accidents and Incidents</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Upravljavec</w:t>
            </w:r>
            <w:r w:rsidRPr="00BB1E73">
              <w:rPr>
                <w:rFonts w:asciiTheme="minorHAnsi" w:hAnsiTheme="minorHAnsi" w:cstheme="minorHAnsi"/>
                <w:sz w:val="20"/>
              </w:rPr>
              <w:t xml:space="preserve"> </w:t>
            </w:r>
            <w:r w:rsidRPr="00BB1E73">
              <w:rPr>
                <w:rFonts w:asciiTheme="minorHAnsi" w:hAnsiTheme="minorHAnsi" w:cstheme="minorHAnsi"/>
                <w:sz w:val="20"/>
              </w:rPr>
              <w:t>železniške</w:t>
            </w:r>
            <w:r w:rsidRPr="00BB1E73">
              <w:rPr>
                <w:rFonts w:asciiTheme="minorHAnsi" w:hAnsiTheme="minorHAnsi" w:cstheme="minorHAnsi"/>
                <w:sz w:val="20"/>
              </w:rPr>
              <w:t xml:space="preserve"> infrastructure (</w:t>
            </w:r>
            <w:r w:rsidRPr="00BB1E73">
              <w:rPr>
                <w:rFonts w:asciiTheme="minorHAnsi" w:hAnsiTheme="minorHAnsi" w:cstheme="minorHAnsi"/>
                <w:sz w:val="20"/>
              </w:rPr>
              <w:t>Slovenske</w:t>
            </w:r>
            <w:r w:rsidRPr="00BB1E73">
              <w:rPr>
                <w:rFonts w:asciiTheme="minorHAnsi" w:hAnsiTheme="minorHAnsi" w:cstheme="minorHAnsi"/>
                <w:sz w:val="20"/>
              </w:rPr>
              <w:t xml:space="preserve"> </w:t>
            </w:r>
            <w:r w:rsidRPr="00BB1E73">
              <w:rPr>
                <w:rFonts w:asciiTheme="minorHAnsi" w:hAnsiTheme="minorHAnsi" w:cstheme="minorHAnsi"/>
                <w:sz w:val="20"/>
              </w:rPr>
              <w:t>železnice-Infrastruktura</w:t>
            </w:r>
            <w:r w:rsidRPr="00BB1E73">
              <w:rPr>
                <w:rFonts w:asciiTheme="minorHAnsi" w:hAnsiTheme="minorHAnsi" w:cstheme="minorHAnsi"/>
                <w:sz w:val="20"/>
              </w:rPr>
              <w:t xml:space="preserve">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Railway infrastructure manager (</w:t>
            </w:r>
            <w:r w:rsidRPr="00BB1E73">
              <w:rPr>
                <w:rFonts w:asciiTheme="minorHAnsi" w:hAnsiTheme="minorHAnsi" w:cstheme="minorHAnsi"/>
                <w:sz w:val="20"/>
              </w:rPr>
              <w:t>Slovenske</w:t>
            </w:r>
            <w:r w:rsidRPr="00BB1E73">
              <w:rPr>
                <w:rFonts w:asciiTheme="minorHAnsi" w:hAnsiTheme="minorHAnsi" w:cstheme="minorHAnsi"/>
                <w:sz w:val="20"/>
              </w:rPr>
              <w:t> </w:t>
            </w:r>
            <w:r w:rsidRPr="00BB1E73">
              <w:rPr>
                <w:rFonts w:asciiTheme="minorHAnsi" w:hAnsiTheme="minorHAnsi" w:cstheme="minorHAnsi"/>
                <w:sz w:val="20"/>
              </w:rPr>
              <w:t>železnice-Infrastruktura</w:t>
            </w:r>
            <w:r w:rsidRPr="00BB1E73">
              <w:rPr>
                <w:rFonts w:asciiTheme="minorHAnsi" w:hAnsiTheme="minorHAnsi" w:cstheme="minorHAnsi"/>
                <w:sz w:val="20"/>
              </w:rPr>
              <w:t> </w:t>
            </w:r>
            <w:r w:rsidRPr="00BB1E73">
              <w:rPr>
                <w:rFonts w:asciiTheme="minorHAnsi" w:hAnsiTheme="minorHAnsi" w:cstheme="minorHAnsi"/>
                <w:sz w:val="20"/>
              </w:rPr>
              <w:t>d.o.o</w:t>
            </w:r>
            <w:r w:rsidRPr="00BB1E73">
              <w:rPr>
                <w:rFonts w:asciiTheme="minorHAnsi" w:hAnsiTheme="minorHAnsi" w:cstheme="minorHAnsi"/>
                <w:sz w:val="20"/>
              </w:rPr>
              <w:t>.)</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Slovenske</w:t>
            </w:r>
            <w:r w:rsidRPr="00BB1E73">
              <w:rPr>
                <w:rFonts w:asciiTheme="minorHAnsi" w:hAnsiTheme="minorHAnsi" w:cstheme="minorHAnsi"/>
                <w:sz w:val="20"/>
              </w:rPr>
              <w:t xml:space="preserve"> </w:t>
            </w:r>
            <w:r w:rsidRPr="00BB1E73">
              <w:rPr>
                <w:rFonts w:asciiTheme="minorHAnsi" w:hAnsiTheme="minorHAnsi" w:cstheme="minorHAnsi"/>
                <w:sz w:val="20"/>
              </w:rPr>
              <w:t>železnice</w:t>
            </w:r>
            <w:r w:rsidRPr="00BB1E73">
              <w:rPr>
                <w:rFonts w:asciiTheme="minorHAnsi" w:hAnsiTheme="minorHAnsi" w:cstheme="minorHAnsi"/>
                <w:sz w:val="20"/>
              </w:rPr>
              <w:t xml:space="preserve"> – </w:t>
            </w:r>
            <w:r w:rsidRPr="00BB1E73">
              <w:rPr>
                <w:rFonts w:asciiTheme="minorHAnsi" w:hAnsiTheme="minorHAnsi" w:cstheme="minorHAnsi"/>
                <w:sz w:val="20"/>
              </w:rPr>
              <w:t>Vleka</w:t>
            </w:r>
            <w:r w:rsidRPr="00BB1E73">
              <w:rPr>
                <w:rFonts w:asciiTheme="minorHAnsi" w:hAnsiTheme="minorHAnsi" w:cstheme="minorHAnsi"/>
                <w:sz w:val="20"/>
              </w:rPr>
              <w:t xml:space="preserve"> in </w:t>
            </w:r>
            <w:r w:rsidRPr="00BB1E73">
              <w:rPr>
                <w:rFonts w:asciiTheme="minorHAnsi" w:hAnsiTheme="minorHAnsi" w:cstheme="minorHAnsi"/>
                <w:sz w:val="20"/>
              </w:rPr>
              <w:t>tehnika</w:t>
            </w:r>
            <w:r w:rsidRPr="00BB1E73">
              <w:rPr>
                <w:rFonts w:asciiTheme="minorHAnsi" w:hAnsiTheme="minorHAnsi" w:cstheme="minorHAnsi"/>
                <w:sz w:val="20"/>
              </w:rPr>
              <w:t xml:space="preserve">, </w:t>
            </w:r>
            <w:r w:rsidRPr="00BB1E73">
              <w:rPr>
                <w:rFonts w:asciiTheme="minorHAnsi" w:hAnsiTheme="minorHAnsi" w:cstheme="minorHAnsi"/>
                <w:sz w:val="20"/>
              </w:rPr>
              <w:t>d.o.o</w:t>
            </w:r>
            <w:r w:rsidRPr="00BB1E73">
              <w:rPr>
                <w:rFonts w:asciiTheme="minorHAnsi" w:hAnsiTheme="minorHAnsi" w:cstheme="minorHAnsi"/>
                <w:sz w:val="20"/>
              </w:rPr>
              <w:t xml:space="preserve">. (SŽ–VIT,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Slovenske</w:t>
            </w:r>
            <w:r w:rsidRPr="00BB1E73">
              <w:rPr>
                <w:rFonts w:asciiTheme="minorHAnsi" w:hAnsiTheme="minorHAnsi" w:cstheme="minorHAnsi"/>
                <w:sz w:val="20"/>
              </w:rPr>
              <w:t> </w:t>
            </w:r>
            <w:r w:rsidRPr="00BB1E73">
              <w:rPr>
                <w:rFonts w:asciiTheme="minorHAnsi" w:hAnsiTheme="minorHAnsi" w:cstheme="minorHAnsi"/>
                <w:sz w:val="20"/>
              </w:rPr>
              <w:t>železnice</w:t>
            </w:r>
            <w:r w:rsidRPr="00BB1E73">
              <w:rPr>
                <w:rFonts w:asciiTheme="minorHAnsi" w:hAnsiTheme="minorHAnsi" w:cstheme="minorHAnsi"/>
                <w:sz w:val="20"/>
              </w:rPr>
              <w:t> </w:t>
            </w:r>
            <w:r w:rsidRPr="00BB1E73">
              <w:noBreakHyphen/>
            </w:r>
            <w:r w:rsidRPr="00BB1E73">
              <w:rPr>
                <w:rFonts w:asciiTheme="minorHAnsi" w:hAnsiTheme="minorHAnsi" w:cstheme="minorHAnsi"/>
                <w:sz w:val="20"/>
              </w:rPr>
              <w:t> </w:t>
            </w:r>
            <w:r w:rsidRPr="00BB1E73">
              <w:rPr>
                <w:rFonts w:asciiTheme="minorHAnsi" w:hAnsiTheme="minorHAnsi" w:cstheme="minorHAnsi"/>
                <w:sz w:val="20"/>
              </w:rPr>
              <w:t>Vleka</w:t>
            </w:r>
            <w:r w:rsidRPr="00BB1E73">
              <w:rPr>
                <w:rFonts w:asciiTheme="minorHAnsi" w:hAnsiTheme="minorHAnsi" w:cstheme="minorHAnsi"/>
                <w:sz w:val="20"/>
              </w:rPr>
              <w:t> in </w:t>
            </w:r>
            <w:r w:rsidRPr="00BB1E73">
              <w:rPr>
                <w:rFonts w:asciiTheme="minorHAnsi" w:hAnsiTheme="minorHAnsi" w:cstheme="minorHAnsi"/>
                <w:sz w:val="20"/>
              </w:rPr>
              <w:t>tehnika</w:t>
            </w:r>
            <w:r w:rsidRPr="00BB1E73">
              <w:rPr>
                <w:rFonts w:asciiTheme="minorHAnsi" w:hAnsiTheme="minorHAnsi" w:cstheme="minorHAnsi"/>
                <w:sz w:val="20"/>
              </w:rPr>
              <w:t>, </w:t>
            </w:r>
            <w:r w:rsidRPr="00BB1E73">
              <w:rPr>
                <w:rFonts w:asciiTheme="minorHAnsi" w:hAnsiTheme="minorHAnsi" w:cstheme="minorHAnsi"/>
                <w:sz w:val="20"/>
              </w:rPr>
              <w:t>d.o.o</w:t>
            </w:r>
            <w:r w:rsidRPr="00BB1E73">
              <w:rPr>
                <w:rFonts w:asciiTheme="minorHAnsi" w:hAnsiTheme="minorHAnsi" w:cstheme="minorHAnsi"/>
                <w:sz w:val="20"/>
              </w:rPr>
              <w:t>. (SŽ</w:t>
            </w:r>
            <w:r w:rsidRPr="00BB1E73">
              <w:noBreakHyphen/>
            </w:r>
            <w:r w:rsidRPr="00BB1E73">
              <w:rPr>
                <w:rFonts w:asciiTheme="minorHAnsi" w:hAnsiTheme="minorHAnsi" w:cstheme="minorHAnsi"/>
                <w:sz w:val="20"/>
              </w:rPr>
              <w:t>VIT, </w:t>
            </w:r>
            <w:r w:rsidRPr="00BB1E73">
              <w:rPr>
                <w:rFonts w:asciiTheme="minorHAnsi" w:hAnsiTheme="minorHAnsi" w:cstheme="minorHAnsi"/>
                <w:sz w:val="20"/>
              </w:rPr>
              <w:t>d.o.o</w:t>
            </w:r>
            <w:r w:rsidRPr="00BB1E73">
              <w:rPr>
                <w:rFonts w:asciiTheme="minorHAnsi" w:hAnsiTheme="minorHAnsi" w:cstheme="minorHAnsi"/>
                <w:sz w:val="20"/>
              </w:rPr>
              <w:t>.)</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Prevoznik</w:t>
            </w:r>
            <w:r w:rsidRPr="00BB1E73">
              <w:rPr>
                <w:rFonts w:asciiTheme="minorHAnsi" w:hAnsiTheme="minorHAnsi" w:cstheme="minorHAnsi"/>
                <w:sz w:val="20"/>
              </w:rPr>
              <w:t xml:space="preserve"> </w:t>
            </w:r>
            <w:r w:rsidRPr="00BB1E73">
              <w:rPr>
                <w:rFonts w:asciiTheme="minorHAnsi" w:hAnsiTheme="minorHAnsi" w:cstheme="minorHAnsi"/>
                <w:sz w:val="20"/>
              </w:rPr>
              <w:t>Slovenske</w:t>
            </w:r>
            <w:r w:rsidRPr="00BB1E73">
              <w:rPr>
                <w:rFonts w:asciiTheme="minorHAnsi" w:hAnsiTheme="minorHAnsi" w:cstheme="minorHAnsi"/>
                <w:sz w:val="20"/>
              </w:rPr>
              <w:t xml:space="preserve"> </w:t>
            </w:r>
            <w:r w:rsidRPr="00BB1E73">
              <w:rPr>
                <w:rFonts w:asciiTheme="minorHAnsi" w:hAnsiTheme="minorHAnsi" w:cstheme="minorHAnsi"/>
                <w:sz w:val="20"/>
              </w:rPr>
              <w:t>železnice</w:t>
            </w:r>
            <w:r w:rsidRPr="00BB1E73">
              <w:rPr>
                <w:rFonts w:asciiTheme="minorHAnsi" w:hAnsiTheme="minorHAnsi" w:cstheme="minorHAnsi"/>
                <w:sz w:val="20"/>
              </w:rPr>
              <w:t xml:space="preserve"> – </w:t>
            </w:r>
            <w:r w:rsidRPr="00BB1E73">
              <w:rPr>
                <w:rFonts w:asciiTheme="minorHAnsi" w:hAnsiTheme="minorHAnsi" w:cstheme="minorHAnsi"/>
                <w:sz w:val="20"/>
              </w:rPr>
              <w:t>Tovorni</w:t>
            </w:r>
            <w:r w:rsidRPr="00BB1E73">
              <w:rPr>
                <w:rFonts w:asciiTheme="minorHAnsi" w:hAnsiTheme="minorHAnsi" w:cstheme="minorHAnsi"/>
                <w:sz w:val="20"/>
              </w:rPr>
              <w:t xml:space="preserve"> </w:t>
            </w:r>
            <w:r w:rsidRPr="00BB1E73">
              <w:rPr>
                <w:rFonts w:asciiTheme="minorHAnsi" w:hAnsiTheme="minorHAnsi" w:cstheme="minorHAnsi"/>
                <w:sz w:val="20"/>
              </w:rPr>
              <w:t>promet</w:t>
            </w:r>
            <w:r w:rsidRPr="00BB1E73">
              <w:rPr>
                <w:rFonts w:asciiTheme="minorHAnsi" w:hAnsiTheme="minorHAnsi" w:cstheme="minorHAnsi"/>
                <w:sz w:val="20"/>
              </w:rPr>
              <w:t xml:space="preserve">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Slovenske</w:t>
            </w:r>
            <w:r w:rsidRPr="00BB1E73">
              <w:rPr>
                <w:rFonts w:asciiTheme="minorHAnsi" w:hAnsiTheme="minorHAnsi" w:cstheme="minorHAnsi"/>
                <w:sz w:val="20"/>
              </w:rPr>
              <w:t> </w:t>
            </w:r>
            <w:r w:rsidRPr="00BB1E73">
              <w:rPr>
                <w:rFonts w:asciiTheme="minorHAnsi" w:hAnsiTheme="minorHAnsi" w:cstheme="minorHAnsi"/>
                <w:sz w:val="20"/>
              </w:rPr>
              <w:t>železnice</w:t>
            </w:r>
            <w:r w:rsidRPr="00BB1E73">
              <w:rPr>
                <w:rFonts w:asciiTheme="minorHAnsi" w:hAnsiTheme="minorHAnsi" w:cstheme="minorHAnsi"/>
                <w:sz w:val="20"/>
              </w:rPr>
              <w:t> </w:t>
            </w:r>
            <w:r w:rsidRPr="00BB1E73">
              <w:noBreakHyphen/>
            </w:r>
            <w:r w:rsidRPr="00BB1E73">
              <w:rPr>
                <w:rFonts w:asciiTheme="minorHAnsi" w:hAnsiTheme="minorHAnsi" w:cstheme="minorHAnsi"/>
                <w:sz w:val="20"/>
              </w:rPr>
              <w:t> </w:t>
            </w:r>
            <w:r w:rsidRPr="00BB1E73">
              <w:rPr>
                <w:rFonts w:asciiTheme="minorHAnsi" w:hAnsiTheme="minorHAnsi" w:cstheme="minorHAnsi"/>
                <w:sz w:val="20"/>
              </w:rPr>
              <w:t>Tovorni</w:t>
            </w:r>
            <w:r w:rsidRPr="00BB1E73">
              <w:rPr>
                <w:rFonts w:asciiTheme="minorHAnsi" w:hAnsiTheme="minorHAnsi" w:cstheme="minorHAnsi"/>
                <w:sz w:val="20"/>
              </w:rPr>
              <w:t> </w:t>
            </w:r>
            <w:r w:rsidRPr="00BB1E73">
              <w:rPr>
                <w:rFonts w:asciiTheme="minorHAnsi" w:hAnsiTheme="minorHAnsi" w:cstheme="minorHAnsi"/>
                <w:sz w:val="20"/>
              </w:rPr>
              <w:t>promet</w:t>
            </w:r>
            <w:r w:rsidRPr="00BB1E73">
              <w:rPr>
                <w:rFonts w:asciiTheme="minorHAnsi" w:hAnsiTheme="minorHAnsi" w:cstheme="minorHAnsi"/>
                <w:sz w:val="20"/>
              </w:rPr>
              <w:t> </w:t>
            </w:r>
            <w:r w:rsidRPr="00BB1E73">
              <w:rPr>
                <w:rFonts w:asciiTheme="minorHAnsi" w:hAnsiTheme="minorHAnsi" w:cstheme="minorHAnsi"/>
                <w:sz w:val="20"/>
              </w:rPr>
              <w:t>d.o.o</w:t>
            </w:r>
            <w:r w:rsidRPr="00BB1E73">
              <w:rPr>
                <w:rFonts w:asciiTheme="minorHAnsi" w:hAnsiTheme="minorHAnsi" w:cstheme="minorHAnsi"/>
                <w:sz w:val="20"/>
              </w:rPr>
              <w:t>. (railway undertaking)</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Prevoznik</w:t>
            </w:r>
            <w:r w:rsidRPr="00BB1E73">
              <w:rPr>
                <w:rFonts w:asciiTheme="minorHAnsi" w:hAnsiTheme="minorHAnsi" w:cstheme="minorHAnsi"/>
                <w:sz w:val="20"/>
              </w:rPr>
              <w:t xml:space="preserve"> </w:t>
            </w:r>
            <w:r w:rsidRPr="00BB1E73">
              <w:rPr>
                <w:rFonts w:asciiTheme="minorHAnsi" w:hAnsiTheme="minorHAnsi" w:cstheme="minorHAnsi"/>
                <w:sz w:val="20"/>
              </w:rPr>
              <w:t>Slovenske</w:t>
            </w:r>
            <w:r w:rsidRPr="00BB1E73">
              <w:rPr>
                <w:rFonts w:asciiTheme="minorHAnsi" w:hAnsiTheme="minorHAnsi" w:cstheme="minorHAnsi"/>
                <w:sz w:val="20"/>
              </w:rPr>
              <w:t xml:space="preserve"> </w:t>
            </w:r>
            <w:r w:rsidRPr="00BB1E73">
              <w:rPr>
                <w:rFonts w:asciiTheme="minorHAnsi" w:hAnsiTheme="minorHAnsi" w:cstheme="minorHAnsi"/>
                <w:sz w:val="20"/>
              </w:rPr>
              <w:t>železnice</w:t>
            </w:r>
            <w:r w:rsidRPr="00BB1E73">
              <w:rPr>
                <w:rFonts w:asciiTheme="minorHAnsi" w:hAnsiTheme="minorHAnsi" w:cstheme="minorHAnsi"/>
                <w:sz w:val="20"/>
              </w:rPr>
              <w:t xml:space="preserve"> – </w:t>
            </w:r>
            <w:r w:rsidRPr="00BB1E73">
              <w:rPr>
                <w:rFonts w:asciiTheme="minorHAnsi" w:hAnsiTheme="minorHAnsi" w:cstheme="minorHAnsi"/>
                <w:sz w:val="20"/>
              </w:rPr>
              <w:t>Potniški</w:t>
            </w:r>
            <w:r w:rsidRPr="00BB1E73">
              <w:rPr>
                <w:rFonts w:asciiTheme="minorHAnsi" w:hAnsiTheme="minorHAnsi" w:cstheme="minorHAnsi"/>
                <w:sz w:val="20"/>
              </w:rPr>
              <w:t xml:space="preserve"> </w:t>
            </w:r>
            <w:r w:rsidRPr="00BB1E73">
              <w:rPr>
                <w:rFonts w:asciiTheme="minorHAnsi" w:hAnsiTheme="minorHAnsi" w:cstheme="minorHAnsi"/>
                <w:sz w:val="20"/>
              </w:rPr>
              <w:t>promet</w:t>
            </w:r>
            <w:r w:rsidRPr="00BB1E73">
              <w:rPr>
                <w:rFonts w:asciiTheme="minorHAnsi" w:hAnsiTheme="minorHAnsi" w:cstheme="minorHAnsi"/>
                <w:sz w:val="20"/>
              </w:rPr>
              <w:t xml:space="preserve">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Slovenske</w:t>
            </w:r>
            <w:r w:rsidRPr="00BB1E73">
              <w:rPr>
                <w:rFonts w:asciiTheme="minorHAnsi" w:hAnsiTheme="minorHAnsi" w:cstheme="minorHAnsi"/>
                <w:sz w:val="20"/>
              </w:rPr>
              <w:t xml:space="preserve"> </w:t>
            </w:r>
            <w:r w:rsidRPr="00BB1E73">
              <w:rPr>
                <w:rFonts w:asciiTheme="minorHAnsi" w:hAnsiTheme="minorHAnsi" w:cstheme="minorHAnsi"/>
                <w:sz w:val="20"/>
              </w:rPr>
              <w:t>železnice</w:t>
            </w:r>
            <w:r w:rsidRPr="00BB1E73">
              <w:rPr>
                <w:rFonts w:asciiTheme="minorHAnsi" w:hAnsiTheme="minorHAnsi" w:cstheme="minorHAnsi"/>
                <w:sz w:val="20"/>
              </w:rPr>
              <w:t> </w:t>
            </w:r>
            <w:r w:rsidRPr="00BB1E73">
              <w:noBreakHyphen/>
            </w:r>
            <w:r w:rsidRPr="00BB1E73">
              <w:rPr>
                <w:rFonts w:asciiTheme="minorHAnsi" w:hAnsiTheme="minorHAnsi" w:cstheme="minorHAnsi"/>
                <w:sz w:val="20"/>
              </w:rPr>
              <w:t> </w:t>
            </w:r>
            <w:r w:rsidRPr="00BB1E73">
              <w:rPr>
                <w:rFonts w:asciiTheme="minorHAnsi" w:hAnsiTheme="minorHAnsi" w:cstheme="minorHAnsi"/>
                <w:sz w:val="20"/>
              </w:rPr>
              <w:t>Potniški</w:t>
            </w:r>
            <w:r w:rsidRPr="00BB1E73">
              <w:rPr>
                <w:rFonts w:asciiTheme="minorHAnsi" w:hAnsiTheme="minorHAnsi" w:cstheme="minorHAnsi"/>
                <w:sz w:val="20"/>
              </w:rPr>
              <w:t> </w:t>
            </w:r>
            <w:r w:rsidRPr="00BB1E73">
              <w:rPr>
                <w:rFonts w:asciiTheme="minorHAnsi" w:hAnsiTheme="minorHAnsi" w:cstheme="minorHAnsi"/>
                <w:sz w:val="20"/>
              </w:rPr>
              <w:t>promet</w:t>
            </w:r>
            <w:r w:rsidRPr="00BB1E73">
              <w:rPr>
                <w:rFonts w:asciiTheme="minorHAnsi" w:hAnsiTheme="minorHAnsi" w:cstheme="minorHAnsi"/>
                <w:sz w:val="20"/>
              </w:rPr>
              <w:t> </w:t>
            </w:r>
            <w:r w:rsidRPr="00BB1E73">
              <w:rPr>
                <w:rFonts w:asciiTheme="minorHAnsi" w:hAnsiTheme="minorHAnsi" w:cstheme="minorHAnsi"/>
                <w:sz w:val="20"/>
              </w:rPr>
              <w:t>d.o.o</w:t>
            </w:r>
            <w:r w:rsidRPr="00BB1E73">
              <w:rPr>
                <w:rFonts w:asciiTheme="minorHAnsi" w:hAnsiTheme="minorHAnsi" w:cstheme="minorHAnsi"/>
                <w:sz w:val="20"/>
              </w:rPr>
              <w:t>. (railway undertaking)</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Prevoznik</w:t>
            </w:r>
            <w:r w:rsidRPr="00BB1E73">
              <w:rPr>
                <w:rFonts w:asciiTheme="minorHAnsi" w:hAnsiTheme="minorHAnsi" w:cstheme="minorHAnsi"/>
                <w:sz w:val="20"/>
              </w:rPr>
              <w:t xml:space="preserve"> RCC – Rail Cargo Carrier – </w:t>
            </w:r>
            <w:r w:rsidRPr="00BB1E73">
              <w:rPr>
                <w:rFonts w:asciiTheme="minorHAnsi" w:hAnsiTheme="minorHAnsi" w:cstheme="minorHAnsi"/>
                <w:sz w:val="20"/>
              </w:rPr>
              <w:t>Slovenija</w:t>
            </w:r>
            <w:r w:rsidRPr="00BB1E73">
              <w:rPr>
                <w:rFonts w:asciiTheme="minorHAnsi" w:hAnsiTheme="minorHAnsi" w:cstheme="minorHAnsi"/>
                <w:sz w:val="20"/>
              </w:rPr>
              <w:t xml:space="preserve">,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RCC (Rail Cargo Carrier </w:t>
            </w:r>
            <w:r w:rsidRPr="00BB1E73">
              <w:noBreakHyphen/>
            </w:r>
            <w:r w:rsidRPr="00BB1E73">
              <w:rPr>
                <w:rFonts w:asciiTheme="minorHAnsi" w:hAnsiTheme="minorHAnsi" w:cstheme="minorHAnsi"/>
                <w:sz w:val="20"/>
              </w:rPr>
              <w:t> </w:t>
            </w:r>
            <w:r w:rsidRPr="00BB1E73">
              <w:rPr>
                <w:rFonts w:asciiTheme="minorHAnsi" w:hAnsiTheme="minorHAnsi" w:cstheme="minorHAnsi"/>
                <w:sz w:val="20"/>
              </w:rPr>
              <w:t>Slovenija</w:t>
            </w:r>
            <w:r w:rsidRPr="00BB1E73">
              <w:rPr>
                <w:rFonts w:asciiTheme="minorHAnsi" w:hAnsiTheme="minorHAnsi" w:cstheme="minorHAnsi"/>
                <w:sz w:val="20"/>
              </w:rPr>
              <w:t>, </w:t>
            </w:r>
            <w:r w:rsidRPr="00BB1E73">
              <w:rPr>
                <w:rFonts w:asciiTheme="minorHAnsi" w:hAnsiTheme="minorHAnsi" w:cstheme="minorHAnsi"/>
                <w:sz w:val="20"/>
              </w:rPr>
              <w:t>d.o.o</w:t>
            </w:r>
            <w:r w:rsidRPr="00BB1E73">
              <w:rPr>
                <w:rFonts w:asciiTheme="minorHAnsi" w:hAnsiTheme="minorHAnsi" w:cstheme="minorHAnsi"/>
                <w:sz w:val="20"/>
              </w:rPr>
              <w:t>.) (railway undertaking)</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Prevoznik</w:t>
            </w:r>
            <w:r w:rsidRPr="00BB1E73">
              <w:rPr>
                <w:rFonts w:asciiTheme="minorHAnsi" w:hAnsiTheme="minorHAnsi" w:cstheme="minorHAnsi"/>
                <w:sz w:val="20"/>
              </w:rPr>
              <w:t xml:space="preserve"> Adria transport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Adria transport </w:t>
            </w:r>
            <w:r w:rsidRPr="00BB1E73">
              <w:rPr>
                <w:rFonts w:asciiTheme="minorHAnsi" w:hAnsiTheme="minorHAnsi" w:cstheme="minorHAnsi"/>
                <w:sz w:val="20"/>
              </w:rPr>
              <w:t>d.o.o</w:t>
            </w:r>
            <w:r w:rsidRPr="00BB1E73">
              <w:rPr>
                <w:rFonts w:asciiTheme="minorHAnsi" w:hAnsiTheme="minorHAnsi" w:cstheme="minorHAnsi"/>
                <w:sz w:val="20"/>
              </w:rPr>
              <w:t>. (railway undertaking)</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 xml:space="preserve">Luka Koper </w:t>
            </w:r>
            <w:r w:rsidRPr="00BB1E73">
              <w:rPr>
                <w:rFonts w:asciiTheme="minorHAnsi" w:hAnsiTheme="minorHAnsi" w:cstheme="minorHAnsi"/>
                <w:sz w:val="20"/>
              </w:rPr>
              <w:t>d.d</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Luka Koper </w:t>
            </w:r>
            <w:r w:rsidRPr="00BB1E73">
              <w:rPr>
                <w:rFonts w:asciiTheme="minorHAnsi" w:hAnsiTheme="minorHAnsi" w:cstheme="minorHAnsi"/>
                <w:sz w:val="20"/>
              </w:rPr>
              <w:t>d.d</w:t>
            </w:r>
            <w:r w:rsidRPr="00BB1E73">
              <w:rPr>
                <w:rFonts w:asciiTheme="minorHAnsi" w:hAnsiTheme="minorHAnsi" w:cstheme="minorHAnsi"/>
                <w:sz w:val="20"/>
              </w:rPr>
              <w:t>.</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Primol</w:t>
            </w:r>
            <w:r w:rsidRPr="00BB1E73">
              <w:rPr>
                <w:rFonts w:asciiTheme="minorHAnsi" w:hAnsiTheme="minorHAnsi" w:cstheme="minorHAnsi"/>
                <w:sz w:val="20"/>
              </w:rPr>
              <w:t xml:space="preserve"> - Rail, </w:t>
            </w:r>
            <w:r w:rsidRPr="00BB1E73">
              <w:rPr>
                <w:rFonts w:asciiTheme="minorHAnsi" w:hAnsiTheme="minorHAnsi" w:cstheme="minorHAnsi"/>
                <w:sz w:val="20"/>
              </w:rPr>
              <w:t>d.o.o</w:t>
            </w:r>
            <w:r w:rsidRPr="00BB1E73">
              <w:rPr>
                <w:rFonts w:asciiTheme="minorHAnsi" w:hAnsiTheme="minorHAnsi" w:cstheme="minorHAnsi"/>
                <w:sz w:val="20"/>
              </w:rPr>
              <w:t>.</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Primol</w:t>
            </w:r>
            <w:r w:rsidRPr="00BB1E73">
              <w:rPr>
                <w:rFonts w:asciiTheme="minorHAnsi" w:hAnsiTheme="minorHAnsi" w:cstheme="minorHAnsi"/>
                <w:sz w:val="20"/>
              </w:rPr>
              <w:t>-Rail, </w:t>
            </w:r>
            <w:r w:rsidRPr="00BB1E73">
              <w:rPr>
                <w:rFonts w:asciiTheme="minorHAnsi" w:hAnsiTheme="minorHAnsi" w:cstheme="minorHAnsi"/>
                <w:sz w:val="20"/>
              </w:rPr>
              <w:t>d.o.o</w:t>
            </w:r>
            <w:r w:rsidRPr="00BB1E73">
              <w:rPr>
                <w:rFonts w:asciiTheme="minorHAnsi" w:hAnsiTheme="minorHAnsi" w:cstheme="minorHAnsi"/>
                <w:sz w:val="20"/>
              </w:rPr>
              <w:t>.</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Javna</w:t>
            </w:r>
            <w:r w:rsidRPr="00BB1E73">
              <w:rPr>
                <w:rFonts w:asciiTheme="minorHAnsi" w:hAnsiTheme="minorHAnsi" w:cstheme="minorHAnsi"/>
                <w:sz w:val="20"/>
              </w:rPr>
              <w:t xml:space="preserve"> </w:t>
            </w:r>
            <w:r w:rsidRPr="00BB1E73">
              <w:rPr>
                <w:rFonts w:asciiTheme="minorHAnsi" w:hAnsiTheme="minorHAnsi" w:cstheme="minorHAnsi"/>
                <w:sz w:val="20"/>
              </w:rPr>
              <w:t>agencija</w:t>
            </w:r>
            <w:r w:rsidRPr="00BB1E73">
              <w:rPr>
                <w:rFonts w:asciiTheme="minorHAnsi" w:hAnsiTheme="minorHAnsi" w:cstheme="minorHAnsi"/>
                <w:sz w:val="20"/>
              </w:rPr>
              <w:t xml:space="preserve"> </w:t>
            </w:r>
            <w:r w:rsidRPr="00BB1E73">
              <w:rPr>
                <w:rFonts w:asciiTheme="minorHAnsi" w:hAnsiTheme="minorHAnsi" w:cstheme="minorHAnsi"/>
                <w:sz w:val="20"/>
              </w:rPr>
              <w:t>za</w:t>
            </w:r>
            <w:r w:rsidRPr="00BB1E73">
              <w:rPr>
                <w:rFonts w:asciiTheme="minorHAnsi" w:hAnsiTheme="minorHAnsi" w:cstheme="minorHAnsi"/>
                <w:sz w:val="20"/>
              </w:rPr>
              <w:t xml:space="preserve"> </w:t>
            </w:r>
            <w:r w:rsidRPr="00BB1E73">
              <w:rPr>
                <w:rFonts w:asciiTheme="minorHAnsi" w:hAnsiTheme="minorHAnsi" w:cstheme="minorHAnsi"/>
                <w:sz w:val="20"/>
              </w:rPr>
              <w:t>železniški</w:t>
            </w:r>
            <w:r w:rsidRPr="00BB1E73">
              <w:rPr>
                <w:rFonts w:asciiTheme="minorHAnsi" w:hAnsiTheme="minorHAnsi" w:cstheme="minorHAnsi"/>
                <w:sz w:val="20"/>
              </w:rPr>
              <w:t xml:space="preserve"> </w:t>
            </w:r>
            <w:r w:rsidRPr="00BB1E73">
              <w:rPr>
                <w:rFonts w:asciiTheme="minorHAnsi" w:hAnsiTheme="minorHAnsi" w:cstheme="minorHAnsi"/>
                <w:sz w:val="20"/>
              </w:rPr>
              <w:t>promet</w:t>
            </w:r>
            <w:r w:rsidRPr="00BB1E73">
              <w:rPr>
                <w:rFonts w:asciiTheme="minorHAnsi" w:hAnsiTheme="minorHAnsi" w:cstheme="minorHAnsi"/>
                <w:sz w:val="20"/>
              </w:rPr>
              <w:t xml:space="preserve"> AŽP R </w:t>
            </w:r>
            <w:r w:rsidRPr="00BB1E73">
              <w:rPr>
                <w:rFonts w:asciiTheme="minorHAnsi" w:hAnsiTheme="minorHAnsi" w:cstheme="minorHAnsi"/>
                <w:sz w:val="20"/>
              </w:rPr>
              <w:t>Slovenije</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Public Agency of the Republic of Slovenia for Railway Transport</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Ministrstvo</w:t>
            </w:r>
            <w:r w:rsidRPr="00BB1E73">
              <w:rPr>
                <w:rFonts w:asciiTheme="minorHAnsi" w:hAnsiTheme="minorHAnsi" w:cstheme="minorHAnsi"/>
                <w:sz w:val="20"/>
              </w:rPr>
              <w:t xml:space="preserve"> </w:t>
            </w:r>
            <w:r w:rsidRPr="00BB1E73">
              <w:rPr>
                <w:rFonts w:asciiTheme="minorHAnsi" w:hAnsiTheme="minorHAnsi" w:cstheme="minorHAnsi"/>
                <w:sz w:val="20"/>
              </w:rPr>
              <w:t>za</w:t>
            </w:r>
            <w:r w:rsidRPr="00BB1E73">
              <w:rPr>
                <w:rFonts w:asciiTheme="minorHAnsi" w:hAnsiTheme="minorHAnsi" w:cstheme="minorHAnsi"/>
                <w:sz w:val="20"/>
              </w:rPr>
              <w:t xml:space="preserve"> </w:t>
            </w:r>
            <w:r w:rsidRPr="00BB1E73">
              <w:rPr>
                <w:rFonts w:asciiTheme="minorHAnsi" w:hAnsiTheme="minorHAnsi" w:cstheme="minorHAnsi"/>
                <w:sz w:val="20"/>
              </w:rPr>
              <w:t>notranje</w:t>
            </w:r>
            <w:r w:rsidRPr="00BB1E73">
              <w:rPr>
                <w:rFonts w:asciiTheme="minorHAnsi" w:hAnsiTheme="minorHAnsi" w:cstheme="minorHAnsi"/>
                <w:sz w:val="20"/>
              </w:rPr>
              <w:t xml:space="preserve"> </w:t>
            </w:r>
            <w:r w:rsidRPr="00BB1E73">
              <w:rPr>
                <w:rFonts w:asciiTheme="minorHAnsi" w:hAnsiTheme="minorHAnsi" w:cstheme="minorHAnsi"/>
                <w:sz w:val="20"/>
              </w:rPr>
              <w:t>zadeve</w:t>
            </w:r>
            <w:r w:rsidRPr="00BB1E73">
              <w:rPr>
                <w:rFonts w:asciiTheme="minorHAnsi" w:hAnsiTheme="minorHAnsi" w:cstheme="minorHAnsi"/>
                <w:sz w:val="20"/>
              </w:rPr>
              <w:t xml:space="preserve"> R </w:t>
            </w:r>
            <w:r w:rsidRPr="00BB1E73">
              <w:rPr>
                <w:rFonts w:asciiTheme="minorHAnsi" w:hAnsiTheme="minorHAnsi" w:cstheme="minorHAnsi"/>
                <w:sz w:val="20"/>
              </w:rPr>
              <w:t>Slovenije</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Ministry of the Interior of the Republic of Slovenia</w:t>
            </w:r>
          </w:p>
        </w:tc>
      </w:tr>
      <w:tr w:rsidTr="00274B25">
        <w:tblPrEx>
          <w:tblW w:w="9526" w:type="dxa"/>
          <w:tblLook w:val="04A0"/>
        </w:tblPrEx>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Ministrstvo</w:t>
            </w:r>
            <w:r w:rsidRPr="00BB1E73">
              <w:rPr>
                <w:rFonts w:asciiTheme="minorHAnsi" w:hAnsiTheme="minorHAnsi" w:cstheme="minorHAnsi"/>
                <w:sz w:val="20"/>
              </w:rPr>
              <w:t xml:space="preserve"> </w:t>
            </w:r>
            <w:r w:rsidRPr="00BB1E73">
              <w:rPr>
                <w:rFonts w:asciiTheme="minorHAnsi" w:hAnsiTheme="minorHAnsi" w:cstheme="minorHAnsi"/>
                <w:sz w:val="20"/>
              </w:rPr>
              <w:t>za</w:t>
            </w:r>
            <w:r w:rsidRPr="00BB1E73">
              <w:rPr>
                <w:rFonts w:asciiTheme="minorHAnsi" w:hAnsiTheme="minorHAnsi" w:cstheme="minorHAnsi"/>
                <w:sz w:val="20"/>
              </w:rPr>
              <w:t xml:space="preserve"> </w:t>
            </w:r>
            <w:r w:rsidRPr="00BB1E73">
              <w:rPr>
                <w:rFonts w:asciiTheme="minorHAnsi" w:hAnsiTheme="minorHAnsi" w:cstheme="minorHAnsi"/>
                <w:sz w:val="20"/>
              </w:rPr>
              <w:t>pravosodje</w:t>
            </w:r>
            <w:r w:rsidRPr="00BB1E73">
              <w:rPr>
                <w:rFonts w:asciiTheme="minorHAnsi" w:hAnsiTheme="minorHAnsi" w:cstheme="minorHAnsi"/>
                <w:sz w:val="20"/>
              </w:rPr>
              <w:t xml:space="preserve"> R </w:t>
            </w:r>
            <w:r w:rsidRPr="00BB1E73">
              <w:rPr>
                <w:rFonts w:asciiTheme="minorHAnsi" w:hAnsiTheme="minorHAnsi" w:cstheme="minorHAnsi"/>
                <w:sz w:val="20"/>
              </w:rPr>
              <w:t>Slovenije</w:t>
            </w:r>
          </w:p>
        </w:tc>
        <w:tc>
          <w:tcPr>
            <w:tcW w:w="4763" w:type="dxa"/>
          </w:tcPr>
          <w:p w:rsidR="00274B25" w:rsidRPr="00BB1E73" w:rsidP="00274B25">
            <w:pPr>
              <w:pStyle w:val="BodyText"/>
              <w:rPr>
                <w:rFonts w:asciiTheme="minorHAnsi" w:hAnsiTheme="minorHAnsi" w:cstheme="minorHAnsi"/>
                <w:sz w:val="20"/>
              </w:rPr>
            </w:pPr>
            <w:r w:rsidRPr="00BB1E73">
              <w:rPr>
                <w:rFonts w:asciiTheme="minorHAnsi" w:hAnsiTheme="minorHAnsi" w:cstheme="minorHAnsi"/>
                <w:sz w:val="20"/>
              </w:rPr>
              <w:t>Ministry of Justice of the Republic of Slovenia</w:t>
            </w:r>
          </w:p>
        </w:tc>
      </w:tr>
    </w:tbl>
    <w:p w:rsidR="009A62BA" w:rsidRPr="00BB1E73">
      <w:pPr>
        <w:pStyle w:val="BodyText"/>
        <w:rPr>
          <w:rFonts w:ascii="Times New Roman"/>
          <w:sz w:val="20"/>
        </w:rPr>
      </w:pPr>
    </w:p>
    <w:p w:rsidR="005854EB" w:rsidRPr="00BB1E73">
      <w:pPr>
        <w:pStyle w:val="BodyText"/>
        <w:spacing w:before="11"/>
        <w:rPr>
          <w:rFonts w:ascii="Times New Roman"/>
          <w:sz w:val="17"/>
        </w:rPr>
      </w:pPr>
    </w:p>
    <w:p w:rsidR="005854EB" w:rsidRPr="00BB1E73" w:rsidP="00BB1E73">
      <w:pPr>
        <w:pStyle w:val="Heading2"/>
        <w:numPr>
          <w:ilvl w:val="1"/>
          <w:numId w:val="5"/>
        </w:numPr>
        <w:tabs>
          <w:tab w:val="left" w:pos="720"/>
        </w:tabs>
        <w:spacing w:before="65" w:line="237" w:lineRule="auto"/>
        <w:ind w:right="521" w:hanging="600"/>
      </w:pPr>
      <w:bookmarkStart w:id="13" w:name="_Toc503796866"/>
      <w:bookmarkStart w:id="14" w:name="_Toc506208151"/>
      <w:r w:rsidRPr="00BB1E73">
        <w:t>Approach to accident investigation (philosophy and approach when deciding whether to investigate an accident in the country, and the level of mobility, readiness and timeliness)</w:t>
      </w:r>
      <w:bookmarkEnd w:id="13"/>
      <w:bookmarkEnd w:id="14"/>
    </w:p>
    <w:p w:rsidR="005854EB" w:rsidRPr="00BB1E73">
      <w:pPr>
        <w:pStyle w:val="BodyText"/>
        <w:ind w:left="719" w:right="685"/>
        <w:jc w:val="both"/>
      </w:pPr>
      <w:r w:rsidRPr="00BB1E73">
        <w:t xml:space="preserve">Under the provisions of Article 29 of the Railway Safety Act (ZVZelP-UPB3, UL RS, No 56/2013, </w:t>
      </w:r>
      <w:r w:rsidRPr="00BB1E73">
        <w:t>2</w:t>
      </w:r>
      <w:r w:rsidRPr="00BB1E73">
        <w:t> July 2013), the competent authorities, railway undertakings, the railway infrastructure manager and other entities involved are obliged to enable the investigating body to conduct its tasks efficiently, speedily and independently. Past practice demonstrates that there is complete compliance with the prescribed provisions.</w:t>
      </w:r>
    </w:p>
    <w:p w:rsidR="005854EB" w:rsidRPr="00BB1E73">
      <w:pPr>
        <w:pStyle w:val="BodyText"/>
        <w:spacing w:before="237" w:line="242" w:lineRule="auto"/>
        <w:ind w:left="719" w:right="686"/>
        <w:jc w:val="both"/>
      </w:pPr>
      <w:r w:rsidRPr="00BB1E73">
        <w:t xml:space="preserve">Article 26 of the Railway Transport Act (ZZelP-UPB8, UL RS, No 99/2015, </w:t>
      </w:r>
      <w:r w:rsidRPr="00BB1E73">
        <w:t>21</w:t>
      </w:r>
      <w:r w:rsidRPr="00BB1E73">
        <w:t> December 2015) provides that the investigating body must investigate all serious accidents.</w:t>
      </w:r>
    </w:p>
    <w:p w:rsidR="005854EB" w:rsidRPr="00BB1E73">
      <w:pPr>
        <w:pStyle w:val="BodyText"/>
        <w:spacing w:before="234"/>
        <w:ind w:left="719" w:right="688"/>
        <w:jc w:val="both"/>
      </w:pPr>
      <w:r w:rsidRPr="00BB1E73">
        <w:t>The investigating body may, at its own discretion, also decide to investigate accidents, and incidents that could cause accidents in similar circumstances, including cases of technical malfunctions of structural subsystems or railway system interoperability components.</w:t>
      </w:r>
    </w:p>
    <w:p w:rsidR="005854EB" w:rsidRPr="00BB1E73">
      <w:pPr>
        <w:pStyle w:val="BodyText"/>
        <w:spacing w:before="238"/>
        <w:ind w:left="719" w:right="688"/>
        <w:jc w:val="both"/>
      </w:pPr>
      <w:r w:rsidRPr="00BB1E73">
        <w:t>The investigating body complies with all the provisions of the relevant act. Due to a shortage of staff, the body charged with investigating railway accidents and incidents is obliged to consider, in particular, which accidents or incidents (in addition to serious accidents) will be investigated.</w:t>
      </w:r>
    </w:p>
    <w:p w:rsidR="005854EB" w:rsidRPr="00BB1E73">
      <w:pPr>
        <w:pStyle w:val="BodyText"/>
        <w:spacing w:before="238" w:line="242" w:lineRule="auto"/>
        <w:ind w:left="719" w:right="691"/>
        <w:jc w:val="both"/>
      </w:pPr>
      <w:r w:rsidRPr="00BB1E73">
        <w:t>In addition to its normal working hours, the body charged with investigating railway accidents and incidents is also on permanent standby.</w:t>
      </w:r>
    </w:p>
    <w:p w:rsidR="005854EB" w:rsidRPr="00BB1E73">
      <w:pPr>
        <w:pStyle w:val="BodyText"/>
        <w:spacing w:before="234"/>
        <w:ind w:left="719" w:right="691"/>
        <w:jc w:val="both"/>
      </w:pPr>
      <w:r w:rsidRPr="00BB1E73">
        <w:t>The chief investigator has an official identity card that outlines his powers and proves his identity. The official identity card is prescribed by the minister responsible for transport.</w:t>
      </w:r>
    </w:p>
    <w:p w:rsidR="005854EB" w:rsidRPr="00BB1E73">
      <w:pPr>
        <w:pStyle w:val="BodyText"/>
        <w:spacing w:before="239"/>
        <w:ind w:left="719" w:right="690"/>
        <w:jc w:val="both"/>
      </w:pPr>
      <w:r w:rsidRPr="00BB1E73">
        <w:t>One of the Ministry of Infrastructure’s official cars is at the disposal of the chief investigator. Should a vehicle not be available, the chief investigator’s own vehicle is used.</w:t>
      </w:r>
    </w:p>
    <w:p w:rsidR="005854EB" w:rsidRPr="00BB1E73" w:rsidP="00C8304A">
      <w:pPr>
        <w:pStyle w:val="BodyText"/>
        <w:spacing w:before="239"/>
        <w:ind w:left="719" w:right="690"/>
        <w:jc w:val="both"/>
      </w:pPr>
      <w:r w:rsidRPr="00BB1E73">
        <w:t>The organisation of readiness and mobility as outlined above ensures that the investigator is able to inspect the scene of an event and launch investigative procedures in good time.</w:t>
      </w:r>
    </w:p>
    <w:p w:rsidR="005854EB" w:rsidRPr="00BB1E73" w:rsidP="006A0FCD">
      <w:pPr>
        <w:pStyle w:val="BodyText"/>
        <w:keepLines/>
        <w:spacing w:before="239"/>
        <w:ind w:left="720" w:right="692"/>
        <w:jc w:val="both"/>
      </w:pPr>
      <w:r w:rsidRPr="00BB1E73">
        <w:t>From his home and workplace, which are both located in the middle of Slovenia in his case, the chief investigator is two hours away from the furthest point of the railway network when travelling by car and in view of the roads available.</w:t>
      </w:r>
    </w:p>
    <w:p w:rsidR="005854EB" w:rsidRPr="00BB1E73">
      <w:pPr>
        <w:pStyle w:val="BodyText"/>
        <w:rPr>
          <w:sz w:val="30"/>
        </w:rPr>
      </w:pPr>
    </w:p>
    <w:p w:rsidR="005854EB" w:rsidRPr="00BB1E73">
      <w:pPr>
        <w:pStyle w:val="BodyText"/>
        <w:spacing w:before="8"/>
        <w:rPr>
          <w:sz w:val="38"/>
        </w:rPr>
      </w:pPr>
    </w:p>
    <w:p w:rsidR="005854EB" w:rsidRPr="00BB1E73" w:rsidP="00FD5E06">
      <w:pPr>
        <w:pStyle w:val="Heading1"/>
        <w:pageBreakBefore w:val="0"/>
        <w:numPr>
          <w:ilvl w:val="0"/>
          <w:numId w:val="5"/>
        </w:numPr>
        <w:tabs>
          <w:tab w:val="left" w:pos="617"/>
          <w:tab w:val="left" w:pos="618"/>
        </w:tabs>
        <w:spacing w:before="0"/>
        <w:ind w:left="618" w:hanging="499"/>
      </w:pPr>
      <w:bookmarkStart w:id="15" w:name="_Toc503796867"/>
      <w:bookmarkStart w:id="16" w:name="_Toc506208152"/>
      <w:r w:rsidRPr="00BB1E73">
        <w:t>INVESTIGATION PROCEDURE</w:t>
      </w:r>
      <w:bookmarkEnd w:id="15"/>
      <w:bookmarkEnd w:id="16"/>
    </w:p>
    <w:p w:rsidR="005854EB" w:rsidRPr="00BB1E73" w:rsidP="00DB55A1">
      <w:pPr>
        <w:pStyle w:val="Heading2"/>
        <w:numPr>
          <w:ilvl w:val="1"/>
          <w:numId w:val="4"/>
        </w:numPr>
        <w:tabs>
          <w:tab w:val="left" w:pos="695"/>
        </w:tabs>
        <w:spacing w:before="249" w:line="319" w:lineRule="exact"/>
        <w:ind w:right="521" w:hanging="600"/>
        <w:jc w:val="both"/>
      </w:pPr>
      <w:bookmarkStart w:id="17" w:name="_Toc503796868"/>
      <w:bookmarkStart w:id="18" w:name="_Toc506208153"/>
      <w:r w:rsidRPr="00BB1E73">
        <w:t>Cases investigated: mandatory and non-mandatory under Articles 19 and 21 of the Railway Safety Directive</w:t>
      </w:r>
      <w:bookmarkEnd w:id="17"/>
      <w:bookmarkEnd w:id="18"/>
    </w:p>
    <w:p w:rsidR="005854EB" w:rsidRPr="00BB1E73">
      <w:pPr>
        <w:pStyle w:val="BodyText"/>
        <w:ind w:left="719" w:right="687"/>
        <w:jc w:val="both"/>
      </w:pPr>
      <w:r w:rsidRPr="00BB1E73">
        <w:t>The investigating body investigates serious railway accidents, accidents and incidents. Under the Railway Transport Act (ZZelP-UPB8, UL RS, No 99/2015, 21 December 2015), the investigating body investigates all serious accidents and may, at its own discretion as prescribed, also decide to investigate accidents, and incidents that could cause serious accidents in similar circumstances, including cases of technical malfunctions of structural subsystems or railway system interoperability components.</w:t>
      </w:r>
    </w:p>
    <w:p w:rsidR="005854EB" w:rsidRPr="00BB1E73">
      <w:pPr>
        <w:pStyle w:val="BodyText"/>
        <w:spacing w:before="242"/>
        <w:ind w:left="719" w:right="685"/>
        <w:jc w:val="both"/>
      </w:pPr>
      <w:r w:rsidRPr="00BB1E73">
        <w:t>Under the Railway Transport Act (ZZelP-UPB3, UL RS, No 56/2013, 2 July 2013), a ‘serious accident’ means any train collision or derailment of trains resulting in the death of at least one person, serious injuries to five or more persons or extensive damage to rolling stock, infrastructure or the environment, and any other similar accident with an obvious impact on railway safety regulation or safety management. ‘Extensive damage’ means damage that can be assessed on the spot by the chief railway accident investigator and that exceeds EUR 2 million.</w:t>
      </w:r>
    </w:p>
    <w:p w:rsidR="005854EB" w:rsidRPr="00BB1E73">
      <w:pPr>
        <w:pStyle w:val="BodyText"/>
        <w:spacing w:before="241"/>
        <w:ind w:left="719" w:right="686"/>
        <w:jc w:val="both"/>
      </w:pPr>
      <w:r w:rsidRPr="00BB1E73">
        <w:t>The Slovenian railway investigating body complies with the above legal provisions and investigates all serious accidents, as well as accidents and incidents that could cause serious accidents or accidents in similar circumstances. It investigates accidents and incidents at its own discretion.</w:t>
      </w:r>
    </w:p>
    <w:p w:rsidR="005854EB" w:rsidRPr="00BB1E73" w:rsidP="008155CE">
      <w:pPr>
        <w:pStyle w:val="Heading2"/>
        <w:numPr>
          <w:ilvl w:val="1"/>
          <w:numId w:val="4"/>
        </w:numPr>
        <w:tabs>
          <w:tab w:val="left" w:pos="695"/>
        </w:tabs>
        <w:spacing w:line="235" w:lineRule="auto"/>
        <w:ind w:left="720" w:right="238" w:hanging="601"/>
      </w:pPr>
      <w:bookmarkStart w:id="19" w:name="_Toc503796869"/>
      <w:bookmarkStart w:id="20" w:name="_Toc506208154"/>
      <w:r w:rsidRPr="00BB1E73">
        <w:t>Institutions participating in investigations (as a matter of course or in exceptional circumstances)</w:t>
      </w:r>
      <w:bookmarkEnd w:id="19"/>
      <w:bookmarkEnd w:id="20"/>
    </w:p>
    <w:p w:rsidR="005854EB" w:rsidRPr="00BB1E73" w:rsidP="00C8304A">
      <w:pPr>
        <w:pStyle w:val="BodyText"/>
        <w:spacing w:before="238"/>
        <w:ind w:left="719" w:right="689"/>
        <w:jc w:val="both"/>
      </w:pPr>
      <w:r w:rsidRPr="00BB1E73">
        <w:t>The chief railway accident investigator at the Slovenian ministry responsible for transport ordinarily includes reports drawn up by officials at the Ministry of the Interior and, in exceptional circumstances, by judicial bodies.</w:t>
      </w:r>
    </w:p>
    <w:p w:rsidR="005854EB" w:rsidRPr="00BB1E73" w:rsidP="00C8304A">
      <w:pPr>
        <w:pStyle w:val="BodyText"/>
        <w:spacing w:before="238"/>
        <w:ind w:left="719" w:right="689"/>
        <w:jc w:val="both"/>
      </w:pPr>
      <w:r w:rsidRPr="00BB1E73">
        <w:t>Where the need arises for an analysis of chemical substances and other types of material, the investigating body involves in the investigation competent independent and licensed organisations with laboratories, e.g. the </w:t>
      </w:r>
      <w:r w:rsidRPr="00BB1E73">
        <w:t>Jožef</w:t>
      </w:r>
      <w:r w:rsidRPr="00BB1E73">
        <w:t> Stefan Institute, the Institute for Materials Research, the Institute for Metal Structures, etc.</w:t>
      </w:r>
    </w:p>
    <w:p w:rsidR="005854EB" w:rsidRPr="00BB1E73">
      <w:pPr>
        <w:pStyle w:val="BodyText"/>
        <w:spacing w:before="238"/>
        <w:ind w:left="719" w:right="689"/>
        <w:jc w:val="both"/>
      </w:pPr>
      <w:r w:rsidRPr="00BB1E73">
        <w:t>If there is a need to examine the bodies of victims, the Institute for Forensic Medicine is also involved in the investigation.</w:t>
      </w:r>
    </w:p>
    <w:p w:rsidR="005854EB" w:rsidRPr="00BB1E73">
      <w:pPr>
        <w:pStyle w:val="BodyText"/>
        <w:spacing w:before="239"/>
        <w:ind w:left="719" w:right="687"/>
        <w:jc w:val="both"/>
      </w:pPr>
      <w:r w:rsidRPr="00BB1E73">
        <w:t>When the need arises for reproductions of verbal communications, experts from the railway infrastructure operator that handle such equipment are involved in the investigation. Experts from the infrastructure operator are also involved if an analysis of the databases of signalling-safety devices is required. Experts from railway undertakings are involved if an analysis of train-driving databases is required.</w:t>
      </w:r>
    </w:p>
    <w:p w:rsidR="005854EB" w:rsidRPr="00BB1E73">
      <w:pPr>
        <w:pStyle w:val="Heading2"/>
        <w:numPr>
          <w:ilvl w:val="1"/>
          <w:numId w:val="4"/>
        </w:numPr>
        <w:tabs>
          <w:tab w:val="left" w:pos="695"/>
        </w:tabs>
        <w:spacing w:before="248" w:line="235" w:lineRule="auto"/>
        <w:ind w:right="1094" w:hanging="600"/>
      </w:pPr>
      <w:bookmarkStart w:id="21" w:name="_Toc503796870"/>
      <w:bookmarkStart w:id="22" w:name="_Toc506208155"/>
      <w:r w:rsidRPr="00BB1E73">
        <w:t>Investigation procedure and the investigating body’s approach (as under point 1.5 but in greater detail)</w:t>
      </w:r>
      <w:bookmarkEnd w:id="21"/>
      <w:bookmarkEnd w:id="22"/>
    </w:p>
    <w:p w:rsidR="005854EB" w:rsidRPr="00BB1E73">
      <w:pPr>
        <w:pStyle w:val="BodyText"/>
        <w:ind w:left="719" w:right="687"/>
        <w:jc w:val="both"/>
      </w:pPr>
      <w:r w:rsidRPr="00BB1E73">
        <w:t xml:space="preserve">Under Article 29 of the Railway Safety Act (ZVZelP-UPB3, UL RS, No 56/2013, </w:t>
      </w:r>
      <w:r w:rsidRPr="00BB1E73">
        <w:t>2</w:t>
      </w:r>
      <w:r w:rsidRPr="00BB1E73">
        <w:t> July 2013), the competent authorities, railway undertakings, the railway infrastructure manager and other entities involved are obliged to enable the investigating body to conduct its tasks efficiently, speedily and independently. This has been the case up to now.</w:t>
      </w:r>
    </w:p>
    <w:p w:rsidR="005854EB" w:rsidRPr="00BB1E73">
      <w:pPr>
        <w:pStyle w:val="BodyText"/>
        <w:spacing w:before="243"/>
        <w:ind w:left="719" w:right="691"/>
        <w:jc w:val="both"/>
      </w:pPr>
      <w:r w:rsidRPr="00BB1E73">
        <w:t xml:space="preserve">Article 29 of the Railway Traffic Safety Act (ZVZeIP-UPB1, UL RS, No 56/2013, </w:t>
      </w:r>
      <w:r w:rsidRPr="00BB1E73">
        <w:t>2</w:t>
      </w:r>
      <w:r w:rsidRPr="00BB1E73">
        <w:t xml:space="preserve"> July 2013) makes it obligatory for the competent authority, railway undertakings, the railway infrastructure manager and other entities involved to provide </w:t>
      </w:r>
      <w:r w:rsidRPr="00BB1E73">
        <w:t>the investigating body with:</w:t>
      </w:r>
    </w:p>
    <w:p w:rsidR="005854EB" w:rsidRPr="00BB1E73">
      <w:pPr>
        <w:pStyle w:val="ListParagraph"/>
        <w:numPr>
          <w:ilvl w:val="0"/>
          <w:numId w:val="3"/>
        </w:numPr>
        <w:tabs>
          <w:tab w:val="left" w:pos="1118"/>
        </w:tabs>
        <w:spacing w:before="238"/>
        <w:ind w:right="692" w:hanging="398"/>
        <w:jc w:val="both"/>
        <w:rPr>
          <w:sz w:val="28"/>
        </w:rPr>
      </w:pPr>
      <w:r w:rsidRPr="00BB1E73">
        <w:rPr>
          <w:sz w:val="28"/>
        </w:rPr>
        <w:t>free access to the site of the accident, serious accident or incident, to the rolling stock and infrastructural facilities involved, and to traffic control and signalling facilities and devices;</w:t>
      </w:r>
    </w:p>
    <w:p w:rsidR="005854EB" w:rsidRPr="00BB1E73">
      <w:pPr>
        <w:pStyle w:val="ListParagraph"/>
        <w:numPr>
          <w:ilvl w:val="0"/>
          <w:numId w:val="3"/>
        </w:numPr>
        <w:tabs>
          <w:tab w:val="left" w:pos="1118"/>
        </w:tabs>
        <w:spacing w:before="239"/>
        <w:ind w:right="689" w:hanging="398"/>
        <w:jc w:val="both"/>
        <w:rPr>
          <w:sz w:val="28"/>
        </w:rPr>
      </w:pPr>
      <w:r w:rsidRPr="00BB1E73">
        <w:rPr>
          <w:sz w:val="28"/>
        </w:rPr>
        <w:t>an immediate listing of evidence and the controlled removal of wreckage, infrastructural facilities and devices, or their components, for examination or analysis;</w:t>
      </w:r>
    </w:p>
    <w:p w:rsidR="005854EB" w:rsidRPr="00BB1E73">
      <w:pPr>
        <w:pStyle w:val="ListParagraph"/>
        <w:numPr>
          <w:ilvl w:val="0"/>
          <w:numId w:val="3"/>
        </w:numPr>
        <w:tabs>
          <w:tab w:val="left" w:pos="1118"/>
        </w:tabs>
        <w:spacing w:before="239" w:line="242" w:lineRule="auto"/>
        <w:ind w:right="693" w:hanging="398"/>
        <w:jc w:val="both"/>
        <w:rPr>
          <w:sz w:val="28"/>
        </w:rPr>
      </w:pPr>
      <w:r w:rsidRPr="00BB1E73">
        <w:rPr>
          <w:sz w:val="28"/>
        </w:rPr>
        <w:t>access to and the use of the contents of on-board recorders of verbal messages and registration of the operation of the signalling, traffic control and traffic management system;</w:t>
      </w:r>
    </w:p>
    <w:p w:rsidR="005854EB" w:rsidRPr="00BB1E73" w:rsidP="00C8304A">
      <w:pPr>
        <w:pStyle w:val="ListParagraph"/>
        <w:numPr>
          <w:ilvl w:val="0"/>
          <w:numId w:val="3"/>
        </w:numPr>
        <w:tabs>
          <w:tab w:val="left" w:pos="1118"/>
        </w:tabs>
        <w:spacing w:before="239"/>
        <w:ind w:right="689" w:hanging="398"/>
        <w:jc w:val="both"/>
        <w:rPr>
          <w:sz w:val="28"/>
        </w:rPr>
      </w:pPr>
      <w:r w:rsidRPr="00BB1E73">
        <w:rPr>
          <w:sz w:val="28"/>
        </w:rPr>
        <w:t>access to the results of examinations of the bodies of victims;</w:t>
      </w:r>
    </w:p>
    <w:p w:rsidR="005854EB" w:rsidRPr="00BB1E73" w:rsidP="00C8304A">
      <w:pPr>
        <w:pStyle w:val="ListParagraph"/>
        <w:numPr>
          <w:ilvl w:val="0"/>
          <w:numId w:val="3"/>
        </w:numPr>
        <w:tabs>
          <w:tab w:val="left" w:pos="1118"/>
        </w:tabs>
        <w:spacing w:before="239"/>
        <w:ind w:right="689" w:hanging="398"/>
        <w:jc w:val="both"/>
        <w:rPr>
          <w:sz w:val="28"/>
        </w:rPr>
      </w:pPr>
      <w:r w:rsidRPr="00BB1E73">
        <w:rPr>
          <w:sz w:val="28"/>
        </w:rPr>
        <w:t>access to the results of investigations of train staff and others involved in the accident;</w:t>
      </w:r>
    </w:p>
    <w:p w:rsidR="005854EB" w:rsidRPr="00BB1E73">
      <w:pPr>
        <w:pStyle w:val="ListParagraph"/>
        <w:numPr>
          <w:ilvl w:val="0"/>
          <w:numId w:val="3"/>
        </w:numPr>
        <w:tabs>
          <w:tab w:val="left" w:pos="1116"/>
          <w:tab w:val="left" w:pos="1117"/>
        </w:tabs>
        <w:spacing w:before="239"/>
        <w:ind w:left="1116" w:hanging="397"/>
        <w:rPr>
          <w:sz w:val="28"/>
        </w:rPr>
      </w:pPr>
      <w:r w:rsidRPr="00BB1E73">
        <w:rPr>
          <w:sz w:val="28"/>
        </w:rPr>
        <w:t>the opportunity to question the railway staff involved and other witnesses;</w:t>
      </w:r>
    </w:p>
    <w:p w:rsidR="005854EB" w:rsidRPr="00BB1E73">
      <w:pPr>
        <w:pStyle w:val="ListParagraph"/>
        <w:numPr>
          <w:ilvl w:val="0"/>
          <w:numId w:val="3"/>
        </w:numPr>
        <w:tabs>
          <w:tab w:val="left" w:pos="1118"/>
        </w:tabs>
        <w:spacing w:before="240"/>
        <w:ind w:right="691" w:hanging="398"/>
        <w:rPr>
          <w:sz w:val="28"/>
        </w:rPr>
      </w:pPr>
      <w:r w:rsidRPr="00BB1E73">
        <w:rPr>
          <w:sz w:val="28"/>
        </w:rPr>
        <w:t>access</w:t>
      </w:r>
      <w:r w:rsidRPr="00BB1E73">
        <w:rPr>
          <w:sz w:val="28"/>
        </w:rPr>
        <w:t xml:space="preserve"> to all relevant information or records held by the infrastructure manager, the railway undertakings involved and the safety authority.</w:t>
      </w:r>
    </w:p>
    <w:p w:rsidR="005854EB" w:rsidRPr="00BB1E73" w:rsidP="006A0FCD">
      <w:pPr>
        <w:pStyle w:val="BodyText"/>
        <w:keepLines/>
        <w:spacing w:before="239"/>
        <w:ind w:left="720" w:right="686"/>
        <w:jc w:val="both"/>
      </w:pPr>
      <w:r w:rsidRPr="00BB1E73">
        <w:t xml:space="preserve">Article 26 of the Railway Transport Act (ZZelP-UPB8, UL RS, </w:t>
      </w:r>
      <w:r w:rsidRPr="00BB1E73">
        <w:t>No</w:t>
      </w:r>
      <w:r w:rsidRPr="00BB1E73">
        <w:t> 99/2015 of 21 December 2015) provides that the investigating body must investigate serious accidents.</w:t>
      </w:r>
    </w:p>
    <w:p w:rsidR="005854EB" w:rsidRPr="00BB1E73">
      <w:pPr>
        <w:pStyle w:val="BodyText"/>
        <w:spacing w:before="239"/>
        <w:ind w:left="719" w:right="688"/>
        <w:jc w:val="both"/>
      </w:pPr>
      <w:r w:rsidRPr="00BB1E73">
        <w:t>The investigating body may, following an assessment, also decide to investigate accidents, and incidents that could cause accidents in similar circumstances, including cases of technical malfunctions of structural subsystems or railway system interoperability components. It shall take the following into consideration in its decision:</w:t>
      </w:r>
    </w:p>
    <w:p w:rsidR="005854EB" w:rsidRPr="00BB1E73">
      <w:pPr>
        <w:pStyle w:val="ListParagraph"/>
        <w:numPr>
          <w:ilvl w:val="0"/>
          <w:numId w:val="2"/>
        </w:numPr>
        <w:tabs>
          <w:tab w:val="left" w:pos="1118"/>
        </w:tabs>
        <w:spacing w:before="243"/>
        <w:ind w:hanging="398"/>
        <w:jc w:val="left"/>
        <w:rPr>
          <w:sz w:val="28"/>
        </w:rPr>
      </w:pPr>
      <w:r w:rsidRPr="00BB1E73">
        <w:rPr>
          <w:sz w:val="28"/>
        </w:rPr>
        <w:t>the gravity of the accident or incident;</w:t>
      </w:r>
    </w:p>
    <w:p w:rsidR="005854EB" w:rsidRPr="00BB1E73">
      <w:pPr>
        <w:pStyle w:val="ListParagraph"/>
        <w:numPr>
          <w:ilvl w:val="0"/>
          <w:numId w:val="2"/>
        </w:numPr>
        <w:tabs>
          <w:tab w:val="left" w:pos="1118"/>
        </w:tabs>
        <w:spacing w:before="239"/>
        <w:ind w:right="686" w:hanging="398"/>
        <w:jc w:val="left"/>
        <w:rPr>
          <w:sz w:val="28"/>
        </w:rPr>
      </w:pPr>
      <w:r w:rsidRPr="00BB1E73">
        <w:rPr>
          <w:sz w:val="28"/>
        </w:rPr>
        <w:t>whether the accident or incident was a part of a series of accidents or incidents affecting the entire system;</w:t>
      </w:r>
    </w:p>
    <w:p w:rsidR="005854EB" w:rsidRPr="00BB1E73" w:rsidP="00FD5E06">
      <w:pPr>
        <w:pStyle w:val="ListParagraph"/>
        <w:numPr>
          <w:ilvl w:val="0"/>
          <w:numId w:val="2"/>
        </w:numPr>
        <w:tabs>
          <w:tab w:val="left" w:pos="1118"/>
        </w:tabs>
        <w:spacing w:before="240"/>
        <w:ind w:right="691" w:hanging="408"/>
        <w:jc w:val="left"/>
        <w:rPr>
          <w:sz w:val="28"/>
        </w:rPr>
      </w:pPr>
      <w:r w:rsidRPr="00BB1E73">
        <w:rPr>
          <w:sz w:val="28"/>
        </w:rPr>
        <w:t>the impact on railway safety at the level of the European Community;</w:t>
      </w:r>
    </w:p>
    <w:p w:rsidR="005854EB" w:rsidRPr="00BB1E73">
      <w:pPr>
        <w:pStyle w:val="ListParagraph"/>
        <w:numPr>
          <w:ilvl w:val="0"/>
          <w:numId w:val="2"/>
        </w:numPr>
        <w:tabs>
          <w:tab w:val="left" w:pos="1118"/>
        </w:tabs>
        <w:spacing w:before="239"/>
        <w:ind w:right="692" w:hanging="398"/>
        <w:jc w:val="both"/>
        <w:rPr>
          <w:sz w:val="28"/>
        </w:rPr>
      </w:pPr>
      <w:r w:rsidRPr="00BB1E73">
        <w:rPr>
          <w:sz w:val="28"/>
        </w:rPr>
        <w:t>the</w:t>
      </w:r>
      <w:r w:rsidRPr="00BB1E73">
        <w:rPr>
          <w:sz w:val="28"/>
        </w:rPr>
        <w:t xml:space="preserve"> requirements of infrastructure managers, railway undertakings, the safety authority or European Community </w:t>
      </w:r>
      <w:r w:rsidRPr="00BB1E73">
        <w:rPr>
          <w:sz w:val="28"/>
        </w:rPr>
        <w:t>Member States.</w:t>
      </w:r>
    </w:p>
    <w:p w:rsidR="005854EB" w:rsidRPr="00BB1E73">
      <w:pPr>
        <w:pStyle w:val="BodyText"/>
        <w:spacing w:before="239"/>
        <w:ind w:left="719" w:right="688"/>
        <w:jc w:val="both"/>
      </w:pPr>
      <w:r w:rsidRPr="00BB1E73">
        <w:t>The railway investigating body complies with all the prescribed provisions applicable to investigative procedures. Staff shortages curtail the body’s activities and mean that it must make additional assessments if it wishes to investigate accidents and incidents.</w:t>
      </w:r>
    </w:p>
    <w:p w:rsidR="005854EB" w:rsidRPr="00BB1E73" w:rsidP="00BD5888">
      <w:pPr>
        <w:pStyle w:val="Heading1"/>
        <w:numPr>
          <w:ilvl w:val="0"/>
          <w:numId w:val="4"/>
        </w:numPr>
        <w:tabs>
          <w:tab w:val="left" w:pos="617"/>
          <w:tab w:val="left" w:pos="618"/>
        </w:tabs>
        <w:ind w:left="618" w:hanging="499"/>
      </w:pPr>
      <w:bookmarkStart w:id="23" w:name="_Toc503796871"/>
      <w:bookmarkStart w:id="24" w:name="_Toc506208156"/>
      <w:r w:rsidRPr="00BB1E73">
        <w:t>INVESTIGATIONS</w:t>
      </w:r>
      <w:bookmarkEnd w:id="23"/>
      <w:bookmarkEnd w:id="24"/>
    </w:p>
    <w:p w:rsidR="005854EB" w:rsidRPr="00BB1E73">
      <w:pPr>
        <w:pStyle w:val="Heading2"/>
        <w:numPr>
          <w:ilvl w:val="1"/>
          <w:numId w:val="4"/>
        </w:numPr>
        <w:tabs>
          <w:tab w:val="left" w:pos="695"/>
        </w:tabs>
        <w:ind w:hanging="600"/>
      </w:pPr>
      <w:bookmarkStart w:id="25" w:name="_Toc503796872"/>
      <w:bookmarkStart w:id="26" w:name="_Toc506208157"/>
      <w:r w:rsidRPr="00BB1E73">
        <w:t>Review of investigations completed in 2016</w:t>
      </w:r>
      <w:bookmarkEnd w:id="25"/>
      <w:bookmarkEnd w:id="26"/>
    </w:p>
    <w:p w:rsidR="005854EB" w:rsidRPr="00BB1E73">
      <w:pPr>
        <w:spacing w:before="62" w:line="242" w:lineRule="auto"/>
        <w:ind w:left="719" w:right="673"/>
        <w:rPr>
          <w:sz w:val="24"/>
        </w:rPr>
      </w:pPr>
      <w:r w:rsidRPr="00BB1E73">
        <w:rPr>
          <w:sz w:val="24"/>
        </w:rPr>
        <w:t>The investigating body for railway accidents and incidents investigated six accidents in 2016:</w:t>
      </w:r>
    </w:p>
    <w:p w:rsidR="005854EB" w:rsidRPr="00BB1E73">
      <w:pPr>
        <w:pStyle w:val="BodyText"/>
        <w:spacing w:before="8"/>
        <w:rPr>
          <w:sz w:val="23"/>
        </w:rPr>
      </w:pPr>
    </w:p>
    <w:p w:rsidR="005854EB" w:rsidRPr="00BB1E73" w:rsidP="006A0FCD">
      <w:pPr>
        <w:pStyle w:val="ListParagraph"/>
        <w:numPr>
          <w:ilvl w:val="2"/>
          <w:numId w:val="4"/>
        </w:numPr>
        <w:tabs>
          <w:tab w:val="left" w:pos="833"/>
        </w:tabs>
        <w:spacing w:line="275" w:lineRule="exact"/>
        <w:ind w:right="682" w:hanging="144"/>
        <w:jc w:val="both"/>
        <w:rPr>
          <w:sz w:val="24"/>
        </w:rPr>
      </w:pPr>
      <w:r w:rsidRPr="00BB1E73">
        <w:rPr>
          <w:sz w:val="24"/>
        </w:rPr>
        <w:t>derailment of international goods train 45440 at 7.23 am on 20 February 2016 at Points 205, Ljubljana railway station, km 565.934, operated by RCC (Rail Cargo Carrier) </w:t>
      </w:r>
      <w:r w:rsidRPr="00BB1E73">
        <w:noBreakHyphen/>
      </w:r>
      <w:r w:rsidRPr="00BB1E73">
        <w:rPr>
          <w:sz w:val="24"/>
        </w:rPr>
        <w:t> train derailed on account of a broken tongue rail on Points 205;</w:t>
      </w:r>
    </w:p>
    <w:p w:rsidR="005854EB" w:rsidRPr="00BB1E73">
      <w:pPr>
        <w:pStyle w:val="BodyText"/>
        <w:spacing w:before="10"/>
        <w:rPr>
          <w:sz w:val="23"/>
        </w:rPr>
      </w:pPr>
    </w:p>
    <w:p w:rsidR="005854EB" w:rsidRPr="00BB1E73" w:rsidP="006A0FCD">
      <w:pPr>
        <w:pStyle w:val="ListParagraph"/>
        <w:numPr>
          <w:ilvl w:val="2"/>
          <w:numId w:val="4"/>
        </w:numPr>
        <w:tabs>
          <w:tab w:val="left" w:pos="833"/>
        </w:tabs>
        <w:spacing w:before="1"/>
        <w:ind w:right="679" w:hanging="144"/>
        <w:jc w:val="both"/>
        <w:rPr>
          <w:sz w:val="24"/>
        </w:rPr>
      </w:pPr>
      <w:r w:rsidRPr="00BB1E73">
        <w:rPr>
          <w:sz w:val="24"/>
        </w:rPr>
        <w:t>collision between local passenger train 2425, operated by SŽ-</w:t>
      </w:r>
      <w:r w:rsidRPr="00BB1E73">
        <w:rPr>
          <w:sz w:val="24"/>
        </w:rPr>
        <w:t>Potniški</w:t>
      </w:r>
      <w:r w:rsidRPr="00BB1E73">
        <w:rPr>
          <w:sz w:val="24"/>
        </w:rPr>
        <w:t> </w:t>
      </w:r>
      <w:r w:rsidRPr="00BB1E73">
        <w:rPr>
          <w:sz w:val="24"/>
        </w:rPr>
        <w:t>promet</w:t>
      </w:r>
      <w:r w:rsidRPr="00BB1E73">
        <w:rPr>
          <w:sz w:val="24"/>
        </w:rPr>
        <w:t>, </w:t>
      </w:r>
      <w:r w:rsidRPr="00BB1E73">
        <w:rPr>
          <w:sz w:val="24"/>
        </w:rPr>
        <w:t>d.o.o</w:t>
      </w:r>
      <w:r w:rsidRPr="00BB1E73">
        <w:rPr>
          <w:sz w:val="24"/>
        </w:rPr>
        <w:t>., and an elderly pedestrian at a level crossing equipped with barriers at km 568.855 (</w:t>
      </w:r>
      <w:r w:rsidRPr="00BB1E73">
        <w:rPr>
          <w:sz w:val="24"/>
        </w:rPr>
        <w:t>Litostrojska</w:t>
      </w:r>
      <w:r w:rsidRPr="00BB1E73">
        <w:rPr>
          <w:sz w:val="24"/>
        </w:rPr>
        <w:t xml:space="preserve"> </w:t>
      </w:r>
      <w:r w:rsidRPr="00BB1E73">
        <w:rPr>
          <w:sz w:val="24"/>
        </w:rPr>
        <w:t>cesta</w:t>
      </w:r>
      <w:r w:rsidRPr="00BB1E73">
        <w:rPr>
          <w:sz w:val="24"/>
        </w:rPr>
        <w:t xml:space="preserve">), between Ljubljana </w:t>
      </w:r>
      <w:r w:rsidRPr="00BB1E73">
        <w:rPr>
          <w:sz w:val="24"/>
        </w:rPr>
        <w:t>Vižmarje</w:t>
      </w:r>
      <w:r w:rsidRPr="00BB1E73">
        <w:rPr>
          <w:sz w:val="24"/>
        </w:rPr>
        <w:t xml:space="preserve"> and Ljubljana </w:t>
      </w:r>
      <w:r w:rsidRPr="00BB1E73">
        <w:rPr>
          <w:sz w:val="24"/>
        </w:rPr>
        <w:t>Šiška</w:t>
      </w:r>
      <w:r w:rsidRPr="00BB1E73">
        <w:rPr>
          <w:sz w:val="24"/>
        </w:rPr>
        <w:t xml:space="preserve"> stations, at 3.12 pm on 18 March 2016 </w:t>
      </w:r>
      <w:r w:rsidRPr="00BB1E73">
        <w:noBreakHyphen/>
      </w:r>
      <w:r w:rsidRPr="00BB1E73">
        <w:rPr>
          <w:sz w:val="24"/>
        </w:rPr>
        <w:t> pedestrian died at the scene;</w:t>
      </w:r>
    </w:p>
    <w:p w:rsidR="005854EB" w:rsidRPr="00BB1E73">
      <w:pPr>
        <w:pStyle w:val="BodyText"/>
        <w:spacing w:before="11"/>
        <w:rPr>
          <w:sz w:val="23"/>
        </w:rPr>
      </w:pPr>
    </w:p>
    <w:p w:rsidR="005854EB" w:rsidRPr="00BB1E73">
      <w:pPr>
        <w:pStyle w:val="ListParagraph"/>
        <w:numPr>
          <w:ilvl w:val="2"/>
          <w:numId w:val="4"/>
        </w:numPr>
        <w:tabs>
          <w:tab w:val="left" w:pos="833"/>
        </w:tabs>
        <w:ind w:right="680" w:hanging="144"/>
        <w:jc w:val="both"/>
        <w:rPr>
          <w:sz w:val="24"/>
        </w:rPr>
      </w:pPr>
      <w:r w:rsidRPr="00BB1E73">
        <w:rPr>
          <w:sz w:val="24"/>
        </w:rPr>
        <w:t>collision between international passenger train 151 operated by SŽ-</w:t>
      </w:r>
      <w:r w:rsidRPr="00BB1E73">
        <w:rPr>
          <w:sz w:val="24"/>
        </w:rPr>
        <w:t>Potniški</w:t>
      </w:r>
      <w:r w:rsidRPr="00BB1E73">
        <w:rPr>
          <w:sz w:val="24"/>
        </w:rPr>
        <w:t> </w:t>
      </w:r>
      <w:r w:rsidRPr="00BB1E73">
        <w:rPr>
          <w:sz w:val="24"/>
        </w:rPr>
        <w:t>promet</w:t>
      </w:r>
      <w:r w:rsidRPr="00BB1E73">
        <w:rPr>
          <w:sz w:val="24"/>
        </w:rPr>
        <w:t>, </w:t>
      </w:r>
      <w:r w:rsidRPr="00BB1E73">
        <w:rPr>
          <w:sz w:val="24"/>
        </w:rPr>
        <w:t>d.o.o</w:t>
      </w:r>
      <w:r w:rsidRPr="00BB1E73">
        <w:rPr>
          <w:sz w:val="24"/>
        </w:rPr>
        <w:t xml:space="preserve">. and a cyclist at a level crossing equipped with half-barriers at </w:t>
      </w:r>
      <w:r w:rsidRPr="00BB1E73">
        <w:rPr>
          <w:sz w:val="24"/>
        </w:rPr>
        <w:t>Šentjur</w:t>
      </w:r>
      <w:r w:rsidRPr="00BB1E73">
        <w:rPr>
          <w:sz w:val="24"/>
        </w:rPr>
        <w:t xml:space="preserve"> railway station, km 538.260, at 12.36 pm on 5 June 2016 </w:t>
      </w:r>
      <w:r w:rsidRPr="00BB1E73">
        <w:noBreakHyphen/>
      </w:r>
      <w:r w:rsidRPr="00BB1E73">
        <w:rPr>
          <w:sz w:val="24"/>
        </w:rPr>
        <w:t> cyclist died at the scene;</w:t>
      </w:r>
    </w:p>
    <w:p w:rsidR="005854EB" w:rsidRPr="00BB1E73">
      <w:pPr>
        <w:pStyle w:val="BodyText"/>
        <w:spacing w:before="5"/>
        <w:rPr>
          <w:sz w:val="24"/>
        </w:rPr>
      </w:pPr>
    </w:p>
    <w:p w:rsidR="005854EB" w:rsidRPr="00BB1E73" w:rsidP="006A0FCD">
      <w:pPr>
        <w:pStyle w:val="ListParagraph"/>
        <w:numPr>
          <w:ilvl w:val="2"/>
          <w:numId w:val="4"/>
        </w:numPr>
        <w:tabs>
          <w:tab w:val="left" w:pos="833"/>
        </w:tabs>
        <w:spacing w:before="3" w:line="237" w:lineRule="auto"/>
        <w:ind w:right="682" w:hanging="144"/>
        <w:jc w:val="both"/>
        <w:rPr>
          <w:sz w:val="24"/>
        </w:rPr>
      </w:pPr>
      <w:r w:rsidRPr="00BB1E73">
        <w:rPr>
          <w:sz w:val="24"/>
        </w:rPr>
        <w:t xml:space="preserve">collision between international goods train 45445, operated by RCC (Rail Cargo Carrier), and a car at 5.58 pm on 14 June 2016 at a level crossing equipped with half-barriers at km 586.909, </w:t>
      </w:r>
      <w:r w:rsidRPr="00BB1E73">
        <w:rPr>
          <w:sz w:val="24"/>
        </w:rPr>
        <w:t>Škofja</w:t>
      </w:r>
      <w:r w:rsidRPr="00BB1E73">
        <w:rPr>
          <w:sz w:val="24"/>
        </w:rPr>
        <w:t xml:space="preserve"> </w:t>
      </w:r>
      <w:r w:rsidRPr="00BB1E73">
        <w:rPr>
          <w:sz w:val="24"/>
        </w:rPr>
        <w:t>Loka</w:t>
      </w:r>
      <w:r w:rsidRPr="00BB1E73">
        <w:rPr>
          <w:sz w:val="24"/>
        </w:rPr>
        <w:t xml:space="preserve"> railway station </w:t>
      </w:r>
      <w:r w:rsidRPr="00BB1E73">
        <w:noBreakHyphen/>
      </w:r>
      <w:r w:rsidRPr="00BB1E73">
        <w:rPr>
          <w:sz w:val="24"/>
        </w:rPr>
        <w:t> the car driver was taken to Ljubljana University Medical Centre, where he died of his injuries;</w:t>
      </w:r>
    </w:p>
    <w:p w:rsidR="005854EB" w:rsidRPr="00BB1E73">
      <w:pPr>
        <w:pStyle w:val="BodyText"/>
        <w:spacing w:before="9"/>
        <w:rPr>
          <w:sz w:val="23"/>
        </w:rPr>
      </w:pPr>
    </w:p>
    <w:p w:rsidR="005854EB" w:rsidRPr="00BB1E73" w:rsidP="006A0FCD">
      <w:pPr>
        <w:pStyle w:val="ListParagraph"/>
        <w:numPr>
          <w:ilvl w:val="2"/>
          <w:numId w:val="4"/>
        </w:numPr>
        <w:tabs>
          <w:tab w:val="left" w:pos="833"/>
        </w:tabs>
        <w:spacing w:before="1" w:line="242" w:lineRule="auto"/>
        <w:ind w:right="683" w:hanging="144"/>
        <w:jc w:val="both"/>
        <w:rPr>
          <w:sz w:val="24"/>
        </w:rPr>
      </w:pPr>
      <w:r w:rsidRPr="00BB1E73">
        <w:rPr>
          <w:sz w:val="24"/>
        </w:rPr>
        <w:t>collision between local passenger train 3830, operated by SŽ-</w:t>
      </w:r>
      <w:r w:rsidRPr="00BB1E73">
        <w:rPr>
          <w:sz w:val="24"/>
        </w:rPr>
        <w:t>Potniški</w:t>
      </w:r>
      <w:r w:rsidRPr="00BB1E73">
        <w:rPr>
          <w:sz w:val="24"/>
        </w:rPr>
        <w:t> </w:t>
      </w:r>
      <w:r w:rsidRPr="00BB1E73">
        <w:rPr>
          <w:sz w:val="24"/>
        </w:rPr>
        <w:t>promet</w:t>
      </w:r>
      <w:r w:rsidRPr="00BB1E73">
        <w:rPr>
          <w:sz w:val="24"/>
        </w:rPr>
        <w:t>, </w:t>
      </w:r>
      <w:r w:rsidRPr="00BB1E73">
        <w:rPr>
          <w:sz w:val="24"/>
        </w:rPr>
        <w:t>d.o.o</w:t>
      </w:r>
      <w:r w:rsidRPr="00BB1E73">
        <w:rPr>
          <w:sz w:val="24"/>
        </w:rPr>
        <w:t xml:space="preserve">., and a car at 4.05 pm on 11 July 2016 at a level crossing equipped with road traffic signs at km 48.250 between </w:t>
      </w:r>
      <w:r w:rsidRPr="00BB1E73">
        <w:rPr>
          <w:sz w:val="24"/>
        </w:rPr>
        <w:t>Ormož</w:t>
      </w:r>
      <w:r w:rsidRPr="00BB1E73">
        <w:rPr>
          <w:sz w:val="24"/>
        </w:rPr>
        <w:t xml:space="preserve"> and </w:t>
      </w:r>
      <w:r w:rsidRPr="00BB1E73">
        <w:rPr>
          <w:sz w:val="24"/>
        </w:rPr>
        <w:t>Središče</w:t>
      </w:r>
      <w:r w:rsidRPr="00BB1E73">
        <w:rPr>
          <w:sz w:val="24"/>
        </w:rPr>
        <w:t xml:space="preserve"> </w:t>
      </w:r>
      <w:r w:rsidRPr="00BB1E73">
        <w:rPr>
          <w:sz w:val="24"/>
        </w:rPr>
        <w:t>ob</w:t>
      </w:r>
      <w:r w:rsidRPr="00BB1E73">
        <w:rPr>
          <w:sz w:val="24"/>
        </w:rPr>
        <w:t xml:space="preserve"> </w:t>
      </w:r>
      <w:r w:rsidRPr="00BB1E73">
        <w:rPr>
          <w:sz w:val="24"/>
        </w:rPr>
        <w:t>Dravi</w:t>
      </w:r>
      <w:r w:rsidRPr="00BB1E73">
        <w:rPr>
          <w:sz w:val="24"/>
        </w:rPr>
        <w:t xml:space="preserve"> stations </w:t>
      </w:r>
      <w:r w:rsidRPr="00BB1E73">
        <w:noBreakHyphen/>
      </w:r>
      <w:r w:rsidRPr="00BB1E73">
        <w:rPr>
          <w:sz w:val="24"/>
        </w:rPr>
        <w:t> a 63-year-old driver and his 60-year-old passenger died at the scene;</w:t>
      </w:r>
    </w:p>
    <w:p w:rsidR="005854EB" w:rsidRPr="00BB1E73">
      <w:pPr>
        <w:pStyle w:val="BodyText"/>
        <w:spacing w:before="8"/>
        <w:rPr>
          <w:sz w:val="23"/>
        </w:rPr>
      </w:pPr>
    </w:p>
    <w:p w:rsidR="005854EB" w:rsidRPr="00BB1E73">
      <w:pPr>
        <w:pStyle w:val="ListParagraph"/>
        <w:numPr>
          <w:ilvl w:val="2"/>
          <w:numId w:val="4"/>
        </w:numPr>
        <w:tabs>
          <w:tab w:val="left" w:pos="833"/>
        </w:tabs>
        <w:ind w:right="680" w:hanging="144"/>
        <w:jc w:val="both"/>
        <w:rPr>
          <w:sz w:val="24"/>
        </w:rPr>
      </w:pPr>
      <w:r w:rsidRPr="00BB1E73">
        <w:rPr>
          <w:sz w:val="24"/>
        </w:rPr>
        <w:t xml:space="preserve">derailment of international goods train 45799, operated by RCC (Rail Cargo Carrier), at 9.47 am on 17 November 2016 while leaving Track 9 at km 453.840, </w:t>
      </w:r>
      <w:r w:rsidRPr="00BB1E73">
        <w:rPr>
          <w:sz w:val="24"/>
        </w:rPr>
        <w:t>Dobova</w:t>
      </w:r>
      <w:r w:rsidRPr="00BB1E73">
        <w:rPr>
          <w:sz w:val="24"/>
        </w:rPr>
        <w:t xml:space="preserve"> station </w:t>
      </w:r>
      <w:r w:rsidRPr="00BB1E73">
        <w:noBreakHyphen/>
      </w:r>
      <w:r w:rsidRPr="00BB1E73">
        <w:rPr>
          <w:sz w:val="24"/>
        </w:rPr>
        <w:t> wagon 33879332394-4 derailed.</w:t>
      </w:r>
    </w:p>
    <w:p w:rsidR="005854EB" w:rsidRPr="00BB1E73">
      <w:pPr>
        <w:pStyle w:val="BodyText"/>
        <w:rPr>
          <w:sz w:val="20"/>
        </w:rPr>
      </w:pPr>
    </w:p>
    <w:p w:rsidR="005854EB" w:rsidRPr="00BB1E73">
      <w:pPr>
        <w:pStyle w:val="BodyText"/>
        <w:spacing w:before="5"/>
        <w:rPr>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7"/>
        <w:gridCol w:w="1275"/>
        <w:gridCol w:w="1200"/>
        <w:gridCol w:w="1352"/>
        <w:gridCol w:w="1559"/>
        <w:gridCol w:w="1559"/>
      </w:tblGrid>
      <w:tr w:rsidTr="00BB1E73">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02"/>
        </w:trPr>
        <w:tc>
          <w:tcPr>
            <w:tcW w:w="2127" w:type="dxa"/>
            <w:vMerge w:val="restart"/>
          </w:tcPr>
          <w:p w:rsidR="005854EB" w:rsidRPr="00BB1E73">
            <w:pPr>
              <w:pStyle w:val="TableParagraph"/>
              <w:spacing w:before="139" w:line="244" w:lineRule="auto"/>
              <w:ind w:left="110" w:right="275"/>
              <w:rPr>
                <w:b/>
                <w:sz w:val="24"/>
              </w:rPr>
            </w:pPr>
            <w:r w:rsidRPr="00BB1E73">
              <w:rPr>
                <w:b/>
                <w:sz w:val="24"/>
              </w:rPr>
              <w:t>Type of accident investigated</w:t>
            </w:r>
          </w:p>
        </w:tc>
        <w:tc>
          <w:tcPr>
            <w:tcW w:w="1275" w:type="dxa"/>
            <w:vMerge w:val="restart"/>
            <w:vAlign w:val="center"/>
          </w:tcPr>
          <w:p w:rsidR="005854EB" w:rsidRPr="00BB1E73" w:rsidP="00BB1E73">
            <w:pPr>
              <w:pStyle w:val="TableParagraph"/>
              <w:spacing w:line="242" w:lineRule="auto"/>
              <w:ind w:left="57" w:right="-142"/>
              <w:rPr>
                <w:b/>
                <w:sz w:val="24"/>
              </w:rPr>
            </w:pPr>
            <w:r w:rsidRPr="00BB1E73">
              <w:rPr>
                <w:b/>
                <w:sz w:val="24"/>
              </w:rPr>
              <w:t>No of accidents</w:t>
            </w:r>
          </w:p>
        </w:tc>
        <w:tc>
          <w:tcPr>
            <w:tcW w:w="2552" w:type="dxa"/>
            <w:gridSpan w:val="2"/>
          </w:tcPr>
          <w:p w:rsidR="005854EB" w:rsidRPr="00BB1E73" w:rsidP="000757EA">
            <w:pPr>
              <w:pStyle w:val="TableParagraph"/>
              <w:spacing w:before="40"/>
              <w:ind w:left="108"/>
              <w:rPr>
                <w:b/>
                <w:sz w:val="24"/>
              </w:rPr>
            </w:pPr>
            <w:r w:rsidRPr="00BB1E73">
              <w:rPr>
                <w:b/>
                <w:sz w:val="24"/>
              </w:rPr>
              <w:t>No of casualties</w:t>
            </w:r>
          </w:p>
        </w:tc>
        <w:tc>
          <w:tcPr>
            <w:tcW w:w="1559" w:type="dxa"/>
            <w:vMerge w:val="restart"/>
            <w:vAlign w:val="center"/>
          </w:tcPr>
          <w:p w:rsidR="005854EB" w:rsidRPr="00BB1E73" w:rsidP="00BB1E73">
            <w:pPr>
              <w:pStyle w:val="TableParagraph"/>
              <w:spacing w:line="242" w:lineRule="auto"/>
              <w:ind w:left="105" w:right="-60"/>
              <w:rPr>
                <w:b/>
                <w:sz w:val="24"/>
              </w:rPr>
            </w:pPr>
            <w:r w:rsidRPr="00BB1E73">
              <w:rPr>
                <w:b/>
                <w:sz w:val="24"/>
              </w:rPr>
              <w:t>Damage in EUR (estimated)</w:t>
            </w:r>
          </w:p>
        </w:tc>
        <w:tc>
          <w:tcPr>
            <w:tcW w:w="1559" w:type="dxa"/>
            <w:vMerge w:val="restart"/>
          </w:tcPr>
          <w:p w:rsidR="005854EB" w:rsidRPr="00BB1E73" w:rsidP="00BB1E73">
            <w:pPr>
              <w:pStyle w:val="TableParagraph"/>
              <w:spacing w:before="40" w:line="242" w:lineRule="auto"/>
              <w:ind w:left="60" w:right="79"/>
              <w:rPr>
                <w:b/>
                <w:sz w:val="24"/>
              </w:rPr>
            </w:pPr>
            <w:r w:rsidRPr="00BB1E73">
              <w:rPr>
                <w:b/>
                <w:sz w:val="24"/>
              </w:rPr>
              <w:t>Trend in comparison with 2014</w:t>
            </w:r>
          </w:p>
        </w:tc>
      </w:tr>
      <w:tr w:rsidTr="00BB1E73">
        <w:tblPrEx>
          <w:tblW w:w="0" w:type="auto"/>
          <w:tblInd w:w="5" w:type="dxa"/>
          <w:tblLayout w:type="fixed"/>
          <w:tblCellMar>
            <w:left w:w="0" w:type="dxa"/>
            <w:right w:w="0" w:type="dxa"/>
          </w:tblCellMar>
          <w:tblLook w:val="01E0"/>
        </w:tblPrEx>
        <w:trPr>
          <w:trHeight w:val="830"/>
        </w:trPr>
        <w:tc>
          <w:tcPr>
            <w:tcW w:w="2127" w:type="dxa"/>
            <w:vMerge/>
            <w:tcBorders>
              <w:top w:val="nil"/>
            </w:tcBorders>
          </w:tcPr>
          <w:p w:rsidR="005854EB" w:rsidRPr="00BB1E73">
            <w:pPr>
              <w:rPr>
                <w:sz w:val="2"/>
                <w:szCs w:val="2"/>
              </w:rPr>
            </w:pPr>
          </w:p>
        </w:tc>
        <w:tc>
          <w:tcPr>
            <w:tcW w:w="1275" w:type="dxa"/>
            <w:vMerge/>
            <w:tcBorders>
              <w:top w:val="nil"/>
            </w:tcBorders>
          </w:tcPr>
          <w:p w:rsidR="005854EB" w:rsidRPr="00BB1E73" w:rsidP="00BB1E73">
            <w:pPr>
              <w:ind w:left="57"/>
              <w:rPr>
                <w:sz w:val="2"/>
                <w:szCs w:val="2"/>
              </w:rPr>
            </w:pPr>
          </w:p>
        </w:tc>
        <w:tc>
          <w:tcPr>
            <w:tcW w:w="1200" w:type="dxa"/>
          </w:tcPr>
          <w:p w:rsidR="005854EB" w:rsidRPr="00BB1E73">
            <w:pPr>
              <w:pStyle w:val="TableParagraph"/>
              <w:spacing w:before="72" w:line="247" w:lineRule="auto"/>
              <w:ind w:left="105"/>
              <w:rPr>
                <w:b/>
                <w:sz w:val="24"/>
              </w:rPr>
            </w:pPr>
            <w:r w:rsidRPr="00BB1E73">
              <w:rPr>
                <w:b/>
                <w:sz w:val="24"/>
              </w:rPr>
              <w:t>No of fatalities</w:t>
            </w:r>
          </w:p>
        </w:tc>
        <w:tc>
          <w:tcPr>
            <w:tcW w:w="1352" w:type="dxa"/>
          </w:tcPr>
          <w:p w:rsidR="005854EB" w:rsidRPr="00BB1E73">
            <w:pPr>
              <w:pStyle w:val="TableParagraph"/>
              <w:spacing w:before="72" w:line="247" w:lineRule="auto"/>
              <w:ind w:left="105" w:right="177"/>
              <w:rPr>
                <w:b/>
                <w:sz w:val="24"/>
              </w:rPr>
            </w:pPr>
            <w:r w:rsidRPr="00BB1E73">
              <w:rPr>
                <w:b/>
                <w:sz w:val="24"/>
              </w:rPr>
              <w:t>Seriously injured</w:t>
            </w:r>
          </w:p>
        </w:tc>
        <w:tc>
          <w:tcPr>
            <w:tcW w:w="1559" w:type="dxa"/>
            <w:vMerge/>
            <w:tcBorders>
              <w:top w:val="nil"/>
            </w:tcBorders>
          </w:tcPr>
          <w:p w:rsidR="005854EB" w:rsidRPr="00BB1E73">
            <w:pPr>
              <w:rPr>
                <w:sz w:val="2"/>
                <w:szCs w:val="2"/>
              </w:rPr>
            </w:pPr>
          </w:p>
        </w:tc>
        <w:tc>
          <w:tcPr>
            <w:tcW w:w="1559" w:type="dxa"/>
            <w:vMerge/>
            <w:tcBorders>
              <w:top w:val="nil"/>
            </w:tcBorders>
          </w:tcPr>
          <w:p w:rsidR="005854EB" w:rsidRPr="00BB1E73">
            <w:pPr>
              <w:rPr>
                <w:sz w:val="2"/>
                <w:szCs w:val="2"/>
              </w:rPr>
            </w:pPr>
          </w:p>
        </w:tc>
      </w:tr>
      <w:tr w:rsidTr="00BB1E73">
        <w:tblPrEx>
          <w:tblW w:w="0" w:type="auto"/>
          <w:tblInd w:w="5" w:type="dxa"/>
          <w:tblLayout w:type="fixed"/>
          <w:tblCellMar>
            <w:left w:w="0" w:type="dxa"/>
            <w:right w:w="0" w:type="dxa"/>
          </w:tblCellMar>
          <w:tblLook w:val="01E0"/>
        </w:tblPrEx>
        <w:trPr>
          <w:trHeight w:val="518"/>
        </w:trPr>
        <w:tc>
          <w:tcPr>
            <w:tcW w:w="2127" w:type="dxa"/>
          </w:tcPr>
          <w:p w:rsidR="005854EB" w:rsidRPr="00BB1E73">
            <w:pPr>
              <w:pStyle w:val="TableParagraph"/>
              <w:spacing w:before="120"/>
              <w:ind w:left="110"/>
              <w:rPr>
                <w:sz w:val="24"/>
              </w:rPr>
            </w:pPr>
            <w:r w:rsidRPr="00BB1E73">
              <w:rPr>
                <w:sz w:val="24"/>
              </w:rPr>
              <w:t>Train collision</w:t>
            </w:r>
          </w:p>
        </w:tc>
        <w:tc>
          <w:tcPr>
            <w:tcW w:w="1275" w:type="dxa"/>
          </w:tcPr>
          <w:p w:rsidR="005854EB" w:rsidRPr="00BB1E73" w:rsidP="00BB1E73">
            <w:pPr>
              <w:pStyle w:val="TableParagraph"/>
              <w:spacing w:before="120"/>
              <w:ind w:left="57"/>
              <w:rPr>
                <w:sz w:val="24"/>
              </w:rPr>
            </w:pPr>
            <w:r w:rsidRPr="00BB1E73">
              <w:rPr>
                <w:sz w:val="24"/>
              </w:rPr>
              <w:t>0</w:t>
            </w:r>
          </w:p>
        </w:tc>
        <w:tc>
          <w:tcPr>
            <w:tcW w:w="1200" w:type="dxa"/>
          </w:tcPr>
          <w:p w:rsidR="005854EB" w:rsidRPr="00BB1E73">
            <w:pPr>
              <w:pStyle w:val="TableParagraph"/>
              <w:spacing w:before="120"/>
              <w:ind w:left="103"/>
              <w:rPr>
                <w:sz w:val="24"/>
              </w:rPr>
            </w:pPr>
            <w:r w:rsidRPr="00BB1E73">
              <w:rPr>
                <w:sz w:val="24"/>
              </w:rPr>
              <w:t>0</w:t>
            </w:r>
          </w:p>
        </w:tc>
        <w:tc>
          <w:tcPr>
            <w:tcW w:w="1352" w:type="dxa"/>
          </w:tcPr>
          <w:p w:rsidR="005854EB" w:rsidRPr="00BB1E73">
            <w:pPr>
              <w:pStyle w:val="TableParagraph"/>
              <w:spacing w:before="120"/>
              <w:ind w:left="104"/>
              <w:rPr>
                <w:sz w:val="24"/>
              </w:rPr>
            </w:pPr>
            <w:r w:rsidRPr="00BB1E73">
              <w:rPr>
                <w:sz w:val="24"/>
              </w:rPr>
              <w:t>0</w:t>
            </w:r>
          </w:p>
        </w:tc>
        <w:tc>
          <w:tcPr>
            <w:tcW w:w="1559" w:type="dxa"/>
          </w:tcPr>
          <w:p w:rsidR="005854EB" w:rsidRPr="00BB1E73">
            <w:pPr>
              <w:pStyle w:val="TableParagraph"/>
              <w:spacing w:before="120"/>
              <w:ind w:right="97"/>
              <w:jc w:val="right"/>
              <w:rPr>
                <w:sz w:val="24"/>
              </w:rPr>
            </w:pPr>
            <w:r w:rsidRPr="00BB1E73">
              <w:rPr>
                <w:sz w:val="24"/>
              </w:rPr>
              <w:t>EUR 0</w:t>
            </w:r>
          </w:p>
        </w:tc>
        <w:tc>
          <w:tcPr>
            <w:tcW w:w="1559" w:type="dxa"/>
          </w:tcPr>
          <w:p w:rsidR="005854EB" w:rsidRPr="00BB1E73">
            <w:pPr>
              <w:pStyle w:val="TableParagraph"/>
              <w:spacing w:before="120"/>
              <w:ind w:left="110"/>
              <w:rPr>
                <w:sz w:val="24"/>
              </w:rPr>
            </w:pPr>
            <w:r w:rsidRPr="00BB1E73">
              <w:rPr>
                <w:sz w:val="24"/>
              </w:rPr>
              <w:t>0 = 0</w:t>
            </w:r>
          </w:p>
        </w:tc>
      </w:tr>
      <w:tr w:rsidTr="00BB1E73">
        <w:tblPrEx>
          <w:tblW w:w="0" w:type="auto"/>
          <w:tblInd w:w="5" w:type="dxa"/>
          <w:tblLayout w:type="fixed"/>
          <w:tblCellMar>
            <w:left w:w="0" w:type="dxa"/>
            <w:right w:w="0" w:type="dxa"/>
          </w:tblCellMar>
          <w:tblLook w:val="01E0"/>
        </w:tblPrEx>
        <w:trPr>
          <w:trHeight w:val="517"/>
        </w:trPr>
        <w:tc>
          <w:tcPr>
            <w:tcW w:w="2127" w:type="dxa"/>
          </w:tcPr>
          <w:p w:rsidR="005854EB" w:rsidRPr="00BB1E73">
            <w:pPr>
              <w:pStyle w:val="TableParagraph"/>
              <w:spacing w:before="120"/>
              <w:ind w:left="110"/>
              <w:rPr>
                <w:sz w:val="24"/>
              </w:rPr>
            </w:pPr>
            <w:r w:rsidRPr="00BB1E73">
              <w:rPr>
                <w:sz w:val="24"/>
              </w:rPr>
              <w:t>Train derailment</w:t>
            </w:r>
          </w:p>
        </w:tc>
        <w:tc>
          <w:tcPr>
            <w:tcW w:w="1275" w:type="dxa"/>
          </w:tcPr>
          <w:p w:rsidR="005854EB" w:rsidRPr="00BB1E73" w:rsidP="00BB1E73">
            <w:pPr>
              <w:pStyle w:val="TableParagraph"/>
              <w:spacing w:before="120"/>
              <w:ind w:left="57"/>
              <w:rPr>
                <w:sz w:val="24"/>
              </w:rPr>
            </w:pPr>
            <w:r w:rsidRPr="00BB1E73">
              <w:rPr>
                <w:sz w:val="24"/>
              </w:rPr>
              <w:t>2</w:t>
            </w:r>
          </w:p>
        </w:tc>
        <w:tc>
          <w:tcPr>
            <w:tcW w:w="1200" w:type="dxa"/>
          </w:tcPr>
          <w:p w:rsidR="005854EB" w:rsidRPr="00BB1E73">
            <w:pPr>
              <w:pStyle w:val="TableParagraph"/>
              <w:spacing w:before="120"/>
              <w:ind w:left="103"/>
              <w:rPr>
                <w:sz w:val="24"/>
              </w:rPr>
            </w:pPr>
            <w:r w:rsidRPr="00BB1E73">
              <w:rPr>
                <w:sz w:val="24"/>
              </w:rPr>
              <w:t>0</w:t>
            </w:r>
          </w:p>
        </w:tc>
        <w:tc>
          <w:tcPr>
            <w:tcW w:w="1352" w:type="dxa"/>
          </w:tcPr>
          <w:p w:rsidR="005854EB" w:rsidRPr="00BB1E73">
            <w:pPr>
              <w:pStyle w:val="TableParagraph"/>
              <w:spacing w:before="120"/>
              <w:ind w:left="105"/>
              <w:rPr>
                <w:sz w:val="24"/>
              </w:rPr>
            </w:pPr>
            <w:r w:rsidRPr="00BB1E73">
              <w:rPr>
                <w:sz w:val="24"/>
              </w:rPr>
              <w:t>0</w:t>
            </w:r>
          </w:p>
        </w:tc>
        <w:tc>
          <w:tcPr>
            <w:tcW w:w="1559" w:type="dxa"/>
          </w:tcPr>
          <w:p w:rsidR="005854EB" w:rsidRPr="00BB1E73">
            <w:pPr>
              <w:pStyle w:val="TableParagraph"/>
              <w:spacing w:before="120"/>
              <w:ind w:right="96"/>
              <w:jc w:val="right"/>
              <w:rPr>
                <w:sz w:val="24"/>
              </w:rPr>
            </w:pPr>
            <w:r w:rsidRPr="00BB1E73">
              <w:rPr>
                <w:sz w:val="24"/>
              </w:rPr>
              <w:t>EUR 850,000</w:t>
            </w:r>
          </w:p>
        </w:tc>
        <w:tc>
          <w:tcPr>
            <w:tcW w:w="1559" w:type="dxa"/>
          </w:tcPr>
          <w:p w:rsidR="005854EB" w:rsidRPr="00BB1E73">
            <w:pPr>
              <w:pStyle w:val="TableParagraph"/>
              <w:spacing w:before="120"/>
              <w:ind w:left="110"/>
              <w:rPr>
                <w:sz w:val="24"/>
              </w:rPr>
            </w:pPr>
            <w:r w:rsidRPr="00BB1E73">
              <w:rPr>
                <w:sz w:val="24"/>
              </w:rPr>
              <w:t>2 &gt; 0</w:t>
            </w:r>
          </w:p>
        </w:tc>
      </w:tr>
      <w:tr w:rsidTr="00BB1E73">
        <w:tblPrEx>
          <w:tblW w:w="0" w:type="auto"/>
          <w:tblInd w:w="5" w:type="dxa"/>
          <w:tblLayout w:type="fixed"/>
          <w:tblCellMar>
            <w:left w:w="0" w:type="dxa"/>
            <w:right w:w="0" w:type="dxa"/>
          </w:tblCellMar>
          <w:tblLook w:val="01E0"/>
        </w:tblPrEx>
        <w:trPr>
          <w:trHeight w:val="522"/>
        </w:trPr>
        <w:tc>
          <w:tcPr>
            <w:tcW w:w="2127" w:type="dxa"/>
          </w:tcPr>
          <w:p w:rsidR="005854EB" w:rsidRPr="00BB1E73">
            <w:pPr>
              <w:pStyle w:val="TableParagraph"/>
              <w:spacing w:before="120"/>
              <w:ind w:left="100"/>
              <w:rPr>
                <w:sz w:val="24"/>
              </w:rPr>
            </w:pPr>
            <w:r w:rsidRPr="00BB1E73">
              <w:rPr>
                <w:sz w:val="24"/>
              </w:rPr>
              <w:t>Other</w:t>
            </w:r>
          </w:p>
        </w:tc>
        <w:tc>
          <w:tcPr>
            <w:tcW w:w="1275" w:type="dxa"/>
          </w:tcPr>
          <w:p w:rsidR="005854EB" w:rsidRPr="00BB1E73" w:rsidP="00BB1E73">
            <w:pPr>
              <w:pStyle w:val="TableParagraph"/>
              <w:spacing w:before="120"/>
              <w:ind w:left="57"/>
              <w:rPr>
                <w:sz w:val="24"/>
              </w:rPr>
            </w:pPr>
            <w:r w:rsidRPr="00BB1E73">
              <w:rPr>
                <w:sz w:val="24"/>
              </w:rPr>
              <w:t>4</w:t>
            </w:r>
          </w:p>
        </w:tc>
        <w:tc>
          <w:tcPr>
            <w:tcW w:w="1200" w:type="dxa"/>
          </w:tcPr>
          <w:p w:rsidR="005854EB" w:rsidRPr="00BB1E73">
            <w:pPr>
              <w:pStyle w:val="TableParagraph"/>
              <w:spacing w:before="120"/>
              <w:ind w:left="104"/>
              <w:rPr>
                <w:sz w:val="24"/>
              </w:rPr>
            </w:pPr>
            <w:r w:rsidRPr="00BB1E73">
              <w:rPr>
                <w:sz w:val="24"/>
              </w:rPr>
              <w:t>5</w:t>
            </w:r>
          </w:p>
        </w:tc>
        <w:tc>
          <w:tcPr>
            <w:tcW w:w="1352" w:type="dxa"/>
          </w:tcPr>
          <w:p w:rsidR="005854EB" w:rsidRPr="00BB1E73">
            <w:pPr>
              <w:pStyle w:val="TableParagraph"/>
              <w:spacing w:before="120"/>
              <w:ind w:left="105"/>
              <w:rPr>
                <w:sz w:val="24"/>
              </w:rPr>
            </w:pPr>
            <w:r w:rsidRPr="00BB1E73">
              <w:rPr>
                <w:sz w:val="24"/>
              </w:rPr>
              <w:t>2</w:t>
            </w:r>
          </w:p>
        </w:tc>
        <w:tc>
          <w:tcPr>
            <w:tcW w:w="1559" w:type="dxa"/>
          </w:tcPr>
          <w:p w:rsidR="005854EB" w:rsidRPr="00BB1E73">
            <w:pPr>
              <w:pStyle w:val="TableParagraph"/>
              <w:spacing w:before="120"/>
              <w:ind w:right="94"/>
              <w:jc w:val="right"/>
              <w:rPr>
                <w:sz w:val="24"/>
              </w:rPr>
            </w:pPr>
            <w:r w:rsidRPr="00BB1E73">
              <w:rPr>
                <w:sz w:val="24"/>
              </w:rPr>
              <w:t>EUR 5,500</w:t>
            </w:r>
          </w:p>
        </w:tc>
        <w:tc>
          <w:tcPr>
            <w:tcW w:w="1559" w:type="dxa"/>
          </w:tcPr>
          <w:p w:rsidR="005854EB" w:rsidRPr="00BB1E73">
            <w:pPr>
              <w:pStyle w:val="TableParagraph"/>
              <w:spacing w:before="120"/>
              <w:ind w:left="110"/>
              <w:rPr>
                <w:sz w:val="24"/>
              </w:rPr>
            </w:pPr>
            <w:r w:rsidRPr="00BB1E73">
              <w:rPr>
                <w:sz w:val="24"/>
              </w:rPr>
              <w:t>4 &lt; 5</w:t>
            </w:r>
          </w:p>
        </w:tc>
      </w:tr>
    </w:tbl>
    <w:p w:rsidR="005854EB" w:rsidRPr="00BB1E73">
      <w:pPr>
        <w:rPr>
          <w:sz w:val="24"/>
        </w:rPr>
        <w:sectPr>
          <w:footerReference w:type="default" r:id="rId13"/>
          <w:pgSz w:w="11910" w:h="16840"/>
          <w:pgMar w:top="1100" w:right="1020" w:bottom="1000" w:left="1580" w:header="0" w:footer="738" w:gutter="0"/>
          <w:cols w:space="720"/>
        </w:sectPr>
      </w:pPr>
    </w:p>
    <w:p w:rsidR="005854EB" w:rsidRPr="00BB1E73">
      <w:pPr>
        <w:pStyle w:val="Heading2"/>
        <w:numPr>
          <w:ilvl w:val="1"/>
          <w:numId w:val="4"/>
        </w:numPr>
        <w:tabs>
          <w:tab w:val="left" w:pos="695"/>
        </w:tabs>
        <w:spacing w:before="78"/>
        <w:ind w:hanging="600"/>
      </w:pPr>
      <w:bookmarkStart w:id="27" w:name="_Toc503796873"/>
      <w:bookmarkStart w:id="28" w:name="_Toc506208158"/>
      <w:r w:rsidRPr="00BB1E73">
        <w:t>Investigations commenced and completed in 2016</w:t>
      </w:r>
      <w:bookmarkEnd w:id="27"/>
      <w:bookmarkEnd w:id="28"/>
    </w:p>
    <w:p w:rsidR="005854EB" w:rsidRPr="00BB1E73">
      <w:pPr>
        <w:spacing w:before="61"/>
        <w:ind w:left="719" w:right="684"/>
        <w:jc w:val="both"/>
        <w:rPr>
          <w:sz w:val="24"/>
        </w:rPr>
      </w:pPr>
      <w:r w:rsidRPr="00BB1E73">
        <w:rPr>
          <w:sz w:val="24"/>
        </w:rPr>
        <w:t>All six accident investigations commenced in 2016 were completed in the same year. Four accidents and one incident were investigated in 2015, with all investigations being completed in the same year.</w:t>
      </w:r>
    </w:p>
    <w:p w:rsidR="005854EB" w:rsidRPr="00BB1E73" w:rsidP="00C8304A"/>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2207"/>
        <w:gridCol w:w="1642"/>
        <w:gridCol w:w="1210"/>
        <w:gridCol w:w="1887"/>
      </w:tblGrid>
      <w:tr w:rsidTr="00BB1E73">
        <w:tblPrEx>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0"/>
        </w:trPr>
        <w:tc>
          <w:tcPr>
            <w:tcW w:w="9214" w:type="dxa"/>
            <w:gridSpan w:val="5"/>
          </w:tcPr>
          <w:p w:rsidR="005854EB" w:rsidRPr="00BB1E73">
            <w:pPr>
              <w:pStyle w:val="TableParagraph"/>
              <w:spacing w:before="120"/>
              <w:ind w:left="110"/>
              <w:rPr>
                <w:b/>
                <w:sz w:val="24"/>
              </w:rPr>
            </w:pPr>
            <w:r w:rsidRPr="00BB1E73">
              <w:rPr>
                <w:b/>
                <w:sz w:val="24"/>
              </w:rPr>
              <w:t>Investigations completed in 2016</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rsidP="000757EA">
            <w:pPr>
              <w:pStyle w:val="TableParagraph"/>
              <w:spacing w:before="40"/>
              <w:ind w:left="110"/>
              <w:rPr>
                <w:sz w:val="24"/>
              </w:rPr>
            </w:pPr>
            <w:r w:rsidRPr="00BB1E73">
              <w:rPr>
                <w:sz w:val="24"/>
              </w:rPr>
              <w:t>Date of accident</w:t>
            </w:r>
          </w:p>
        </w:tc>
        <w:tc>
          <w:tcPr>
            <w:tcW w:w="2207" w:type="dxa"/>
          </w:tcPr>
          <w:p w:rsidR="005854EB" w:rsidRPr="00BB1E73" w:rsidP="000757EA">
            <w:pPr>
              <w:pStyle w:val="TableParagraph"/>
              <w:spacing w:before="40"/>
              <w:ind w:left="105"/>
              <w:rPr>
                <w:sz w:val="24"/>
              </w:rPr>
            </w:pPr>
            <w:r w:rsidRPr="00BB1E73">
              <w:rPr>
                <w:sz w:val="24"/>
              </w:rPr>
              <w:t>Type of accident</w:t>
            </w:r>
          </w:p>
        </w:tc>
        <w:tc>
          <w:tcPr>
            <w:tcW w:w="1642" w:type="dxa"/>
          </w:tcPr>
          <w:p w:rsidR="005854EB" w:rsidRPr="00BB1E73" w:rsidP="000757EA">
            <w:pPr>
              <w:pStyle w:val="TableParagraph"/>
              <w:spacing w:before="40"/>
              <w:ind w:left="107"/>
              <w:rPr>
                <w:sz w:val="24"/>
              </w:rPr>
            </w:pPr>
            <w:r w:rsidRPr="00BB1E73">
              <w:rPr>
                <w:sz w:val="24"/>
              </w:rPr>
              <w:t>Place of accident</w:t>
            </w:r>
          </w:p>
        </w:tc>
        <w:tc>
          <w:tcPr>
            <w:tcW w:w="1210" w:type="dxa"/>
          </w:tcPr>
          <w:p w:rsidR="005854EB" w:rsidRPr="00BB1E73" w:rsidP="000757EA">
            <w:pPr>
              <w:pStyle w:val="TableParagraph"/>
              <w:spacing w:before="40" w:line="242" w:lineRule="auto"/>
              <w:ind w:left="104" w:right="221" w:hanging="2"/>
              <w:rPr>
                <w:sz w:val="24"/>
              </w:rPr>
            </w:pPr>
            <w:r w:rsidRPr="00BB1E73">
              <w:rPr>
                <w:sz w:val="24"/>
              </w:rPr>
              <w:t>Legal basis</w:t>
            </w:r>
          </w:p>
        </w:tc>
        <w:tc>
          <w:tcPr>
            <w:tcW w:w="1887" w:type="dxa"/>
          </w:tcPr>
          <w:p w:rsidR="005854EB" w:rsidRPr="00BB1E73" w:rsidP="000757EA">
            <w:pPr>
              <w:pStyle w:val="TableParagraph"/>
              <w:spacing w:before="40" w:line="242" w:lineRule="auto"/>
              <w:ind w:left="103" w:right="420"/>
              <w:rPr>
                <w:sz w:val="24"/>
              </w:rPr>
            </w:pPr>
            <w:r w:rsidRPr="00BB1E73">
              <w:rPr>
                <w:sz w:val="24"/>
              </w:rPr>
              <w:t>Date of completion</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pPr>
              <w:pStyle w:val="TableParagraph"/>
              <w:ind w:left="110"/>
              <w:rPr>
                <w:sz w:val="24"/>
              </w:rPr>
            </w:pPr>
            <w:r w:rsidRPr="00BB1E73">
              <w:rPr>
                <w:sz w:val="24"/>
              </w:rPr>
              <w:t>20 February 2016</w:t>
            </w:r>
          </w:p>
        </w:tc>
        <w:tc>
          <w:tcPr>
            <w:tcW w:w="2207" w:type="dxa"/>
          </w:tcPr>
          <w:p w:rsidR="005854EB" w:rsidRPr="00BB1E73" w:rsidP="006A12F9">
            <w:pPr>
              <w:pStyle w:val="TableParagraph"/>
              <w:spacing w:line="244" w:lineRule="auto"/>
              <w:ind w:left="104" w:right="293" w:hanging="2"/>
              <w:rPr>
                <w:sz w:val="24"/>
              </w:rPr>
            </w:pPr>
            <w:r w:rsidRPr="00BB1E73">
              <w:rPr>
                <w:sz w:val="24"/>
              </w:rPr>
              <w:t>derailment of international goods train 45440</w:t>
            </w:r>
          </w:p>
        </w:tc>
        <w:tc>
          <w:tcPr>
            <w:tcW w:w="1642" w:type="dxa"/>
          </w:tcPr>
          <w:p w:rsidR="005854EB" w:rsidRPr="00BB1E73" w:rsidP="006A12F9">
            <w:pPr>
              <w:pStyle w:val="TableParagraph"/>
              <w:spacing w:line="244" w:lineRule="auto"/>
              <w:ind w:left="109" w:right="159"/>
              <w:rPr>
                <w:sz w:val="24"/>
              </w:rPr>
            </w:pPr>
            <w:r w:rsidRPr="00BB1E73">
              <w:rPr>
                <w:sz w:val="24"/>
              </w:rPr>
              <w:t>Points 205, Ljubljana station, km 565+934</w:t>
            </w:r>
          </w:p>
        </w:tc>
        <w:tc>
          <w:tcPr>
            <w:tcW w:w="1210" w:type="dxa"/>
          </w:tcPr>
          <w:p w:rsidR="005854EB" w:rsidRPr="00BB1E73">
            <w:pPr>
              <w:pStyle w:val="TableParagraph"/>
              <w:spacing w:line="244" w:lineRule="auto"/>
              <w:ind w:left="104" w:right="235"/>
              <w:rPr>
                <w:sz w:val="24"/>
              </w:rPr>
            </w:pPr>
            <w:r w:rsidRPr="00BB1E73">
              <w:rPr>
                <w:sz w:val="24"/>
              </w:rPr>
              <w:t xml:space="preserve">Article 26 of the </w:t>
            </w:r>
            <w:r w:rsidRPr="00BB1E73">
              <w:rPr>
                <w:sz w:val="24"/>
              </w:rPr>
              <w:t>ZZelP</w:t>
            </w:r>
          </w:p>
        </w:tc>
        <w:tc>
          <w:tcPr>
            <w:tcW w:w="1887" w:type="dxa"/>
          </w:tcPr>
          <w:p w:rsidR="005854EB" w:rsidRPr="00BB1E73">
            <w:pPr>
              <w:pStyle w:val="TableParagraph"/>
              <w:ind w:left="103"/>
              <w:rPr>
                <w:sz w:val="24"/>
              </w:rPr>
            </w:pPr>
            <w:r w:rsidRPr="00BB1E73">
              <w:rPr>
                <w:sz w:val="24"/>
              </w:rPr>
              <w:t>27 October 2016</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pPr>
              <w:pStyle w:val="TableParagraph"/>
              <w:ind w:left="110"/>
              <w:rPr>
                <w:sz w:val="24"/>
              </w:rPr>
            </w:pPr>
            <w:r w:rsidRPr="00BB1E73">
              <w:rPr>
                <w:sz w:val="24"/>
              </w:rPr>
              <w:t>18 March 2016</w:t>
            </w:r>
          </w:p>
        </w:tc>
        <w:tc>
          <w:tcPr>
            <w:tcW w:w="2207" w:type="dxa"/>
          </w:tcPr>
          <w:p w:rsidR="005854EB" w:rsidRPr="00BB1E73">
            <w:pPr>
              <w:pStyle w:val="TableParagraph"/>
              <w:spacing w:line="242" w:lineRule="auto"/>
              <w:ind w:left="104" w:right="173" w:hanging="2"/>
              <w:rPr>
                <w:sz w:val="24"/>
              </w:rPr>
            </w:pPr>
            <w:r w:rsidRPr="00BB1E73">
              <w:rPr>
                <w:sz w:val="24"/>
              </w:rPr>
              <w:t>collision between local passenger train 2425 and elderly pedestrian</w:t>
            </w:r>
          </w:p>
        </w:tc>
        <w:tc>
          <w:tcPr>
            <w:tcW w:w="1642" w:type="dxa"/>
          </w:tcPr>
          <w:p w:rsidR="005854EB" w:rsidRPr="00BB1E73" w:rsidP="006A12F9">
            <w:pPr>
              <w:pStyle w:val="TableParagraph"/>
              <w:spacing w:line="242" w:lineRule="auto"/>
              <w:ind w:left="109" w:right="162"/>
              <w:rPr>
                <w:sz w:val="24"/>
              </w:rPr>
            </w:pPr>
            <w:r w:rsidRPr="00BB1E73">
              <w:rPr>
                <w:sz w:val="24"/>
              </w:rPr>
              <w:t xml:space="preserve">between Ljubljana </w:t>
            </w:r>
            <w:r w:rsidRPr="00BB1E73">
              <w:rPr>
                <w:sz w:val="24"/>
              </w:rPr>
              <w:t>Vižmarje</w:t>
            </w:r>
            <w:r w:rsidRPr="00BB1E73">
              <w:rPr>
                <w:sz w:val="24"/>
              </w:rPr>
              <w:t xml:space="preserve"> and Ljubljana </w:t>
            </w:r>
            <w:r w:rsidRPr="00BB1E73">
              <w:rPr>
                <w:sz w:val="24"/>
              </w:rPr>
              <w:t>Šiška</w:t>
            </w:r>
            <w:r w:rsidRPr="00BB1E73">
              <w:rPr>
                <w:sz w:val="24"/>
              </w:rPr>
              <w:t xml:space="preserve"> stations </w:t>
            </w:r>
            <w:r w:rsidRPr="00BB1E73">
              <w:noBreakHyphen/>
            </w:r>
            <w:r w:rsidRPr="00BB1E73">
              <w:rPr>
                <w:sz w:val="24"/>
              </w:rPr>
              <w:t> level crossing 568+9</w:t>
            </w:r>
          </w:p>
        </w:tc>
        <w:tc>
          <w:tcPr>
            <w:tcW w:w="1210" w:type="dxa"/>
          </w:tcPr>
          <w:p w:rsidR="005854EB" w:rsidRPr="00BB1E73">
            <w:pPr>
              <w:pStyle w:val="TableParagraph"/>
              <w:spacing w:line="242" w:lineRule="auto"/>
              <w:ind w:left="104" w:right="235"/>
              <w:rPr>
                <w:sz w:val="24"/>
              </w:rPr>
            </w:pPr>
            <w:r w:rsidRPr="00BB1E73">
              <w:rPr>
                <w:sz w:val="24"/>
              </w:rPr>
              <w:t xml:space="preserve">Article 26 of the </w:t>
            </w:r>
            <w:r w:rsidRPr="00BB1E73">
              <w:rPr>
                <w:sz w:val="24"/>
              </w:rPr>
              <w:t>ZZelP</w:t>
            </w:r>
          </w:p>
        </w:tc>
        <w:tc>
          <w:tcPr>
            <w:tcW w:w="1887" w:type="dxa"/>
          </w:tcPr>
          <w:p w:rsidR="005854EB" w:rsidRPr="00BB1E73">
            <w:pPr>
              <w:pStyle w:val="TableParagraph"/>
              <w:ind w:left="103"/>
              <w:rPr>
                <w:sz w:val="24"/>
              </w:rPr>
            </w:pPr>
            <w:r w:rsidRPr="00BB1E73">
              <w:rPr>
                <w:sz w:val="24"/>
              </w:rPr>
              <w:t>4 November 2016</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pPr>
              <w:pStyle w:val="TableParagraph"/>
              <w:ind w:left="110"/>
              <w:rPr>
                <w:sz w:val="24"/>
              </w:rPr>
            </w:pPr>
            <w:r w:rsidRPr="00BB1E73">
              <w:rPr>
                <w:sz w:val="24"/>
              </w:rPr>
              <w:t>5 June 2016</w:t>
            </w:r>
          </w:p>
        </w:tc>
        <w:tc>
          <w:tcPr>
            <w:tcW w:w="2207" w:type="dxa"/>
          </w:tcPr>
          <w:p w:rsidR="005854EB" w:rsidRPr="00BB1E73" w:rsidP="006A12F9">
            <w:pPr>
              <w:pStyle w:val="TableParagraph"/>
              <w:spacing w:line="242" w:lineRule="auto"/>
              <w:ind w:left="104" w:right="200" w:hanging="2"/>
              <w:rPr>
                <w:sz w:val="24"/>
              </w:rPr>
            </w:pPr>
            <w:r w:rsidRPr="00BB1E73">
              <w:rPr>
                <w:sz w:val="24"/>
              </w:rPr>
              <w:t>collision between international passenger train 151 and cyclist</w:t>
            </w:r>
          </w:p>
        </w:tc>
        <w:tc>
          <w:tcPr>
            <w:tcW w:w="1642" w:type="dxa"/>
          </w:tcPr>
          <w:p w:rsidR="005854EB" w:rsidRPr="00BB1E73">
            <w:pPr>
              <w:pStyle w:val="TableParagraph"/>
              <w:spacing w:line="244" w:lineRule="auto"/>
              <w:ind w:left="109" w:right="89"/>
              <w:rPr>
                <w:sz w:val="24"/>
              </w:rPr>
            </w:pPr>
            <w:r w:rsidRPr="00BB1E73">
              <w:rPr>
                <w:sz w:val="24"/>
              </w:rPr>
              <w:t>Šentjur</w:t>
            </w:r>
            <w:r w:rsidRPr="00BB1E73">
              <w:rPr>
                <w:sz w:val="24"/>
              </w:rPr>
              <w:t xml:space="preserve"> station </w:t>
            </w:r>
            <w:r w:rsidRPr="00BB1E73">
              <w:noBreakHyphen/>
            </w:r>
            <w:r w:rsidRPr="00BB1E73">
              <w:rPr>
                <w:sz w:val="24"/>
              </w:rPr>
              <w:t> level crossing 538+3</w:t>
            </w:r>
          </w:p>
        </w:tc>
        <w:tc>
          <w:tcPr>
            <w:tcW w:w="1210" w:type="dxa"/>
          </w:tcPr>
          <w:p w:rsidR="005854EB" w:rsidRPr="00BB1E73">
            <w:pPr>
              <w:pStyle w:val="TableParagraph"/>
              <w:spacing w:line="244" w:lineRule="auto"/>
              <w:ind w:left="104" w:right="235"/>
              <w:rPr>
                <w:sz w:val="24"/>
              </w:rPr>
            </w:pPr>
            <w:r w:rsidRPr="00BB1E73">
              <w:rPr>
                <w:sz w:val="24"/>
              </w:rPr>
              <w:t xml:space="preserve">Article 26 of the </w:t>
            </w:r>
            <w:r w:rsidRPr="00BB1E73">
              <w:rPr>
                <w:sz w:val="24"/>
              </w:rPr>
              <w:t>ZZelP</w:t>
            </w:r>
          </w:p>
        </w:tc>
        <w:tc>
          <w:tcPr>
            <w:tcW w:w="1887" w:type="dxa"/>
          </w:tcPr>
          <w:p w:rsidR="005854EB" w:rsidRPr="00BB1E73">
            <w:pPr>
              <w:pStyle w:val="TableParagraph"/>
              <w:ind w:left="103"/>
              <w:rPr>
                <w:sz w:val="24"/>
              </w:rPr>
            </w:pPr>
            <w:r w:rsidRPr="00BB1E73">
              <w:rPr>
                <w:sz w:val="24"/>
              </w:rPr>
              <w:t>16 November 2016</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pPr>
              <w:pStyle w:val="TableParagraph"/>
              <w:ind w:left="110"/>
              <w:rPr>
                <w:sz w:val="24"/>
              </w:rPr>
            </w:pPr>
            <w:r w:rsidRPr="00BB1E73">
              <w:rPr>
                <w:sz w:val="24"/>
              </w:rPr>
              <w:t>14 June 2016</w:t>
            </w:r>
          </w:p>
        </w:tc>
        <w:tc>
          <w:tcPr>
            <w:tcW w:w="2207" w:type="dxa"/>
          </w:tcPr>
          <w:p w:rsidR="005854EB" w:rsidRPr="00BB1E73" w:rsidP="006A12F9">
            <w:pPr>
              <w:pStyle w:val="TableParagraph"/>
              <w:spacing w:line="242" w:lineRule="auto"/>
              <w:ind w:left="104" w:right="293" w:hanging="2"/>
              <w:rPr>
                <w:sz w:val="24"/>
              </w:rPr>
            </w:pPr>
            <w:r w:rsidRPr="00BB1E73">
              <w:rPr>
                <w:sz w:val="24"/>
              </w:rPr>
              <w:t>collision between international goods train 45445 and car</w:t>
            </w:r>
          </w:p>
        </w:tc>
        <w:tc>
          <w:tcPr>
            <w:tcW w:w="1642" w:type="dxa"/>
          </w:tcPr>
          <w:p w:rsidR="005854EB" w:rsidRPr="00BB1E73" w:rsidP="006A12F9">
            <w:pPr>
              <w:pStyle w:val="TableParagraph"/>
              <w:spacing w:line="242" w:lineRule="auto"/>
              <w:ind w:left="109" w:right="162"/>
              <w:rPr>
                <w:sz w:val="24"/>
              </w:rPr>
            </w:pPr>
            <w:r w:rsidRPr="00BB1E73">
              <w:rPr>
                <w:sz w:val="24"/>
              </w:rPr>
              <w:t>Škofja</w:t>
            </w:r>
            <w:r w:rsidRPr="00BB1E73">
              <w:rPr>
                <w:sz w:val="24"/>
              </w:rPr>
              <w:t xml:space="preserve"> </w:t>
            </w:r>
            <w:r w:rsidRPr="00BB1E73">
              <w:rPr>
                <w:sz w:val="24"/>
              </w:rPr>
              <w:t>Loka</w:t>
            </w:r>
            <w:r w:rsidRPr="00BB1E73">
              <w:rPr>
                <w:sz w:val="24"/>
              </w:rPr>
              <w:t xml:space="preserve"> station </w:t>
            </w:r>
            <w:r w:rsidRPr="00BB1E73">
              <w:noBreakHyphen/>
            </w:r>
            <w:r w:rsidRPr="00BB1E73">
              <w:rPr>
                <w:sz w:val="24"/>
              </w:rPr>
              <w:t> level crossing 586+9</w:t>
            </w:r>
          </w:p>
        </w:tc>
        <w:tc>
          <w:tcPr>
            <w:tcW w:w="1210" w:type="dxa"/>
          </w:tcPr>
          <w:p w:rsidR="005854EB" w:rsidRPr="00BB1E73">
            <w:pPr>
              <w:pStyle w:val="TableParagraph"/>
              <w:spacing w:line="244" w:lineRule="auto"/>
              <w:ind w:left="104" w:right="235"/>
              <w:rPr>
                <w:sz w:val="24"/>
              </w:rPr>
            </w:pPr>
            <w:r w:rsidRPr="00BB1E73">
              <w:rPr>
                <w:sz w:val="24"/>
              </w:rPr>
              <w:t xml:space="preserve">Article 26 of the </w:t>
            </w:r>
            <w:r w:rsidRPr="00BB1E73">
              <w:rPr>
                <w:sz w:val="24"/>
              </w:rPr>
              <w:t>ZZelP</w:t>
            </w:r>
          </w:p>
        </w:tc>
        <w:tc>
          <w:tcPr>
            <w:tcW w:w="1887" w:type="dxa"/>
          </w:tcPr>
          <w:p w:rsidR="005854EB" w:rsidRPr="00BB1E73">
            <w:pPr>
              <w:pStyle w:val="TableParagraph"/>
              <w:ind w:left="103"/>
              <w:rPr>
                <w:sz w:val="24"/>
              </w:rPr>
            </w:pPr>
            <w:r w:rsidRPr="00BB1E73">
              <w:rPr>
                <w:sz w:val="24"/>
              </w:rPr>
              <w:t>10 December 2016</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pPr>
              <w:pStyle w:val="TableParagraph"/>
              <w:ind w:left="110"/>
              <w:rPr>
                <w:sz w:val="24"/>
              </w:rPr>
            </w:pPr>
            <w:r w:rsidRPr="00BB1E73">
              <w:rPr>
                <w:sz w:val="24"/>
              </w:rPr>
              <w:t>11 July 2016</w:t>
            </w:r>
          </w:p>
        </w:tc>
        <w:tc>
          <w:tcPr>
            <w:tcW w:w="2207" w:type="dxa"/>
          </w:tcPr>
          <w:p w:rsidR="005854EB" w:rsidRPr="00BB1E73">
            <w:pPr>
              <w:pStyle w:val="TableParagraph"/>
              <w:spacing w:line="244" w:lineRule="auto"/>
              <w:ind w:left="104" w:right="173" w:hanging="2"/>
              <w:rPr>
                <w:sz w:val="24"/>
              </w:rPr>
            </w:pPr>
            <w:r w:rsidRPr="00BB1E73">
              <w:rPr>
                <w:sz w:val="24"/>
              </w:rPr>
              <w:t>collision between local passenger train 3830 and car</w:t>
            </w:r>
          </w:p>
        </w:tc>
        <w:tc>
          <w:tcPr>
            <w:tcW w:w="1642" w:type="dxa"/>
          </w:tcPr>
          <w:p w:rsidR="005854EB" w:rsidRPr="00BB1E73" w:rsidP="006A12F9">
            <w:pPr>
              <w:pStyle w:val="TableParagraph"/>
              <w:spacing w:line="242" w:lineRule="auto"/>
              <w:ind w:left="109" w:right="235"/>
              <w:rPr>
                <w:sz w:val="24"/>
              </w:rPr>
            </w:pPr>
            <w:r w:rsidRPr="00BB1E73">
              <w:rPr>
                <w:sz w:val="24"/>
              </w:rPr>
              <w:t xml:space="preserve">between </w:t>
            </w:r>
            <w:r w:rsidRPr="00BB1E73">
              <w:rPr>
                <w:sz w:val="24"/>
              </w:rPr>
              <w:t>Ormož</w:t>
            </w:r>
            <w:r w:rsidRPr="00BB1E73">
              <w:rPr>
                <w:sz w:val="24"/>
              </w:rPr>
              <w:t xml:space="preserve"> and </w:t>
            </w:r>
            <w:r w:rsidRPr="00BB1E73">
              <w:rPr>
                <w:sz w:val="24"/>
              </w:rPr>
              <w:t>Središče</w:t>
            </w:r>
            <w:r w:rsidRPr="00BB1E73">
              <w:rPr>
                <w:sz w:val="24"/>
              </w:rPr>
              <w:t xml:space="preserve"> </w:t>
            </w:r>
            <w:r w:rsidRPr="00BB1E73">
              <w:rPr>
                <w:sz w:val="24"/>
              </w:rPr>
              <w:t>ob</w:t>
            </w:r>
            <w:r w:rsidRPr="00BB1E73">
              <w:rPr>
                <w:sz w:val="24"/>
              </w:rPr>
              <w:t xml:space="preserve"> </w:t>
            </w:r>
            <w:r w:rsidRPr="00BB1E73">
              <w:rPr>
                <w:sz w:val="24"/>
              </w:rPr>
              <w:t>Dravi</w:t>
            </w:r>
            <w:r w:rsidRPr="00BB1E73">
              <w:rPr>
                <w:sz w:val="24"/>
              </w:rPr>
              <w:t xml:space="preserve"> stations </w:t>
            </w:r>
            <w:r w:rsidRPr="00BB1E73">
              <w:noBreakHyphen/>
            </w:r>
            <w:r w:rsidRPr="00BB1E73">
              <w:rPr>
                <w:sz w:val="24"/>
              </w:rPr>
              <w:t> level crossing 048+2</w:t>
            </w:r>
          </w:p>
        </w:tc>
        <w:tc>
          <w:tcPr>
            <w:tcW w:w="1210" w:type="dxa"/>
          </w:tcPr>
          <w:p w:rsidR="005854EB" w:rsidRPr="00BB1E73">
            <w:pPr>
              <w:pStyle w:val="TableParagraph"/>
              <w:spacing w:line="244" w:lineRule="auto"/>
              <w:ind w:left="104" w:right="235"/>
              <w:rPr>
                <w:sz w:val="24"/>
              </w:rPr>
            </w:pPr>
            <w:r w:rsidRPr="00BB1E73">
              <w:rPr>
                <w:sz w:val="24"/>
              </w:rPr>
              <w:t xml:space="preserve">Article 26 of the </w:t>
            </w:r>
            <w:r w:rsidRPr="00BB1E73">
              <w:rPr>
                <w:sz w:val="24"/>
              </w:rPr>
              <w:t>ZZelP</w:t>
            </w:r>
          </w:p>
        </w:tc>
        <w:tc>
          <w:tcPr>
            <w:tcW w:w="1887" w:type="dxa"/>
          </w:tcPr>
          <w:p w:rsidR="005854EB" w:rsidRPr="00BB1E73">
            <w:pPr>
              <w:pStyle w:val="TableParagraph"/>
              <w:ind w:left="103"/>
              <w:rPr>
                <w:sz w:val="24"/>
              </w:rPr>
            </w:pPr>
            <w:r w:rsidRPr="00BB1E73">
              <w:rPr>
                <w:sz w:val="24"/>
              </w:rPr>
              <w:t>18 December 2016</w:t>
            </w:r>
          </w:p>
        </w:tc>
      </w:tr>
      <w:tr w:rsidTr="00BB1E73">
        <w:tblPrEx>
          <w:tblW w:w="9214" w:type="dxa"/>
          <w:tblInd w:w="147" w:type="dxa"/>
          <w:tblLayout w:type="fixed"/>
          <w:tblCellMar>
            <w:left w:w="0" w:type="dxa"/>
            <w:right w:w="0" w:type="dxa"/>
          </w:tblCellMar>
          <w:tblLook w:val="01E0"/>
        </w:tblPrEx>
        <w:trPr>
          <w:trHeight w:val="20"/>
        </w:trPr>
        <w:tc>
          <w:tcPr>
            <w:tcW w:w="2268" w:type="dxa"/>
          </w:tcPr>
          <w:p w:rsidR="005854EB" w:rsidRPr="00BB1E73">
            <w:pPr>
              <w:pStyle w:val="TableParagraph"/>
              <w:ind w:left="110"/>
              <w:rPr>
                <w:sz w:val="24"/>
              </w:rPr>
            </w:pPr>
            <w:r w:rsidRPr="00BB1E73">
              <w:rPr>
                <w:sz w:val="24"/>
              </w:rPr>
              <w:t>17 November 2016</w:t>
            </w:r>
          </w:p>
        </w:tc>
        <w:tc>
          <w:tcPr>
            <w:tcW w:w="2207" w:type="dxa"/>
          </w:tcPr>
          <w:p w:rsidR="005854EB" w:rsidRPr="00BB1E73" w:rsidP="006A12F9">
            <w:pPr>
              <w:pStyle w:val="TableParagraph"/>
              <w:spacing w:line="244" w:lineRule="auto"/>
              <w:ind w:left="104" w:right="293" w:hanging="2"/>
              <w:rPr>
                <w:sz w:val="24"/>
              </w:rPr>
            </w:pPr>
            <w:r w:rsidRPr="00BB1E73">
              <w:rPr>
                <w:sz w:val="24"/>
              </w:rPr>
              <w:t>derailment of international goods train 45799</w:t>
            </w:r>
          </w:p>
        </w:tc>
        <w:tc>
          <w:tcPr>
            <w:tcW w:w="1642" w:type="dxa"/>
          </w:tcPr>
          <w:p w:rsidR="005854EB" w:rsidRPr="00BB1E73" w:rsidP="006A12F9">
            <w:pPr>
              <w:pStyle w:val="TableParagraph"/>
              <w:spacing w:line="244" w:lineRule="auto"/>
              <w:ind w:left="109" w:right="102"/>
              <w:rPr>
                <w:sz w:val="24"/>
              </w:rPr>
            </w:pPr>
            <w:r w:rsidRPr="00BB1E73">
              <w:rPr>
                <w:sz w:val="24"/>
              </w:rPr>
              <w:t xml:space="preserve">Track 9, </w:t>
            </w:r>
            <w:r w:rsidRPr="00BB1E73">
              <w:rPr>
                <w:sz w:val="24"/>
              </w:rPr>
              <w:t>Dobova</w:t>
            </w:r>
            <w:r w:rsidRPr="00BB1E73">
              <w:rPr>
                <w:sz w:val="24"/>
              </w:rPr>
              <w:t xml:space="preserve"> station, km 453+840</w:t>
            </w:r>
          </w:p>
        </w:tc>
        <w:tc>
          <w:tcPr>
            <w:tcW w:w="1210" w:type="dxa"/>
          </w:tcPr>
          <w:p w:rsidR="005854EB" w:rsidRPr="00BB1E73">
            <w:pPr>
              <w:pStyle w:val="TableParagraph"/>
              <w:spacing w:line="244" w:lineRule="auto"/>
              <w:ind w:left="104" w:right="235"/>
              <w:rPr>
                <w:sz w:val="24"/>
              </w:rPr>
            </w:pPr>
            <w:r w:rsidRPr="00BB1E73">
              <w:rPr>
                <w:sz w:val="24"/>
              </w:rPr>
              <w:t xml:space="preserve">Article 26 of the </w:t>
            </w:r>
            <w:r w:rsidRPr="00BB1E73">
              <w:rPr>
                <w:sz w:val="24"/>
              </w:rPr>
              <w:t>ZZelP</w:t>
            </w:r>
          </w:p>
        </w:tc>
        <w:tc>
          <w:tcPr>
            <w:tcW w:w="1887" w:type="dxa"/>
          </w:tcPr>
          <w:p w:rsidR="005854EB" w:rsidRPr="00BB1E73">
            <w:pPr>
              <w:pStyle w:val="TableParagraph"/>
              <w:ind w:left="103"/>
              <w:rPr>
                <w:sz w:val="24"/>
              </w:rPr>
            </w:pPr>
            <w:r w:rsidRPr="00BB1E73">
              <w:rPr>
                <w:sz w:val="24"/>
              </w:rPr>
              <w:t>14 May 2017</w:t>
            </w:r>
          </w:p>
        </w:tc>
      </w:tr>
    </w:tbl>
    <w:p w:rsidR="005854EB" w:rsidRPr="00BB1E73">
      <w:pPr>
        <w:spacing w:before="201" w:line="244" w:lineRule="auto"/>
        <w:ind w:left="719" w:right="684"/>
        <w:jc w:val="both"/>
        <w:rPr>
          <w:sz w:val="24"/>
        </w:rPr>
      </w:pPr>
      <w:r w:rsidRPr="00BB1E73">
        <w:rPr>
          <w:sz w:val="24"/>
        </w:rPr>
        <w:t>In 2016 the body charged with investigating railway accidents and incidents launched investigations into six accidents, all pursuant to Article 19(2) of Directive 2004/59/EC of 29 April 2004.</w:t>
      </w:r>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1956"/>
        <w:gridCol w:w="2013"/>
        <w:gridCol w:w="1843"/>
        <w:gridCol w:w="2126"/>
      </w:tblGrid>
      <w:tr w:rsidTr="004D4B41">
        <w:tblPrEx>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0"/>
        </w:trPr>
        <w:tc>
          <w:tcPr>
            <w:tcW w:w="10206" w:type="dxa"/>
            <w:gridSpan w:val="5"/>
          </w:tcPr>
          <w:p w:rsidR="005854EB" w:rsidRPr="00BB1E73" w:rsidP="004D4B41">
            <w:pPr>
              <w:pStyle w:val="TableParagraph"/>
              <w:pageBreakBefore/>
              <w:spacing w:before="40" w:after="40" w:line="310" w:lineRule="exact"/>
              <w:ind w:left="108"/>
              <w:rPr>
                <w:b/>
                <w:sz w:val="28"/>
              </w:rPr>
            </w:pPr>
            <w:r w:rsidRPr="00BB1E73">
              <w:rPr>
                <w:b/>
                <w:sz w:val="28"/>
              </w:rPr>
              <w:t>Investigations launched in 2017</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line="278" w:lineRule="exact"/>
              <w:ind w:left="57" w:right="120"/>
              <w:rPr>
                <w:sz w:val="24"/>
              </w:rPr>
            </w:pPr>
            <w:r w:rsidRPr="00BB1E73">
              <w:rPr>
                <w:sz w:val="24"/>
              </w:rPr>
              <w:t>Date of accident or incident</w:t>
            </w:r>
          </w:p>
        </w:tc>
        <w:tc>
          <w:tcPr>
            <w:tcW w:w="1956" w:type="dxa"/>
          </w:tcPr>
          <w:p w:rsidR="005854EB" w:rsidRPr="00BB1E73" w:rsidP="004D4B41">
            <w:pPr>
              <w:pStyle w:val="TableParagraph"/>
              <w:spacing w:before="40" w:after="40" w:line="242" w:lineRule="auto"/>
              <w:ind w:left="105" w:right="256"/>
              <w:rPr>
                <w:sz w:val="24"/>
              </w:rPr>
            </w:pPr>
            <w:r w:rsidRPr="00BB1E73">
              <w:rPr>
                <w:sz w:val="24"/>
              </w:rPr>
              <w:t>Type of accident or incident</w:t>
            </w:r>
          </w:p>
        </w:tc>
        <w:tc>
          <w:tcPr>
            <w:tcW w:w="2013" w:type="dxa"/>
          </w:tcPr>
          <w:p w:rsidR="005854EB" w:rsidRPr="00BB1E73" w:rsidP="004D4B41">
            <w:pPr>
              <w:pStyle w:val="TableParagraph"/>
              <w:spacing w:before="40" w:after="40" w:line="242" w:lineRule="auto"/>
              <w:ind w:left="105" w:right="141"/>
              <w:rPr>
                <w:sz w:val="24"/>
              </w:rPr>
            </w:pPr>
            <w:r w:rsidRPr="00BB1E73">
              <w:rPr>
                <w:sz w:val="24"/>
              </w:rPr>
              <w:t>Place of accident or incident</w:t>
            </w:r>
          </w:p>
        </w:tc>
        <w:tc>
          <w:tcPr>
            <w:tcW w:w="1843" w:type="dxa"/>
          </w:tcPr>
          <w:p w:rsidR="005854EB" w:rsidRPr="00BB1E73" w:rsidP="004D4B41">
            <w:pPr>
              <w:pStyle w:val="TableParagraph"/>
              <w:spacing w:before="40" w:after="40" w:line="242" w:lineRule="auto"/>
              <w:ind w:left="105" w:right="426"/>
              <w:rPr>
                <w:sz w:val="24"/>
              </w:rPr>
            </w:pPr>
            <w:r w:rsidRPr="00BB1E73">
              <w:rPr>
                <w:sz w:val="24"/>
              </w:rPr>
              <w:t>Legal basis</w:t>
            </w:r>
          </w:p>
        </w:tc>
        <w:tc>
          <w:tcPr>
            <w:tcW w:w="2126" w:type="dxa"/>
          </w:tcPr>
          <w:p w:rsidR="005854EB" w:rsidRPr="00BB1E73" w:rsidP="004D4B41">
            <w:pPr>
              <w:pStyle w:val="TableParagraph"/>
              <w:spacing w:before="40" w:after="40" w:line="242" w:lineRule="auto"/>
              <w:ind w:left="110" w:right="189"/>
              <w:rPr>
                <w:sz w:val="24"/>
              </w:rPr>
            </w:pPr>
            <w:r w:rsidRPr="00BB1E73">
              <w:rPr>
                <w:sz w:val="24"/>
              </w:rPr>
              <w:t>Likely date of completion of investigation</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6 January 2017</w:t>
            </w:r>
          </w:p>
        </w:tc>
        <w:tc>
          <w:tcPr>
            <w:tcW w:w="1956" w:type="dxa"/>
          </w:tcPr>
          <w:p w:rsidR="005854EB" w:rsidRPr="00BB1E73" w:rsidP="004D4B41">
            <w:pPr>
              <w:pStyle w:val="TableParagraph"/>
              <w:spacing w:before="40" w:after="40" w:line="264" w:lineRule="auto"/>
              <w:ind w:left="105" w:right="98"/>
            </w:pPr>
            <w:r w:rsidRPr="00BB1E73">
              <w:t>derailment of local passenger train 2402</w:t>
            </w:r>
          </w:p>
        </w:tc>
        <w:tc>
          <w:tcPr>
            <w:tcW w:w="2013" w:type="dxa"/>
          </w:tcPr>
          <w:p w:rsidR="005854EB" w:rsidRPr="00BB1E73" w:rsidP="004D4B41">
            <w:pPr>
              <w:pStyle w:val="TableParagraph"/>
              <w:spacing w:before="40" w:after="40" w:line="264" w:lineRule="auto"/>
              <w:ind w:left="105" w:right="141"/>
              <w:jc w:val="both"/>
            </w:pPr>
            <w:r w:rsidRPr="00BB1E73">
              <w:t xml:space="preserve">Points 12, </w:t>
            </w:r>
            <w:r w:rsidRPr="00BB1E73">
              <w:t>Škofja</w:t>
            </w:r>
            <w:r w:rsidRPr="00BB1E73">
              <w:t xml:space="preserve"> </w:t>
            </w:r>
            <w:r w:rsidRPr="00BB1E73">
              <w:t>Loka</w:t>
            </w:r>
            <w:r w:rsidRPr="00BB1E73">
              <w:t xml:space="preserve"> station</w:t>
            </w:r>
          </w:p>
        </w:tc>
        <w:tc>
          <w:tcPr>
            <w:tcW w:w="1843" w:type="dxa"/>
          </w:tcPr>
          <w:p w:rsidR="005854EB" w:rsidRPr="00BB1E73" w:rsidP="004D4B41">
            <w:pPr>
              <w:pStyle w:val="TableParagraph"/>
              <w:spacing w:before="40" w:after="40" w:line="264"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line="264" w:lineRule="auto"/>
              <w:ind w:left="110" w:right="276"/>
            </w:pPr>
            <w:r w:rsidRPr="00BB1E73">
              <w:t>final report at the publication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18 April 2017</w:t>
            </w:r>
          </w:p>
        </w:tc>
        <w:tc>
          <w:tcPr>
            <w:tcW w:w="1956" w:type="dxa"/>
          </w:tcPr>
          <w:p w:rsidR="005854EB" w:rsidRPr="00BB1E73" w:rsidP="004D4B41">
            <w:pPr>
              <w:pStyle w:val="TableParagraph"/>
              <w:spacing w:before="40" w:after="40" w:line="266" w:lineRule="auto"/>
              <w:ind w:left="105" w:right="114"/>
            </w:pPr>
            <w:r w:rsidRPr="00BB1E73">
              <w:t>collision between local passenger train 3516 and car</w:t>
            </w:r>
          </w:p>
        </w:tc>
        <w:tc>
          <w:tcPr>
            <w:tcW w:w="2013" w:type="dxa"/>
          </w:tcPr>
          <w:p w:rsidR="005854EB" w:rsidRPr="00BB1E73" w:rsidP="004D4B41">
            <w:pPr>
              <w:pStyle w:val="TableParagraph"/>
              <w:spacing w:before="40" w:after="40" w:line="266" w:lineRule="auto"/>
              <w:ind w:left="105" w:right="141"/>
            </w:pPr>
            <w:r w:rsidRPr="00BB1E73">
              <w:t xml:space="preserve">between </w:t>
            </w:r>
            <w:r w:rsidRPr="00BB1E73">
              <w:t>Celje</w:t>
            </w:r>
            <w:r w:rsidRPr="00BB1E73">
              <w:t xml:space="preserve"> and </w:t>
            </w:r>
            <w:r w:rsidRPr="00BB1E73">
              <w:t>Žalec</w:t>
            </w:r>
            <w:r w:rsidRPr="00BB1E73">
              <w:t xml:space="preserve"> stations </w:t>
            </w:r>
            <w:r w:rsidRPr="00BB1E73">
              <w:noBreakHyphen/>
              <w:t> level crossing 7.6</w:t>
            </w:r>
          </w:p>
        </w:tc>
        <w:tc>
          <w:tcPr>
            <w:tcW w:w="1843" w:type="dxa"/>
          </w:tcPr>
          <w:p w:rsidR="005854EB" w:rsidRPr="00BB1E73" w:rsidP="004D4B41">
            <w:pPr>
              <w:pStyle w:val="TableParagraph"/>
              <w:spacing w:before="40" w:after="40" w:line="264"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line="264" w:lineRule="auto"/>
              <w:ind w:left="110" w:right="276"/>
            </w:pPr>
            <w:r w:rsidRPr="00BB1E73">
              <w:t>final report at the publication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16 June 2017</w:t>
            </w:r>
          </w:p>
        </w:tc>
        <w:tc>
          <w:tcPr>
            <w:tcW w:w="1956" w:type="dxa"/>
          </w:tcPr>
          <w:p w:rsidR="005854EB" w:rsidRPr="00BB1E73" w:rsidP="004D4B41">
            <w:pPr>
              <w:pStyle w:val="TableParagraph"/>
              <w:spacing w:before="40" w:after="40" w:line="268" w:lineRule="auto"/>
              <w:ind w:left="105" w:right="184"/>
            </w:pPr>
            <w:r w:rsidRPr="00BB1E73">
              <w:t>collision between locomotive 541-008 and train 38008</w:t>
            </w:r>
          </w:p>
        </w:tc>
        <w:tc>
          <w:tcPr>
            <w:tcW w:w="2013" w:type="dxa"/>
          </w:tcPr>
          <w:p w:rsidR="005854EB" w:rsidRPr="00BB1E73" w:rsidP="004D4B41">
            <w:pPr>
              <w:pStyle w:val="TableParagraph"/>
              <w:spacing w:before="40" w:after="40" w:line="266" w:lineRule="auto"/>
              <w:ind w:left="105" w:right="141"/>
            </w:pPr>
            <w:r w:rsidRPr="00BB1E73">
              <w:t>Points 24, Ljubljana station</w:t>
            </w:r>
          </w:p>
        </w:tc>
        <w:tc>
          <w:tcPr>
            <w:tcW w:w="1843" w:type="dxa"/>
          </w:tcPr>
          <w:p w:rsidR="005854EB" w:rsidRPr="00BB1E73" w:rsidP="004D4B41">
            <w:pPr>
              <w:pStyle w:val="TableParagraph"/>
              <w:spacing w:before="40" w:after="40" w:line="268"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ind w:left="110"/>
            </w:pPr>
            <w:r w:rsidRPr="00BB1E73">
              <w:t>at the investigation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19 June 2017</w:t>
            </w:r>
          </w:p>
        </w:tc>
        <w:tc>
          <w:tcPr>
            <w:tcW w:w="1956" w:type="dxa"/>
          </w:tcPr>
          <w:p w:rsidR="005854EB" w:rsidRPr="00BB1E73" w:rsidP="004D4B41">
            <w:pPr>
              <w:pStyle w:val="TableParagraph"/>
              <w:spacing w:before="40" w:after="40" w:line="264" w:lineRule="auto"/>
              <w:ind w:left="105" w:right="183"/>
            </w:pPr>
            <w:r w:rsidRPr="00BB1E73">
              <w:t>derailment of international goods train 43601</w:t>
            </w:r>
          </w:p>
        </w:tc>
        <w:tc>
          <w:tcPr>
            <w:tcW w:w="2013" w:type="dxa"/>
          </w:tcPr>
          <w:p w:rsidR="005854EB" w:rsidRPr="00BB1E73" w:rsidP="004D4B41">
            <w:pPr>
              <w:pStyle w:val="TableParagraph"/>
              <w:spacing w:before="40" w:after="40" w:line="264" w:lineRule="auto"/>
              <w:ind w:left="105" w:right="141"/>
              <w:jc w:val="both"/>
            </w:pPr>
            <w:r w:rsidRPr="00BB1E73">
              <w:t xml:space="preserve">Points 25, </w:t>
            </w:r>
            <w:r w:rsidRPr="00BB1E73">
              <w:t>Zidani</w:t>
            </w:r>
            <w:r w:rsidRPr="00BB1E73">
              <w:t xml:space="preserve"> Most station</w:t>
            </w:r>
          </w:p>
        </w:tc>
        <w:tc>
          <w:tcPr>
            <w:tcW w:w="1843" w:type="dxa"/>
          </w:tcPr>
          <w:p w:rsidR="005854EB" w:rsidRPr="00BB1E73" w:rsidP="004D4B41">
            <w:pPr>
              <w:pStyle w:val="TableParagraph"/>
              <w:spacing w:before="40" w:after="40" w:line="264"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line="264" w:lineRule="auto"/>
              <w:ind w:left="110" w:right="276"/>
            </w:pPr>
            <w:r w:rsidRPr="00BB1E73">
              <w:t>final report at the publication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11 July 2017</w:t>
            </w:r>
          </w:p>
        </w:tc>
        <w:tc>
          <w:tcPr>
            <w:tcW w:w="1956" w:type="dxa"/>
          </w:tcPr>
          <w:p w:rsidR="005854EB" w:rsidRPr="00BB1E73" w:rsidP="004D4B41">
            <w:pPr>
              <w:pStyle w:val="TableParagraph"/>
              <w:spacing w:before="40" w:after="40" w:line="266" w:lineRule="auto"/>
              <w:ind w:left="105" w:right="183"/>
            </w:pPr>
            <w:r w:rsidRPr="00BB1E73">
              <w:t>derailment of international goods train 49485</w:t>
            </w:r>
          </w:p>
        </w:tc>
        <w:tc>
          <w:tcPr>
            <w:tcW w:w="2013" w:type="dxa"/>
          </w:tcPr>
          <w:p w:rsidR="005854EB" w:rsidRPr="00BB1E73" w:rsidP="004D4B41">
            <w:pPr>
              <w:pStyle w:val="TableParagraph"/>
              <w:spacing w:before="40" w:after="40" w:line="264" w:lineRule="auto"/>
              <w:ind w:left="105" w:right="141"/>
            </w:pPr>
            <w:r w:rsidRPr="00BB1E73">
              <w:t xml:space="preserve">Points 6, </w:t>
            </w:r>
            <w:r w:rsidRPr="00BB1E73">
              <w:t>Kranj</w:t>
            </w:r>
            <w:r w:rsidRPr="00BB1E73">
              <w:t xml:space="preserve"> station</w:t>
            </w:r>
          </w:p>
        </w:tc>
        <w:tc>
          <w:tcPr>
            <w:tcW w:w="1843" w:type="dxa"/>
          </w:tcPr>
          <w:p w:rsidR="005854EB" w:rsidRPr="00BB1E73" w:rsidP="004D4B41">
            <w:pPr>
              <w:pStyle w:val="TableParagraph"/>
              <w:spacing w:before="40" w:after="40" w:line="264"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ind w:left="110"/>
            </w:pPr>
            <w:r w:rsidRPr="00BB1E73">
              <w:t>at the investigation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24 July 2017</w:t>
            </w:r>
          </w:p>
        </w:tc>
        <w:tc>
          <w:tcPr>
            <w:tcW w:w="1956" w:type="dxa"/>
          </w:tcPr>
          <w:p w:rsidR="005854EB" w:rsidRPr="00BB1E73" w:rsidP="004D4B41">
            <w:pPr>
              <w:pStyle w:val="TableParagraph"/>
              <w:spacing w:before="40" w:after="40" w:line="266" w:lineRule="auto"/>
              <w:ind w:left="105" w:right="114"/>
            </w:pPr>
            <w:r w:rsidRPr="00BB1E73">
              <w:t>collision between local passenger train 2416 and pedestrian</w:t>
            </w:r>
          </w:p>
        </w:tc>
        <w:tc>
          <w:tcPr>
            <w:tcW w:w="2013" w:type="dxa"/>
          </w:tcPr>
          <w:p w:rsidR="005854EB" w:rsidRPr="00BB1E73" w:rsidP="004D4B41">
            <w:pPr>
              <w:pStyle w:val="TableParagraph"/>
              <w:spacing w:before="40" w:after="40" w:line="266" w:lineRule="auto"/>
              <w:ind w:left="105" w:right="141"/>
            </w:pPr>
            <w:r w:rsidRPr="00BB1E73">
              <w:t xml:space="preserve">between Ljubljana </w:t>
            </w:r>
            <w:r w:rsidRPr="00BB1E73">
              <w:t>Šiška</w:t>
            </w:r>
            <w:r w:rsidRPr="00BB1E73">
              <w:t xml:space="preserve"> and Ljubljana </w:t>
            </w:r>
            <w:r w:rsidRPr="00BB1E73">
              <w:t>Vižmarje</w:t>
            </w:r>
            <w:r w:rsidRPr="00BB1E73">
              <w:t xml:space="preserve"> stations, level crossing at km 570.5</w:t>
            </w:r>
          </w:p>
        </w:tc>
        <w:tc>
          <w:tcPr>
            <w:tcW w:w="1843" w:type="dxa"/>
          </w:tcPr>
          <w:p w:rsidR="005854EB" w:rsidRPr="00BB1E73" w:rsidP="004D4B41">
            <w:pPr>
              <w:pStyle w:val="TableParagraph"/>
              <w:spacing w:before="40" w:after="40" w:line="268"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ind w:left="110"/>
            </w:pPr>
            <w:r w:rsidRPr="00BB1E73">
              <w:t>at the investigation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16 August 2017</w:t>
            </w:r>
          </w:p>
        </w:tc>
        <w:tc>
          <w:tcPr>
            <w:tcW w:w="1956" w:type="dxa"/>
          </w:tcPr>
          <w:p w:rsidR="005854EB" w:rsidRPr="00BB1E73" w:rsidP="004D4B41">
            <w:pPr>
              <w:pStyle w:val="TableParagraph"/>
              <w:spacing w:before="40" w:after="40" w:line="266" w:lineRule="auto"/>
              <w:ind w:left="105" w:right="114"/>
            </w:pPr>
            <w:r w:rsidRPr="00BB1E73">
              <w:t>collision between international goods train 55215 and young cyclist</w:t>
            </w:r>
          </w:p>
        </w:tc>
        <w:tc>
          <w:tcPr>
            <w:tcW w:w="2013" w:type="dxa"/>
          </w:tcPr>
          <w:p w:rsidR="005854EB" w:rsidRPr="00BB1E73" w:rsidP="004D4B41">
            <w:pPr>
              <w:pStyle w:val="TableParagraph"/>
              <w:spacing w:before="40" w:after="40" w:line="266" w:lineRule="auto"/>
              <w:ind w:left="105" w:right="141"/>
            </w:pPr>
            <w:r w:rsidRPr="00BB1E73">
              <w:t xml:space="preserve">between </w:t>
            </w:r>
            <w:r w:rsidRPr="00BB1E73">
              <w:t>Jarše</w:t>
            </w:r>
            <w:r w:rsidRPr="00BB1E73">
              <w:t xml:space="preserve"> </w:t>
            </w:r>
            <w:r w:rsidRPr="00BB1E73">
              <w:t>Mengeš</w:t>
            </w:r>
            <w:r w:rsidRPr="00BB1E73">
              <w:t xml:space="preserve"> and </w:t>
            </w:r>
            <w:r w:rsidRPr="00BB1E73">
              <w:t>Domžale</w:t>
            </w:r>
            <w:r w:rsidRPr="00BB1E73">
              <w:t xml:space="preserve"> stations </w:t>
            </w:r>
            <w:r w:rsidRPr="00BB1E73">
              <w:noBreakHyphen/>
              <w:t> level crossing 14.117</w:t>
            </w:r>
          </w:p>
        </w:tc>
        <w:tc>
          <w:tcPr>
            <w:tcW w:w="1843" w:type="dxa"/>
          </w:tcPr>
          <w:p w:rsidR="005854EB" w:rsidRPr="00BB1E73" w:rsidP="004D4B41">
            <w:pPr>
              <w:pStyle w:val="TableParagraph"/>
              <w:spacing w:before="40" w:after="40" w:line="268"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ind w:left="110"/>
            </w:pPr>
            <w:r w:rsidRPr="00BB1E73">
              <w:t>at the investigation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17 August 2017</w:t>
            </w:r>
          </w:p>
        </w:tc>
        <w:tc>
          <w:tcPr>
            <w:tcW w:w="1956" w:type="dxa"/>
          </w:tcPr>
          <w:p w:rsidR="005854EB" w:rsidRPr="00BB1E73" w:rsidP="004D4B41">
            <w:pPr>
              <w:pStyle w:val="TableParagraph"/>
              <w:spacing w:before="40" w:after="40" w:line="266" w:lineRule="auto"/>
              <w:ind w:left="105" w:right="134"/>
            </w:pPr>
            <w:r w:rsidRPr="00BB1E73">
              <w:t>collision between track maintenance motor vehicle 76311 and car</w:t>
            </w:r>
          </w:p>
        </w:tc>
        <w:tc>
          <w:tcPr>
            <w:tcW w:w="2013" w:type="dxa"/>
          </w:tcPr>
          <w:p w:rsidR="005854EB" w:rsidRPr="00BB1E73" w:rsidP="004D4B41">
            <w:pPr>
              <w:pStyle w:val="TableParagraph"/>
              <w:spacing w:before="40" w:after="40" w:line="266" w:lineRule="auto"/>
              <w:ind w:left="105" w:right="141"/>
            </w:pPr>
            <w:r w:rsidRPr="00BB1E73">
              <w:t xml:space="preserve">between </w:t>
            </w:r>
            <w:r w:rsidRPr="00BB1E73">
              <w:t>Ruše</w:t>
            </w:r>
            <w:r w:rsidRPr="00BB1E73">
              <w:t xml:space="preserve"> and Maribor </w:t>
            </w:r>
            <w:r w:rsidRPr="00BB1E73">
              <w:t>Studenci</w:t>
            </w:r>
            <w:r w:rsidRPr="00BB1E73">
              <w:t xml:space="preserve"> stations </w:t>
            </w:r>
            <w:r w:rsidRPr="00BB1E73">
              <w:noBreakHyphen/>
              <w:t> level crossing 8.924</w:t>
            </w:r>
          </w:p>
        </w:tc>
        <w:tc>
          <w:tcPr>
            <w:tcW w:w="1843" w:type="dxa"/>
          </w:tcPr>
          <w:p w:rsidR="005854EB" w:rsidRPr="00BB1E73" w:rsidP="004D4B41">
            <w:pPr>
              <w:pStyle w:val="TableParagraph"/>
              <w:spacing w:before="40" w:after="40" w:line="264"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ind w:left="110"/>
            </w:pPr>
            <w:r w:rsidRPr="00BB1E73">
              <w:t>at the investigation stage</w:t>
            </w:r>
          </w:p>
        </w:tc>
      </w:tr>
      <w:tr w:rsidTr="004D4B41">
        <w:tblPrEx>
          <w:tblW w:w="10206" w:type="dxa"/>
          <w:tblInd w:w="-562" w:type="dxa"/>
          <w:tblLayout w:type="fixed"/>
          <w:tblCellMar>
            <w:left w:w="0" w:type="dxa"/>
            <w:right w:w="0" w:type="dxa"/>
          </w:tblCellMar>
          <w:tblLook w:val="01E0"/>
        </w:tblPrEx>
        <w:trPr>
          <w:trHeight w:val="20"/>
        </w:trPr>
        <w:tc>
          <w:tcPr>
            <w:tcW w:w="2268" w:type="dxa"/>
          </w:tcPr>
          <w:p w:rsidR="005854EB" w:rsidRPr="00BB1E73" w:rsidP="004D4B41">
            <w:pPr>
              <w:pStyle w:val="TableParagraph"/>
              <w:spacing w:before="40" w:after="40"/>
              <w:ind w:left="57" w:right="176"/>
              <w:jc w:val="center"/>
            </w:pPr>
            <w:r w:rsidRPr="00BB1E73">
              <w:t>17 September 2017</w:t>
            </w:r>
          </w:p>
        </w:tc>
        <w:tc>
          <w:tcPr>
            <w:tcW w:w="1956" w:type="dxa"/>
          </w:tcPr>
          <w:p w:rsidR="005854EB" w:rsidRPr="00BB1E73" w:rsidP="004D4B41">
            <w:pPr>
              <w:pStyle w:val="TableParagraph"/>
              <w:spacing w:before="40" w:after="40" w:line="266" w:lineRule="auto"/>
              <w:ind w:left="105" w:right="183"/>
            </w:pPr>
            <w:r w:rsidRPr="00BB1E73">
              <w:t>derailment of international goods train 48414</w:t>
            </w:r>
          </w:p>
        </w:tc>
        <w:tc>
          <w:tcPr>
            <w:tcW w:w="2013" w:type="dxa"/>
          </w:tcPr>
          <w:p w:rsidR="005854EB" w:rsidRPr="00BB1E73" w:rsidP="004D4B41">
            <w:pPr>
              <w:pStyle w:val="TableParagraph"/>
              <w:spacing w:before="40" w:after="40" w:line="266" w:lineRule="auto"/>
              <w:ind w:left="105" w:right="141"/>
            </w:pPr>
            <w:r w:rsidRPr="00BB1E73">
              <w:t xml:space="preserve">track rail L50 between </w:t>
            </w:r>
            <w:r w:rsidRPr="00BB1E73">
              <w:t>Logatec</w:t>
            </w:r>
            <w:r w:rsidRPr="00BB1E73">
              <w:t xml:space="preserve"> and </w:t>
            </w:r>
            <w:r w:rsidRPr="00BB1E73">
              <w:t>Verd</w:t>
            </w:r>
            <w:r w:rsidRPr="00BB1E73">
              <w:t xml:space="preserve"> stations at km 602+916</w:t>
            </w:r>
          </w:p>
        </w:tc>
        <w:tc>
          <w:tcPr>
            <w:tcW w:w="1843" w:type="dxa"/>
          </w:tcPr>
          <w:p w:rsidR="005854EB" w:rsidRPr="00BB1E73" w:rsidP="004D4B41">
            <w:pPr>
              <w:pStyle w:val="TableParagraph"/>
              <w:spacing w:before="40" w:after="40" w:line="264" w:lineRule="auto"/>
              <w:ind w:left="105" w:right="327"/>
            </w:pPr>
            <w:r w:rsidRPr="00BB1E73">
              <w:t xml:space="preserve">Article 26 of the </w:t>
            </w:r>
            <w:r w:rsidRPr="00BB1E73">
              <w:t>ZZelP</w:t>
            </w:r>
          </w:p>
        </w:tc>
        <w:tc>
          <w:tcPr>
            <w:tcW w:w="2126" w:type="dxa"/>
          </w:tcPr>
          <w:p w:rsidR="005854EB" w:rsidRPr="00BB1E73" w:rsidP="004D4B41">
            <w:pPr>
              <w:pStyle w:val="TableParagraph"/>
              <w:spacing w:before="40" w:after="40"/>
              <w:ind w:left="110"/>
            </w:pPr>
            <w:r w:rsidRPr="00BB1E73">
              <w:t>at the investigation stage</w:t>
            </w:r>
          </w:p>
        </w:tc>
      </w:tr>
    </w:tbl>
    <w:p w:rsidR="005854EB" w:rsidRPr="00BB1E73">
      <w:pPr>
        <w:sectPr>
          <w:pgSz w:w="11910" w:h="16840"/>
          <w:pgMar w:top="1540" w:right="1020" w:bottom="920" w:left="1580" w:header="0" w:footer="738" w:gutter="0"/>
          <w:cols w:space="720"/>
        </w:sectPr>
      </w:pPr>
    </w:p>
    <w:p w:rsidR="005854EB" w:rsidRPr="00BB1E73">
      <w:pPr>
        <w:pStyle w:val="Heading2"/>
        <w:numPr>
          <w:ilvl w:val="1"/>
          <w:numId w:val="4"/>
        </w:numPr>
        <w:tabs>
          <w:tab w:val="left" w:pos="695"/>
        </w:tabs>
        <w:spacing w:before="59"/>
        <w:ind w:right="885" w:hanging="600"/>
      </w:pPr>
      <w:bookmarkStart w:id="29" w:name="_Toc503796874"/>
      <w:bookmarkStart w:id="30" w:name="_Toc506208159"/>
      <w:r w:rsidRPr="00BB1E73">
        <w:t>Research studies (studies on safety involving serious accidents) commissioned and completed in 2016</w:t>
      </w:r>
      <w:bookmarkEnd w:id="29"/>
      <w:bookmarkEnd w:id="30"/>
    </w:p>
    <w:p w:rsidR="005854EB" w:rsidRPr="00BB1E73">
      <w:pPr>
        <w:pStyle w:val="BodyText"/>
        <w:spacing w:line="208" w:lineRule="auto"/>
        <w:ind w:left="719" w:right="685"/>
        <w:jc w:val="both"/>
      </w:pPr>
      <w:r w:rsidRPr="00BB1E73">
        <w:t>There were six accidents on the Slovenian railway network in 2016. These accidents claimed five lives. There were no serious railway accidents in 2016.</w:t>
      </w:r>
    </w:p>
    <w:p w:rsidR="005854EB" w:rsidRPr="00BB1E73">
      <w:pPr>
        <w:pStyle w:val="BodyText"/>
        <w:spacing w:before="239" w:line="208" w:lineRule="auto"/>
        <w:ind w:left="719" w:right="691"/>
        <w:jc w:val="both"/>
      </w:pPr>
      <w:r w:rsidRPr="00BB1E73">
        <w:t>In the most recent ten-year period, there have been no railway accidents on the Slovenian railway network similar to an accident in the past.</w:t>
      </w:r>
    </w:p>
    <w:p w:rsidR="005854EB" w:rsidRPr="00BB1E73">
      <w:pPr>
        <w:pStyle w:val="BodyText"/>
        <w:spacing w:before="240" w:line="208" w:lineRule="auto"/>
        <w:ind w:left="719" w:right="691"/>
        <w:jc w:val="both"/>
      </w:pPr>
      <w:r w:rsidRPr="00BB1E73">
        <w:t xml:space="preserve">The last serious accident, which involved a collision between international passenger train 314 and broken-down electrical engine set 2405 on Track 3 at Ljubljana </w:t>
      </w:r>
      <w:r w:rsidRPr="00BB1E73">
        <w:t>Vižmarje</w:t>
      </w:r>
      <w:r w:rsidRPr="00BB1E73">
        <w:t xml:space="preserve"> station, occurred on 28 October 2012.</w:t>
      </w:r>
    </w:p>
    <w:p w:rsidR="005854EB" w:rsidRPr="00BB1E73">
      <w:pPr>
        <w:pStyle w:val="BodyText"/>
        <w:spacing w:before="243" w:line="208" w:lineRule="auto"/>
        <w:ind w:left="719" w:right="685"/>
        <w:jc w:val="both"/>
      </w:pPr>
      <w:r w:rsidRPr="00BB1E73">
        <w:t xml:space="preserve">Prior to this serious accident, a goods train and a passenger train collided at Points 3 at </w:t>
      </w:r>
      <w:r w:rsidRPr="00BB1E73">
        <w:t>Jesenice</w:t>
      </w:r>
      <w:r w:rsidRPr="00BB1E73">
        <w:t xml:space="preserve"> station on 26 August 2011. Human factors were the cause of both accidents. On 28 October 2012 a passenger train collided with a static broken-down passenger train as a result of an error by an infrastructure worker (the train controller at Ljubljana </w:t>
      </w:r>
      <w:r w:rsidRPr="00BB1E73">
        <w:t>Vižmarje</w:t>
      </w:r>
      <w:r w:rsidRPr="00BB1E73">
        <w:t xml:space="preserve"> station), while the collision between the passenger and goods trains at </w:t>
      </w:r>
      <w:r w:rsidRPr="00BB1E73">
        <w:t>Jesenice</w:t>
      </w:r>
      <w:r w:rsidRPr="00BB1E73">
        <w:t xml:space="preserve"> station on 26 August 2011 was the result of an error by a railway undertaking worker (train driver).</w:t>
      </w:r>
    </w:p>
    <w:p w:rsidR="005854EB" w:rsidRPr="00BB1E73">
      <w:pPr>
        <w:pStyle w:val="BodyText"/>
        <w:spacing w:before="236" w:line="208" w:lineRule="auto"/>
        <w:ind w:left="719" w:right="685"/>
        <w:jc w:val="both"/>
      </w:pPr>
      <w:r w:rsidRPr="00BB1E73">
        <w:t>It was not necessary to compile a research study on safety for these two cases as the cause in both cases was investigated and established in detail. Despite the similarity between the causes of the two accidents, additional research was not required, as it could in no way be claimed that the two cases raised wider concerns or that similar accidents could occur in the future.</w:t>
      </w:r>
    </w:p>
    <w:p w:rsidR="005854EB" w:rsidRPr="00BB1E73">
      <w:pPr>
        <w:pStyle w:val="BodyText"/>
        <w:spacing w:before="239" w:line="208" w:lineRule="auto"/>
        <w:ind w:left="719" w:right="687"/>
        <w:jc w:val="both"/>
      </w:pPr>
      <w:r w:rsidRPr="00BB1E73">
        <w:t>Three accidents occurred at level crossings equipped with half-barriers to stop road users from encroaching on the tracks, and one at a level crossing equipped with road traffic signs.</w:t>
      </w:r>
    </w:p>
    <w:p w:rsidR="005854EB" w:rsidRPr="00BB1E73" w:rsidP="006A12F9">
      <w:pPr>
        <w:pStyle w:val="BodyText"/>
        <w:spacing w:before="243" w:line="208" w:lineRule="auto"/>
        <w:ind w:left="719" w:right="685"/>
        <w:jc w:val="both"/>
      </w:pPr>
      <w:r w:rsidRPr="00BB1E73">
        <w:t xml:space="preserve">Regarding the accident at the level crossing between Ljubljana </w:t>
      </w:r>
      <w:r w:rsidRPr="00BB1E73">
        <w:t>Vižmarje</w:t>
      </w:r>
      <w:r w:rsidRPr="00BB1E73">
        <w:t xml:space="preserve"> and Ljubljana </w:t>
      </w:r>
      <w:r w:rsidRPr="00BB1E73">
        <w:t>Šiška</w:t>
      </w:r>
      <w:r w:rsidRPr="00BB1E73">
        <w:t xml:space="preserve"> stations, the elderly pedestrian stepped onto the tracks in front of the train despite the barriers being lowered. She died at the scene. Regarding the accident at the level crossing at </w:t>
      </w:r>
      <w:r w:rsidRPr="00BB1E73">
        <w:t>Šentjur</w:t>
      </w:r>
      <w:r w:rsidRPr="00BB1E73">
        <w:t xml:space="preserve"> station, the cyclist rode around the lowered half-barrier in heavy storm conditions immediately after a passenger train had passed through the crossing. He rode onto the adjacent track (it is a two-track line), where he was struck by a passing international passenger train. The cyclist died at the scene. Regarding the accident at the level crossing at </w:t>
      </w:r>
      <w:r w:rsidRPr="00BB1E73">
        <w:t>Škofja</w:t>
      </w:r>
      <w:r w:rsidRPr="00BB1E73">
        <w:t xml:space="preserve"> </w:t>
      </w:r>
      <w:r w:rsidRPr="00BB1E73">
        <w:t>Loka</w:t>
      </w:r>
      <w:r w:rsidRPr="00BB1E73">
        <w:t xml:space="preserve"> station, the car driver drove around the lowered half-barrier into the path of a train. The driver sustained serious injuries and was taken to Ljubljana University Medical Centre, where he died. Regarding the accident at the level </w:t>
      </w:r>
      <w:r w:rsidRPr="00BB1E73">
        <w:t xml:space="preserve">crossing equipped with road traffic signs between </w:t>
      </w:r>
      <w:r w:rsidRPr="00BB1E73">
        <w:t>Ormož</w:t>
      </w:r>
      <w:r w:rsidRPr="00BB1E73">
        <w:t xml:space="preserve"> and </w:t>
      </w:r>
      <w:r w:rsidRPr="00BB1E73">
        <w:t>Središče</w:t>
      </w:r>
      <w:r w:rsidRPr="00BB1E73">
        <w:t xml:space="preserve"> </w:t>
      </w:r>
      <w:r w:rsidRPr="00BB1E73">
        <w:t>ob</w:t>
      </w:r>
      <w:r w:rsidRPr="00BB1E73">
        <w:t xml:space="preserve"> </w:t>
      </w:r>
      <w:r w:rsidRPr="00BB1E73">
        <w:t>Dravi</w:t>
      </w:r>
      <w:r w:rsidRPr="00BB1E73">
        <w:t xml:space="preserve"> stations, the car driver drove onto the track directly into the path of a local passenger train. Driver and passenger died at the scene.</w:t>
      </w:r>
    </w:p>
    <w:p w:rsidR="005854EB" w:rsidRPr="00BB1E73">
      <w:pPr>
        <w:pStyle w:val="BodyText"/>
        <w:spacing w:before="240" w:line="208" w:lineRule="auto"/>
        <w:ind w:left="719" w:right="689"/>
        <w:jc w:val="both"/>
      </w:pPr>
      <w:r w:rsidRPr="00BB1E73">
        <w:t>After a thorough investigation, it was found that the level crossing and its half-barriers met all the prescribed standards. The cyclist and car driver attempted to cross the track despite the half-barriers being lowered, and the pedestrian stepped onto the tracks by skirting the lowered barriers.</w:t>
      </w:r>
    </w:p>
    <w:p w:rsidR="005854EB" w:rsidRPr="00BB1E73">
      <w:pPr>
        <w:pStyle w:val="BodyText"/>
        <w:spacing w:before="236" w:line="208" w:lineRule="auto"/>
        <w:ind w:left="719" w:right="691"/>
        <w:jc w:val="both"/>
      </w:pPr>
      <w:r w:rsidRPr="00BB1E73">
        <w:t xml:space="preserve">Two trains were derailed in 2016. In Ljubljana, an international goods train derailed as a result of a broken tongue rail at Points 205. A materials analysis of the tongue rail conducted by the Institute of Metals and Technology established that it had broken because of material fatigue. The cause of the derailment of the international goods train on Track 9 at </w:t>
      </w:r>
      <w:r w:rsidRPr="00BB1E73">
        <w:t>Dobova</w:t>
      </w:r>
      <w:r w:rsidRPr="00BB1E73">
        <w:t xml:space="preserve"> station was the widening of the track resulting from worn-out/decayed sleepers that no longer held the rail baseplate fastening screws.</w:t>
      </w:r>
    </w:p>
    <w:p w:rsidR="005854EB" w:rsidRPr="00BB1E73">
      <w:pPr>
        <w:pStyle w:val="Heading2"/>
        <w:numPr>
          <w:ilvl w:val="1"/>
          <w:numId w:val="4"/>
        </w:numPr>
        <w:tabs>
          <w:tab w:val="left" w:pos="695"/>
        </w:tabs>
        <w:spacing w:before="245" w:line="235" w:lineRule="auto"/>
        <w:ind w:right="1004" w:hanging="600"/>
      </w:pPr>
      <w:bookmarkStart w:id="31" w:name="_Toc503796875"/>
      <w:bookmarkStart w:id="32" w:name="_Toc506208160"/>
      <w:r w:rsidRPr="00BB1E73">
        <w:t>Summary of investigations completed in 2016 Short descriptions, photographs, diagrams and safety studies</w:t>
      </w:r>
      <w:bookmarkEnd w:id="31"/>
      <w:bookmarkEnd w:id="32"/>
    </w:p>
    <w:p w:rsidR="005854EB" w:rsidRPr="00BB1E73">
      <w:pPr>
        <w:spacing w:line="237" w:lineRule="auto"/>
        <w:ind w:left="100" w:right="706"/>
        <w:jc w:val="center"/>
        <w:rPr>
          <w:b/>
          <w:sz w:val="24"/>
        </w:rPr>
      </w:pPr>
      <w:r w:rsidRPr="00BB1E73">
        <w:rPr>
          <w:b/>
          <w:sz w:val="24"/>
        </w:rPr>
        <w:t>Derailment of international goods train 45440 at Points 205, Ljubljana station (7.23 am, 20 February 2016)</w:t>
      </w:r>
    </w:p>
    <w:p w:rsidR="005854EB" w:rsidRPr="00BB1E73">
      <w:pPr>
        <w:pStyle w:val="BodyText"/>
        <w:spacing w:before="3"/>
        <w:rPr>
          <w:b/>
          <w:sz w:val="23"/>
        </w:rPr>
      </w:pPr>
    </w:p>
    <w:p w:rsidR="005854EB" w:rsidRPr="00BB1E73" w:rsidP="00BD5888">
      <w:pPr>
        <w:ind w:left="119" w:right="684"/>
        <w:jc w:val="both"/>
        <w:rPr>
          <w:sz w:val="24"/>
        </w:rPr>
      </w:pPr>
      <w:r w:rsidRPr="00BB1E73">
        <w:rPr>
          <w:sz w:val="24"/>
        </w:rPr>
        <w:t xml:space="preserve">At 7.23 am on 20 February 2016, international goods train 45440, operated by RCC (Rail Cargo Carrier), derailed at Ljubljana station (km 565.934) while switching tracks at Points 205. The train left Track 23 (the goods section of the station) and passed along Track 5 towards Track 111 in the direction of Ljubljana </w:t>
      </w:r>
      <w:r w:rsidRPr="00BB1E73">
        <w:rPr>
          <w:sz w:val="24"/>
        </w:rPr>
        <w:t>Šiška</w:t>
      </w:r>
      <w:r w:rsidRPr="00BB1E73">
        <w:rPr>
          <w:sz w:val="24"/>
        </w:rPr>
        <w:t xml:space="preserve"> station. ÖBB locomotive 1216-142 and the first two wagons (25 80 437 1377-9 and 25 80 437 1413-2) derailed at Points 6. The weight of the train was 540 tons, it had 72 axles and was 558 m long. It was composed of 18 empty, two-tier car-transporting wagons (</w:t>
      </w:r>
      <w:r w:rsidRPr="00BB1E73">
        <w:rPr>
          <w:sz w:val="24"/>
        </w:rPr>
        <w:t>Laaers</w:t>
      </w:r>
      <w:r w:rsidRPr="00BB1E73">
        <w:rPr>
          <w:sz w:val="24"/>
        </w:rPr>
        <w:t xml:space="preserve"> wagon series). All axles of the locomotive and both wagons were derailed. The derailment also caused the complete destruction of the next Points (206) in the direction of travel.</w:t>
      </w:r>
    </w:p>
    <w:p w:rsidR="005854EB" w:rsidRPr="00BB1E73">
      <w:pPr>
        <w:spacing w:line="242" w:lineRule="auto"/>
        <w:ind w:left="119" w:right="689"/>
        <w:jc w:val="both"/>
        <w:rPr>
          <w:sz w:val="24"/>
        </w:rPr>
      </w:pPr>
      <w:r w:rsidRPr="00BB1E73">
        <w:rPr>
          <w:sz w:val="24"/>
        </w:rPr>
        <w:t xml:space="preserve">Points 205 are a single set of points, UIC 49, manufactured by VAE APCARON SA Buzau, Romania, sold by </w:t>
      </w:r>
      <w:r w:rsidRPr="00BB1E73">
        <w:rPr>
          <w:sz w:val="24"/>
        </w:rPr>
        <w:t>Voestalpine</w:t>
      </w:r>
      <w:r w:rsidRPr="00BB1E73">
        <w:rPr>
          <w:sz w:val="24"/>
        </w:rPr>
        <w:t> </w:t>
      </w:r>
      <w:r w:rsidRPr="00BB1E73">
        <w:rPr>
          <w:sz w:val="24"/>
        </w:rPr>
        <w:t>Schienen</w:t>
      </w:r>
      <w:r w:rsidRPr="00BB1E73">
        <w:rPr>
          <w:sz w:val="24"/>
        </w:rPr>
        <w:t> </w:t>
      </w:r>
      <w:r w:rsidRPr="00BB1E73">
        <w:rPr>
          <w:sz w:val="24"/>
        </w:rPr>
        <w:t>Gmbh</w:t>
      </w:r>
      <w:r w:rsidRPr="00BB1E73">
        <w:rPr>
          <w:sz w:val="24"/>
        </w:rPr>
        <w:t>, Austria.</w:t>
      </w:r>
    </w:p>
    <w:p w:rsidR="005854EB" w:rsidRPr="00BB1E73">
      <w:pPr>
        <w:spacing w:line="271" w:lineRule="exact"/>
        <w:ind w:left="119"/>
        <w:rPr>
          <w:sz w:val="24"/>
        </w:rPr>
      </w:pPr>
      <w:r w:rsidRPr="00BB1E73">
        <w:rPr>
          <w:sz w:val="24"/>
        </w:rPr>
        <w:t>The left tongue rail of the points had been incorporated into the structure in 2009.</w:t>
      </w:r>
    </w:p>
    <w:p w:rsidR="005854EB" w:rsidRPr="00BB1E73">
      <w:pPr>
        <w:spacing w:before="3" w:line="237" w:lineRule="auto"/>
        <w:ind w:left="119" w:right="681"/>
        <w:jc w:val="both"/>
        <w:rPr>
          <w:sz w:val="24"/>
        </w:rPr>
      </w:pPr>
      <w:r w:rsidRPr="00BB1E73">
        <w:rPr>
          <w:sz w:val="24"/>
        </w:rPr>
        <w:t>The investigation established that the derailment was caused by a broken left tongue rail 7.2 m from the top.</w:t>
      </w:r>
    </w:p>
    <w:p w:rsidR="005854EB" w:rsidRPr="00BB1E73">
      <w:pPr>
        <w:spacing w:before="3"/>
        <w:ind w:left="119" w:right="686"/>
        <w:jc w:val="both"/>
        <w:rPr>
          <w:sz w:val="24"/>
        </w:rPr>
      </w:pPr>
      <w:r w:rsidRPr="00BB1E73">
        <w:rPr>
          <w:sz w:val="24"/>
        </w:rPr>
        <w:t>An analysis conducted by the independent and accredited Institute of Metals and Technology (IMT) in Ljubljana indicated that it had broken because of material fatigue.</w:t>
      </w:r>
    </w:p>
    <w:p w:rsidR="005854EB" w:rsidRPr="00BB1E73" w:rsidP="00BD5888">
      <w:pPr>
        <w:pStyle w:val="BodyText"/>
        <w:pageBreakBefore/>
        <w:ind w:left="2223"/>
        <w:rPr>
          <w:sz w:val="20"/>
        </w:rPr>
      </w:pPr>
      <w:r>
        <w:rPr>
          <w:sz w:val="20"/>
        </w:rPr>
        <w:pict>
          <v:group id="_x0000_i1028" style="width:214.6pt;height:160.35pt;mso-position-horizontal-relative:char;mso-position-vertical-relative:line" coordsize="4292,3207">
            <v:shape id="_x0000_s1029" type="#_x0000_t75" style="width:4292;height:3207;position:absolute">
              <v:imagedata r:id="rId14" o:title=""/>
            </v:shape>
            <v:shape id="_x0000_s1030" style="width:1234;height:1364;left:2467;position:absolute;top:1742" coordorigin="2467,1742" coordsize="1234,1364" o:spt="100" adj="0,,0" path="m2587,1923l2529,1926l2534,1963l2544,2040l2573,2126l2592,2170l2616,2213l2645,2256l2678,2299l2717,2342l2808,2434l2856,2477l2914,2525l2971,2578l3034,2626l3096,2678l3298,2837l3370,2890l3518,2995l3667,3106l3701,3058,3264,2736l3197,2683l3134,2630l3067,2578l2952,2482l2846,2386l2760,2299l2722,2256l2664,2179l2626,2102l2606,2026l2597,1992l2587,1925l2587,1923xm2549,1742l2467,1930l2529,1926l2525,1896l2587,1891l2633,1891l2549,1742xm2587,1891l2525,1896l2529,1926l2587,1923l2587,1891xm2633,1891l2587,1891l2587,1923l2650,1920l2633,1891xe" fillcolor="red" stroked="f">
              <v:stroke joinstyle="round"/>
              <v:formulas/>
              <v:path arrowok="t" o:connecttype="segments"/>
            </v:shape>
            <v:shape id="_x0000_s1031" style="width:624;height:183;left:1579;position:absolute;top:1867" coordorigin="1579,1867" coordsize="624,183" o:spt="100" adj="0,,0" path="m2166,1925l2054,1925l2059,1982l2028,1986l2035,2050l2203,1939l2166,1925xm2022,1928l1579,1978l1589,2035l2028,1986l2022,1928xm2054,1925l2022,1928l2028,1986l2059,1982l2054,1925xm2016,1867l2022,1928l2054,1925l2166,1925l2016,1867xe" fillcolor="#00b0f0" stroked="f">
              <v:stroke joinstyle="round"/>
              <v:formulas/>
              <v:path arrowok="t" o:connecttype="segments"/>
            </v:shape>
            <w10:wrap type="none"/>
            <w10:anchorlock/>
          </v:group>
        </w:pict>
      </w:r>
    </w:p>
    <w:p w:rsidR="005854EB" w:rsidRPr="00BB1E73">
      <w:pPr>
        <w:spacing w:before="93" w:line="242" w:lineRule="auto"/>
        <w:ind w:left="135" w:right="706"/>
        <w:jc w:val="center"/>
        <w:rPr>
          <w:sz w:val="24"/>
        </w:rPr>
      </w:pPr>
      <w:r w:rsidRPr="00BB1E73">
        <w:rPr>
          <w:sz w:val="24"/>
        </w:rPr>
        <w:t>Figure 1: The red arrow shows the train’s intended direction of travel and the blue arrow shows where the derailment occurred.</w:t>
      </w:r>
    </w:p>
    <w:p w:rsidR="005854EB" w:rsidRPr="00BB1E73">
      <w:pPr>
        <w:pStyle w:val="BodyText"/>
        <w:spacing w:before="4"/>
        <w:rPr>
          <w:sz w:val="23"/>
        </w:rPr>
      </w:pPr>
    </w:p>
    <w:p w:rsidR="005854EB" w:rsidRPr="00BB1E73">
      <w:pPr>
        <w:ind w:left="119"/>
        <w:rPr>
          <w:b/>
          <w:sz w:val="24"/>
        </w:rPr>
      </w:pPr>
      <w:r w:rsidRPr="00BB1E73">
        <w:rPr>
          <w:b/>
          <w:sz w:val="24"/>
        </w:rPr>
        <w:t>Causes:</w:t>
      </w:r>
    </w:p>
    <w:p w:rsidR="005854EB" w:rsidRPr="00BB1E73">
      <w:pPr>
        <w:spacing w:before="2"/>
        <w:ind w:left="119" w:right="721"/>
        <w:jc w:val="both"/>
        <w:rPr>
          <w:sz w:val="24"/>
        </w:rPr>
      </w:pPr>
      <w:r w:rsidRPr="00BB1E73">
        <w:rPr>
          <w:sz w:val="24"/>
        </w:rPr>
        <w:t>The direct cause of the derailment of the locomotive and two wagons of international goods train 45440 at Points 205 at Ljubljana station was the fracturing of the left tongue rail. The tongue rail broke because of material fatigue.</w:t>
      </w:r>
    </w:p>
    <w:p w:rsidR="005854EB" w:rsidRPr="00BB1E73">
      <w:pPr>
        <w:pStyle w:val="BodyText"/>
        <w:spacing w:before="7"/>
        <w:rPr>
          <w:sz w:val="23"/>
        </w:rPr>
      </w:pPr>
    </w:p>
    <w:p w:rsidR="005854EB" w:rsidRPr="00BB1E73">
      <w:pPr>
        <w:ind w:left="119"/>
        <w:rPr>
          <w:b/>
          <w:sz w:val="24"/>
        </w:rPr>
      </w:pPr>
      <w:r w:rsidRPr="00BB1E73">
        <w:rPr>
          <w:b/>
          <w:sz w:val="24"/>
        </w:rPr>
        <w:t>Recommendation:</w:t>
      </w:r>
    </w:p>
    <w:p w:rsidR="005854EB" w:rsidRPr="00BB1E73">
      <w:pPr>
        <w:spacing w:before="7"/>
        <w:ind w:left="119" w:right="682"/>
        <w:jc w:val="both"/>
        <w:rPr>
          <w:sz w:val="24"/>
        </w:rPr>
      </w:pPr>
      <w:r w:rsidRPr="00BB1E73">
        <w:rPr>
          <w:sz w:val="24"/>
        </w:rPr>
        <w:t>As Points 205 is one of the busiest single set of points at Ljubljana station, it is recommended that the rails and tongue rails built into the points be made of materials that ensure greater flexibility, thereby reducing the risk of breakage.</w:t>
      </w:r>
    </w:p>
    <w:p w:rsidR="005854EB" w:rsidRPr="00BB1E73">
      <w:pPr>
        <w:pStyle w:val="BodyText"/>
        <w:spacing w:before="2"/>
        <w:rPr>
          <w:sz w:val="22"/>
        </w:rPr>
      </w:pPr>
    </w:p>
    <w:p w:rsidR="005854EB" w:rsidRPr="00BB1E73">
      <w:pPr>
        <w:ind w:left="131" w:right="706"/>
        <w:jc w:val="center"/>
        <w:rPr>
          <w:b/>
          <w:sz w:val="24"/>
        </w:rPr>
      </w:pPr>
      <w:r w:rsidRPr="00BB1E73">
        <w:rPr>
          <w:b/>
          <w:sz w:val="24"/>
        </w:rPr>
        <w:t xml:space="preserve">Collision between local passenger train 2425 and a pedestrian at a level crossing equipped with barriers between Ljubljana </w:t>
      </w:r>
      <w:r w:rsidRPr="00BB1E73">
        <w:rPr>
          <w:b/>
          <w:sz w:val="24"/>
        </w:rPr>
        <w:t>Vižmarje</w:t>
      </w:r>
      <w:r w:rsidRPr="00BB1E73">
        <w:rPr>
          <w:b/>
          <w:sz w:val="24"/>
        </w:rPr>
        <w:t xml:space="preserve"> and Ljubljana </w:t>
      </w:r>
      <w:r w:rsidRPr="00BB1E73">
        <w:rPr>
          <w:b/>
          <w:sz w:val="24"/>
        </w:rPr>
        <w:t>Šiška</w:t>
      </w:r>
      <w:r w:rsidRPr="00BB1E73">
        <w:rPr>
          <w:b/>
          <w:sz w:val="24"/>
        </w:rPr>
        <w:t xml:space="preserve"> stations (3.12 pm, 18 March 2016)</w:t>
      </w:r>
    </w:p>
    <w:p w:rsidR="005854EB" w:rsidRPr="00BB1E73">
      <w:pPr>
        <w:pStyle w:val="BodyText"/>
        <w:spacing w:before="10"/>
        <w:rPr>
          <w:b/>
          <w:sz w:val="34"/>
        </w:rPr>
      </w:pPr>
    </w:p>
    <w:p w:rsidR="005854EB" w:rsidRPr="00BB1E73" w:rsidP="004D4B41">
      <w:pPr>
        <w:ind w:left="119" w:right="673"/>
        <w:jc w:val="both"/>
        <w:rPr>
          <w:sz w:val="24"/>
        </w:rPr>
      </w:pPr>
      <w:r w:rsidRPr="00BB1E73">
        <w:rPr>
          <w:sz w:val="24"/>
        </w:rPr>
        <w:t>At 3.12 pm on 18 March 2016, passenger train 2425, operated by SŽ-</w:t>
      </w:r>
      <w:r w:rsidRPr="00BB1E73">
        <w:rPr>
          <w:sz w:val="24"/>
        </w:rPr>
        <w:t>Potniški</w:t>
      </w:r>
      <w:r w:rsidRPr="00BB1E73">
        <w:rPr>
          <w:sz w:val="24"/>
        </w:rPr>
        <w:t> </w:t>
      </w:r>
      <w:r w:rsidRPr="00BB1E73">
        <w:rPr>
          <w:sz w:val="24"/>
        </w:rPr>
        <w:t>promet</w:t>
      </w:r>
      <w:r w:rsidRPr="00BB1E73">
        <w:rPr>
          <w:sz w:val="24"/>
        </w:rPr>
        <w:t>, </w:t>
      </w:r>
      <w:r w:rsidRPr="00BB1E73">
        <w:rPr>
          <w:sz w:val="24"/>
        </w:rPr>
        <w:t>d.o.o</w:t>
      </w:r>
      <w:r w:rsidRPr="00BB1E73">
        <w:rPr>
          <w:sz w:val="24"/>
        </w:rPr>
        <w:t xml:space="preserve">., struck an elderly pedestrian at a level crossing equipped with barriers at the </w:t>
      </w:r>
      <w:r w:rsidRPr="00BB1E73">
        <w:rPr>
          <w:sz w:val="24"/>
        </w:rPr>
        <w:t>Litostrojska</w:t>
      </w:r>
      <w:r w:rsidRPr="00BB1E73">
        <w:rPr>
          <w:sz w:val="24"/>
        </w:rPr>
        <w:t xml:space="preserve"> </w:t>
      </w:r>
      <w:r w:rsidRPr="00BB1E73">
        <w:rPr>
          <w:sz w:val="24"/>
        </w:rPr>
        <w:t>cesta</w:t>
      </w:r>
      <w:r w:rsidRPr="00BB1E73">
        <w:rPr>
          <w:sz w:val="24"/>
        </w:rPr>
        <w:t xml:space="preserve"> level crossing in Ljubljana (km 568.855). After colliding with the pedestrian, the head of the train came to a halt at km 568.702. The train driver had begun to brake prior to the collision, as the train was scheduled to stop at </w:t>
      </w:r>
      <w:r w:rsidRPr="00BB1E73">
        <w:rPr>
          <w:sz w:val="24"/>
        </w:rPr>
        <w:t>Litostroj</w:t>
      </w:r>
      <w:r w:rsidRPr="00BB1E73">
        <w:rPr>
          <w:sz w:val="24"/>
        </w:rPr>
        <w:t xml:space="preserve"> station (km 568.680). The train travelled 153 m between striking the pedestrian and coming to a stop. It was composed of a series 311/315-209/210 electrical engine set. After the train, which was travelling between </w:t>
      </w:r>
      <w:r w:rsidRPr="00BB1E73">
        <w:rPr>
          <w:sz w:val="24"/>
        </w:rPr>
        <w:t>Jesenice</w:t>
      </w:r>
      <w:r w:rsidRPr="00BB1E73">
        <w:rPr>
          <w:sz w:val="24"/>
        </w:rPr>
        <w:t xml:space="preserve"> and Ljubljana, struck her, the pedestrian was propelled from the track to the left-hand side of the track at km 568.843. She died at the scene.</w:t>
      </w:r>
    </w:p>
    <w:p w:rsidR="005854EB" w:rsidRPr="00BB1E73" w:rsidP="00BD5888">
      <w:pPr>
        <w:pStyle w:val="BodyText"/>
        <w:pageBreakBefore/>
        <w:ind w:left="2228"/>
        <w:rPr>
          <w:sz w:val="20"/>
        </w:rPr>
      </w:pPr>
      <w:r>
        <w:rPr>
          <w:sz w:val="20"/>
        </w:rPr>
        <w:pict>
          <v:group id="_x0000_i1032" style="width:213.6pt;height:160.1pt;mso-position-horizontal-relative:char;mso-position-vertical-relative:line" coordsize="4272,3202">
            <v:shape id="_x0000_s1033" type="#_x0000_t75" style="width:4272;height:3202;position:absolute">
              <v:imagedata r:id="rId15" o:title=""/>
            </v:shape>
            <v:shape id="_x0000_s1034" style="width:1071;height:1066;left:624;position:absolute;top:1694" coordorigin="624,1694" coordsize="1071,1066" o:spt="100" adj="0,,0" path="m1545,1801l624,2717l667,2760l1585,1842l1545,1801xm1664,1781l1565,1781l1608,1819l1585,1842l1627,1886l1664,1781xm1565,1781l1545,1801l1585,1842l1608,1819l1565,1781xm1694,1694l1502,1757l1545,1801l1565,1781l1664,1781l1694,1694xe" fillcolor="red" stroked="f">
              <v:stroke joinstyle="round"/>
              <v:formulas/>
              <v:path arrowok="t" o:connecttype="segments"/>
            </v:shape>
            <v:shape id="_x0000_s1035" style="width:1580;height:250;left:2520;position:absolute;top:1622" coordorigin="2520,1622" coordsize="1580,250" o:spt="100" adj="0,,0" path="m2702,1683l2698,1740l4094,1872l4099,1814l2702,1683xm2707,1622l2520,1694l2693,1800l2698,1740l2669,1738l2674,1680l2703,1680l2707,1622xm2674,1680l2669,1738l2698,1740l2702,1683l2674,1680xm2703,1680l2674,1680l2702,1683l2703,1680xe" fillcolor="#548dd4" stroked="f">
              <v:stroke joinstyle="round"/>
              <v:formulas/>
              <v:path arrowok="t" o:connecttype="segments"/>
            </v:shape>
            <v:line id="_x0000_s1036" style="position:absolute" from="2371,1546" to="2501,1752" strokecolor="#bfbfbf" strokeweight="3.12pt"/>
            <v:line id="_x0000_s1037" style="position:absolute" from="2333,1709" to="2549,1594" strokecolor="#bfbfbf" strokeweight="3.12pt"/>
            <w10:wrap type="none"/>
            <w10:anchorlock/>
          </v:group>
        </w:pict>
      </w:r>
    </w:p>
    <w:p w:rsidR="005854EB" w:rsidRPr="00BB1E73">
      <w:pPr>
        <w:pStyle w:val="BodyText"/>
        <w:spacing w:before="8"/>
        <w:rPr>
          <w:sz w:val="24"/>
        </w:rPr>
      </w:pPr>
    </w:p>
    <w:p w:rsidR="005854EB" w:rsidRPr="00BB1E73" w:rsidP="004D4B41">
      <w:pPr>
        <w:spacing w:before="93"/>
        <w:ind w:right="663" w:firstLine="2"/>
        <w:jc w:val="center"/>
        <w:rPr>
          <w:sz w:val="24"/>
        </w:rPr>
      </w:pPr>
      <w:r w:rsidRPr="00BB1E73">
        <w:rPr>
          <w:sz w:val="24"/>
        </w:rPr>
        <w:t>Figure 2: The red arrow shows the direction in which the pedestrian was walking and the point at which she stepped onto the area of the level crossing past the lowered half-barriers, the blue arrow shows the track and the train’s direction of travel, and the grey cross marks the spot where the collision occurred.</w:t>
      </w:r>
    </w:p>
    <w:p w:rsidR="005854EB" w:rsidRPr="00BB1E73">
      <w:pPr>
        <w:pStyle w:val="BodyText"/>
        <w:spacing w:before="6"/>
        <w:rPr>
          <w:sz w:val="23"/>
        </w:rPr>
      </w:pPr>
    </w:p>
    <w:p w:rsidR="005854EB" w:rsidRPr="00BB1E73">
      <w:pPr>
        <w:spacing w:before="1"/>
        <w:ind w:left="119"/>
        <w:jc w:val="both"/>
        <w:rPr>
          <w:b/>
          <w:sz w:val="24"/>
        </w:rPr>
      </w:pPr>
      <w:r w:rsidRPr="00BB1E73">
        <w:rPr>
          <w:b/>
          <w:sz w:val="24"/>
        </w:rPr>
        <w:t>Cause:</w:t>
      </w:r>
    </w:p>
    <w:p w:rsidR="005854EB" w:rsidRPr="00BB1E73">
      <w:pPr>
        <w:spacing w:before="2"/>
        <w:ind w:left="119" w:right="723"/>
        <w:jc w:val="both"/>
        <w:rPr>
          <w:sz w:val="24"/>
        </w:rPr>
      </w:pPr>
      <w:r w:rsidRPr="00BB1E73">
        <w:rPr>
          <w:sz w:val="24"/>
        </w:rPr>
        <w:t>The immediate cause of the collision between local passenger train 2425 and the pedestrian at a level crossing equipped with barriers on the Ljubljana</w:t>
      </w:r>
      <w:r w:rsidRPr="00BB1E73">
        <w:noBreakHyphen/>
      </w:r>
      <w:r w:rsidRPr="00BB1E73">
        <w:rPr>
          <w:sz w:val="24"/>
        </w:rPr>
        <w:t>Jesenice</w:t>
      </w:r>
      <w:r w:rsidRPr="00BB1E73">
        <w:rPr>
          <w:sz w:val="24"/>
        </w:rPr>
        <w:t xml:space="preserve"> single-track line was the victim’s carelessness; she circumvented the lowered half-barrier and stepped directly into the path of the train.</w:t>
      </w:r>
    </w:p>
    <w:p w:rsidR="005854EB" w:rsidRPr="00BB1E73">
      <w:pPr>
        <w:pStyle w:val="BodyText"/>
        <w:spacing w:before="4"/>
        <w:rPr>
          <w:sz w:val="23"/>
        </w:rPr>
      </w:pPr>
    </w:p>
    <w:p w:rsidR="005854EB" w:rsidRPr="00BB1E73">
      <w:pPr>
        <w:ind w:left="119"/>
        <w:jc w:val="both"/>
        <w:rPr>
          <w:b/>
          <w:sz w:val="24"/>
        </w:rPr>
      </w:pPr>
      <w:r w:rsidRPr="00BB1E73">
        <w:rPr>
          <w:b/>
          <w:sz w:val="24"/>
        </w:rPr>
        <w:t>Recommendations:</w:t>
      </w:r>
    </w:p>
    <w:p w:rsidR="005854EB" w:rsidRPr="00BB1E73">
      <w:pPr>
        <w:spacing w:before="8"/>
        <w:ind w:left="119" w:right="687"/>
        <w:jc w:val="both"/>
        <w:rPr>
          <w:sz w:val="24"/>
        </w:rPr>
      </w:pPr>
      <w:r w:rsidRPr="00BB1E73">
        <w:rPr>
          <w:sz w:val="24"/>
        </w:rPr>
        <w:t>It is recommended that level crossings be additionally secured, as part of the railway transport safety management system, by means of obstacles alongside the barrier area that make it impossible to bypass half-barriers that have already been lowered.</w:t>
      </w:r>
    </w:p>
    <w:p w:rsidR="005854EB" w:rsidRPr="00BB1E73">
      <w:pPr>
        <w:pStyle w:val="BodyText"/>
        <w:spacing w:before="6"/>
        <w:rPr>
          <w:sz w:val="23"/>
        </w:rPr>
      </w:pPr>
    </w:p>
    <w:p w:rsidR="005854EB" w:rsidRPr="00BB1E73">
      <w:pPr>
        <w:spacing w:before="1"/>
        <w:ind w:left="135" w:right="706"/>
        <w:jc w:val="center"/>
        <w:rPr>
          <w:b/>
          <w:sz w:val="24"/>
        </w:rPr>
      </w:pPr>
      <w:r w:rsidRPr="00BB1E73">
        <w:rPr>
          <w:b/>
          <w:sz w:val="24"/>
        </w:rPr>
        <w:t xml:space="preserve">Collision between international passenger train 151 and a cyclist at a level crossing equipped with half-barriers at </w:t>
      </w:r>
      <w:r w:rsidRPr="00BB1E73">
        <w:rPr>
          <w:b/>
          <w:sz w:val="24"/>
        </w:rPr>
        <w:t>Šentjur</w:t>
      </w:r>
      <w:r w:rsidRPr="00BB1E73">
        <w:rPr>
          <w:b/>
          <w:sz w:val="24"/>
        </w:rPr>
        <w:t xml:space="preserve"> station (12.36 pm, 5 June 2016)</w:t>
      </w:r>
    </w:p>
    <w:p w:rsidR="005854EB" w:rsidRPr="00BB1E73">
      <w:pPr>
        <w:pStyle w:val="BodyText"/>
        <w:spacing w:before="9"/>
        <w:rPr>
          <w:b/>
          <w:sz w:val="34"/>
        </w:rPr>
      </w:pPr>
    </w:p>
    <w:p w:rsidR="005854EB" w:rsidRPr="00BB1E73" w:rsidP="004D4B41">
      <w:pPr>
        <w:ind w:left="119" w:right="685"/>
        <w:jc w:val="both"/>
        <w:rPr>
          <w:sz w:val="24"/>
        </w:rPr>
      </w:pPr>
      <w:r w:rsidRPr="00BB1E73">
        <w:rPr>
          <w:sz w:val="24"/>
        </w:rPr>
        <w:t>At 12.36 pm on 5 June 2016, international passenger train 151, operated by SŽ-</w:t>
      </w:r>
      <w:r w:rsidRPr="00BB1E73">
        <w:rPr>
          <w:sz w:val="24"/>
        </w:rPr>
        <w:t>Potniški</w:t>
      </w:r>
      <w:r w:rsidRPr="00BB1E73">
        <w:rPr>
          <w:sz w:val="24"/>
        </w:rPr>
        <w:t> </w:t>
      </w:r>
      <w:r w:rsidRPr="00BB1E73">
        <w:rPr>
          <w:sz w:val="24"/>
        </w:rPr>
        <w:t>promet</w:t>
      </w:r>
      <w:r w:rsidRPr="00BB1E73">
        <w:rPr>
          <w:sz w:val="24"/>
        </w:rPr>
        <w:t>, </w:t>
      </w:r>
      <w:r w:rsidRPr="00BB1E73">
        <w:rPr>
          <w:sz w:val="24"/>
        </w:rPr>
        <w:t>d.o.o</w:t>
      </w:r>
      <w:r w:rsidRPr="00BB1E73">
        <w:rPr>
          <w:sz w:val="24"/>
        </w:rPr>
        <w:t xml:space="preserve">., struck a cyclist at a level crossing equipped with half-barriers at </w:t>
      </w:r>
      <w:r w:rsidRPr="00BB1E73">
        <w:rPr>
          <w:sz w:val="24"/>
        </w:rPr>
        <w:t>Šentjur</w:t>
      </w:r>
      <w:r w:rsidRPr="00BB1E73">
        <w:rPr>
          <w:sz w:val="24"/>
        </w:rPr>
        <w:t xml:space="preserve"> station (km 538.260). The cyclist, who had ridden along </w:t>
      </w:r>
      <w:r w:rsidRPr="00BB1E73">
        <w:rPr>
          <w:sz w:val="24"/>
        </w:rPr>
        <w:t>Cesta</w:t>
      </w:r>
      <w:r w:rsidRPr="00BB1E73">
        <w:rPr>
          <w:sz w:val="24"/>
        </w:rPr>
        <w:t xml:space="preserve"> </w:t>
      </w:r>
      <w:r w:rsidRPr="00BB1E73">
        <w:rPr>
          <w:sz w:val="24"/>
        </w:rPr>
        <w:t>Kozjanskega</w:t>
      </w:r>
      <w:r w:rsidRPr="00BB1E73">
        <w:rPr>
          <w:sz w:val="24"/>
        </w:rPr>
        <w:t xml:space="preserve"> </w:t>
      </w:r>
      <w:r w:rsidRPr="00BB1E73">
        <w:rPr>
          <w:sz w:val="24"/>
        </w:rPr>
        <w:t>odreda</w:t>
      </w:r>
      <w:r w:rsidRPr="00BB1E73">
        <w:rPr>
          <w:sz w:val="24"/>
        </w:rPr>
        <w:t xml:space="preserve"> in the direction of </w:t>
      </w:r>
      <w:r w:rsidRPr="00BB1E73">
        <w:rPr>
          <w:sz w:val="24"/>
        </w:rPr>
        <w:t>Cesta</w:t>
      </w:r>
      <w:r w:rsidRPr="00BB1E73">
        <w:rPr>
          <w:sz w:val="24"/>
        </w:rPr>
        <w:t xml:space="preserve"> </w:t>
      </w:r>
      <w:r w:rsidRPr="00BB1E73">
        <w:rPr>
          <w:sz w:val="24"/>
        </w:rPr>
        <w:t>na</w:t>
      </w:r>
      <w:r w:rsidRPr="00BB1E73">
        <w:rPr>
          <w:sz w:val="24"/>
        </w:rPr>
        <w:t xml:space="preserve"> </w:t>
      </w:r>
      <w:r w:rsidRPr="00BB1E73">
        <w:rPr>
          <w:sz w:val="24"/>
        </w:rPr>
        <w:t>kmetijsko</w:t>
      </w:r>
      <w:r w:rsidRPr="00BB1E73">
        <w:rPr>
          <w:sz w:val="24"/>
        </w:rPr>
        <w:t xml:space="preserve"> </w:t>
      </w:r>
      <w:r w:rsidRPr="00BB1E73">
        <w:rPr>
          <w:sz w:val="24"/>
        </w:rPr>
        <w:t>šolo</w:t>
      </w:r>
      <w:r w:rsidRPr="00BB1E73">
        <w:rPr>
          <w:sz w:val="24"/>
        </w:rPr>
        <w:t xml:space="preserve">, stopped before the lowered half-barrier. As local passenger train 4436, which was travelling along the left-hand line from </w:t>
      </w:r>
      <w:r w:rsidRPr="00BB1E73">
        <w:rPr>
          <w:sz w:val="24"/>
        </w:rPr>
        <w:t>Celje</w:t>
      </w:r>
      <w:r w:rsidRPr="00BB1E73">
        <w:rPr>
          <w:sz w:val="24"/>
        </w:rPr>
        <w:t xml:space="preserve"> towards Maribor, passed the level crossing, the cyclist rode around the lowered half-barrier and directly into the path of train 151, which was at the moment travelling along the adjacent right-hand Maribor</w:t>
      </w:r>
      <w:r w:rsidRPr="00BB1E73">
        <w:noBreakHyphen/>
      </w:r>
      <w:r w:rsidRPr="00BB1E73">
        <w:rPr>
          <w:sz w:val="24"/>
        </w:rPr>
        <w:t>Celje</w:t>
      </w:r>
      <w:r w:rsidRPr="00BB1E73">
        <w:rPr>
          <w:sz w:val="24"/>
        </w:rPr>
        <w:t xml:space="preserve"> line at 103 km/h. The cyclist died at the scene.</w:t>
      </w:r>
    </w:p>
    <w:p w:rsidR="005854EB" w:rsidRPr="00BB1E73" w:rsidP="004D4B41">
      <w:pPr>
        <w:spacing w:before="1"/>
        <w:ind w:left="119" w:right="682"/>
        <w:jc w:val="both"/>
        <w:rPr>
          <w:sz w:val="24"/>
        </w:rPr>
      </w:pPr>
      <w:r w:rsidRPr="00BB1E73">
        <w:rPr>
          <w:sz w:val="24"/>
        </w:rPr>
        <w:t>Immediately before he was struck, a storm arose in the area of the level crossing, carrying with it a large quantity of rainfall. It is therefore likely that, in his desire to withdraw as quickly as possible from the area of the storm, he concluded that the half-barriers would open immediately after the passenger train had passed along the adjacent track. In doing so, however, he failed to notice that another train was travelling in the opposite direction.</w:t>
      </w:r>
    </w:p>
    <w:p w:rsidR="005854EB" w:rsidRPr="00BB1E73" w:rsidP="004D4B41">
      <w:pPr>
        <w:spacing w:line="242" w:lineRule="auto"/>
        <w:ind w:left="119" w:right="688"/>
        <w:jc w:val="both"/>
        <w:rPr>
          <w:sz w:val="24"/>
        </w:rPr>
      </w:pPr>
      <w:r w:rsidRPr="00BB1E73">
        <w:rPr>
          <w:sz w:val="24"/>
        </w:rPr>
        <w:t>The head of train 151 came to a stop at km 537.900. Between colliding with the cyclist and coming to a stop, the train travelled 360 m.</w:t>
      </w:r>
    </w:p>
    <w:p w:rsidR="005854EB" w:rsidRPr="00BB1E73" w:rsidP="00BB1E73">
      <w:pPr>
        <w:pStyle w:val="BodyText"/>
        <w:ind w:left="2217"/>
        <w:rPr>
          <w:sz w:val="20"/>
        </w:rPr>
      </w:pPr>
    </w:p>
    <w:p w:rsidR="005854EB" w:rsidRPr="00BB1E73" w:rsidP="00BB1E73">
      <w:pPr>
        <w:pStyle w:val="BodyText"/>
        <w:spacing w:before="10"/>
        <w:jc w:val="center"/>
        <w:rPr>
          <w:sz w:val="20"/>
        </w:rPr>
      </w:pPr>
      <w:r>
        <w:rPr>
          <w:noProof/>
          <w:sz w:val="20"/>
          <w:lang w:val="en-US" w:eastAsia="en-US" w:bidi="ar-SA"/>
        </w:rPr>
        <w:drawing>
          <wp:inline distT="0" distB="0" distL="0" distR="0">
            <wp:extent cx="2742565" cy="2066925"/>
            <wp:effectExtent l="0" t="0" r="0" b="0"/>
            <wp:docPr id="243378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7177" name="Picture 5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2565" cy="2066925"/>
                    </a:xfrm>
                    <a:prstGeom prst="rect">
                      <a:avLst/>
                    </a:prstGeom>
                    <a:noFill/>
                  </pic:spPr>
                </pic:pic>
              </a:graphicData>
            </a:graphic>
          </wp:inline>
        </w:drawing>
      </w:r>
    </w:p>
    <w:p w:rsidR="005854EB" w:rsidRPr="00BB1E73">
      <w:pPr>
        <w:spacing w:before="92"/>
        <w:ind w:left="138" w:right="706"/>
        <w:jc w:val="center"/>
        <w:rPr>
          <w:sz w:val="24"/>
        </w:rPr>
      </w:pPr>
      <w:r w:rsidRPr="00BB1E73">
        <w:rPr>
          <w:sz w:val="24"/>
        </w:rPr>
        <w:t>Figure 3: The red arrow shows the direction in which the cyclist was travelling and the point at which he entered the area of the level crossing past the lowered half-barrier, the blue arrow shows the track and the direction of travel of the international passenger train, the grey cross marks the spot where the collision occurred, and the green arrow indicates the direction of the local passenger train that passed the level crossing immediately prior to the collision.</w:t>
      </w:r>
    </w:p>
    <w:p w:rsidR="005854EB" w:rsidRPr="00BB1E73">
      <w:pPr>
        <w:pStyle w:val="BodyText"/>
        <w:spacing w:before="7"/>
        <w:rPr>
          <w:sz w:val="23"/>
        </w:rPr>
      </w:pPr>
    </w:p>
    <w:p w:rsidR="005854EB" w:rsidRPr="00BB1E73">
      <w:pPr>
        <w:ind w:left="119"/>
        <w:jc w:val="both"/>
        <w:rPr>
          <w:b/>
          <w:sz w:val="24"/>
        </w:rPr>
      </w:pPr>
      <w:r w:rsidRPr="00BB1E73">
        <w:rPr>
          <w:b/>
          <w:sz w:val="24"/>
        </w:rPr>
        <w:t>Cause:</w:t>
      </w:r>
    </w:p>
    <w:p w:rsidR="005854EB" w:rsidRPr="00BB1E73">
      <w:pPr>
        <w:spacing w:before="7"/>
        <w:ind w:left="119" w:right="723"/>
        <w:jc w:val="both"/>
        <w:rPr>
          <w:sz w:val="24"/>
        </w:rPr>
      </w:pPr>
      <w:r w:rsidRPr="00BB1E73">
        <w:rPr>
          <w:sz w:val="24"/>
        </w:rPr>
        <w:t xml:space="preserve">The immediate cause of the collision between international passenger train 151 and the cyclist at a level crossing equipped with half-barriers on the two-track </w:t>
      </w:r>
      <w:r w:rsidRPr="00BB1E73">
        <w:rPr>
          <w:sz w:val="24"/>
        </w:rPr>
        <w:t>Zidani</w:t>
      </w:r>
      <w:r w:rsidRPr="00BB1E73">
        <w:rPr>
          <w:sz w:val="24"/>
        </w:rPr>
        <w:t xml:space="preserve"> Most</w:t>
      </w:r>
      <w:r w:rsidRPr="00BB1E73">
        <w:noBreakHyphen/>
      </w:r>
      <w:r w:rsidRPr="00BB1E73">
        <w:rPr>
          <w:sz w:val="24"/>
        </w:rPr>
        <w:t>Maribor line was the carelessness of the cyclist, who rode around the lowered half-barrier in the centre of the roadway and directly into the path of the train.</w:t>
      </w:r>
    </w:p>
    <w:p w:rsidR="005854EB" w:rsidRPr="00BB1E73">
      <w:pPr>
        <w:pStyle w:val="BodyText"/>
        <w:spacing w:before="5"/>
        <w:rPr>
          <w:sz w:val="23"/>
        </w:rPr>
      </w:pPr>
    </w:p>
    <w:p w:rsidR="005854EB" w:rsidRPr="00BB1E73">
      <w:pPr>
        <w:ind w:left="119"/>
        <w:jc w:val="both"/>
        <w:rPr>
          <w:b/>
          <w:sz w:val="24"/>
        </w:rPr>
      </w:pPr>
      <w:r w:rsidRPr="00BB1E73">
        <w:rPr>
          <w:b/>
          <w:sz w:val="24"/>
        </w:rPr>
        <w:t>Recommendations:</w:t>
      </w:r>
    </w:p>
    <w:p w:rsidR="005854EB" w:rsidRPr="00BB1E73">
      <w:pPr>
        <w:spacing w:before="7"/>
        <w:ind w:left="119" w:right="684"/>
        <w:jc w:val="both"/>
        <w:rPr>
          <w:sz w:val="24"/>
        </w:rPr>
      </w:pPr>
      <w:r w:rsidRPr="00BB1E73">
        <w:rPr>
          <w:sz w:val="24"/>
        </w:rPr>
        <w:t>It is recommended that the level crossing be additionally secured, as part of the railway transport safety management system, by replacing the half-barrier with a barrier that covers the entire width of the roadway.</w:t>
      </w:r>
    </w:p>
    <w:p w:rsidR="005854EB" w:rsidRPr="00BB1E73">
      <w:pPr>
        <w:spacing w:before="223"/>
        <w:ind w:left="359" w:right="930" w:hanging="3"/>
        <w:jc w:val="center"/>
        <w:rPr>
          <w:b/>
          <w:sz w:val="24"/>
        </w:rPr>
      </w:pPr>
      <w:r w:rsidRPr="00BB1E73">
        <w:rPr>
          <w:b/>
          <w:sz w:val="24"/>
        </w:rPr>
        <w:t xml:space="preserve">Collision between international goods train 45445 and a car at a level crossing equipped with half-barriers at </w:t>
      </w:r>
      <w:r w:rsidRPr="00BB1E73">
        <w:rPr>
          <w:b/>
          <w:sz w:val="24"/>
        </w:rPr>
        <w:t>Škofja</w:t>
      </w:r>
      <w:r w:rsidRPr="00BB1E73">
        <w:rPr>
          <w:b/>
          <w:sz w:val="24"/>
        </w:rPr>
        <w:t xml:space="preserve"> </w:t>
      </w:r>
      <w:r w:rsidRPr="00BB1E73">
        <w:rPr>
          <w:b/>
          <w:sz w:val="24"/>
        </w:rPr>
        <w:t>Loka</w:t>
      </w:r>
      <w:r w:rsidRPr="00BB1E73">
        <w:rPr>
          <w:b/>
          <w:sz w:val="24"/>
        </w:rPr>
        <w:t xml:space="preserve"> level crossing (5.58 pm, 14 June 2016)</w:t>
      </w:r>
    </w:p>
    <w:p w:rsidR="005854EB" w:rsidRPr="00BB1E73">
      <w:pPr>
        <w:pStyle w:val="BodyText"/>
        <w:spacing w:before="10"/>
        <w:rPr>
          <w:b/>
          <w:sz w:val="34"/>
        </w:rPr>
      </w:pPr>
    </w:p>
    <w:p w:rsidR="005854EB" w:rsidRPr="00BB1E73">
      <w:pPr>
        <w:ind w:left="119" w:right="685"/>
        <w:jc w:val="both"/>
        <w:rPr>
          <w:sz w:val="24"/>
        </w:rPr>
      </w:pPr>
      <w:r w:rsidRPr="00BB1E73">
        <w:rPr>
          <w:sz w:val="24"/>
        </w:rPr>
        <w:t xml:space="preserve">At 5.58 pm on 14 June 2016, international goods train 45445, operated by RCC (Rail Cargo Carrier), collided with a car at a level crossing equipped with half-barriers at km 586.909, </w:t>
      </w:r>
      <w:r w:rsidRPr="00BB1E73">
        <w:rPr>
          <w:sz w:val="24"/>
        </w:rPr>
        <w:t>Škofja</w:t>
      </w:r>
      <w:r w:rsidRPr="00BB1E73">
        <w:rPr>
          <w:sz w:val="24"/>
        </w:rPr>
        <w:t xml:space="preserve"> </w:t>
      </w:r>
      <w:r w:rsidRPr="00BB1E73">
        <w:rPr>
          <w:sz w:val="24"/>
        </w:rPr>
        <w:t>Loka</w:t>
      </w:r>
      <w:r w:rsidRPr="00BB1E73">
        <w:rPr>
          <w:sz w:val="24"/>
        </w:rPr>
        <w:t xml:space="preserve"> station.</w:t>
      </w:r>
    </w:p>
    <w:p w:rsidR="005854EB" w:rsidRPr="00BB1E73">
      <w:pPr>
        <w:ind w:left="119" w:right="684"/>
        <w:jc w:val="both"/>
        <w:rPr>
          <w:sz w:val="24"/>
        </w:rPr>
      </w:pPr>
      <w:r w:rsidRPr="00BB1E73">
        <w:rPr>
          <w:sz w:val="24"/>
        </w:rPr>
        <w:t xml:space="preserve">The investigation established that the driver of the car, who was travelling from </w:t>
      </w:r>
      <w:r w:rsidRPr="00BB1E73">
        <w:rPr>
          <w:sz w:val="24"/>
        </w:rPr>
        <w:t>Žabnica</w:t>
      </w:r>
      <w:r w:rsidRPr="00BB1E73">
        <w:rPr>
          <w:sz w:val="24"/>
        </w:rPr>
        <w:t xml:space="preserve"> towards </w:t>
      </w:r>
      <w:r w:rsidRPr="00BB1E73">
        <w:rPr>
          <w:sz w:val="24"/>
        </w:rPr>
        <w:t>Dorfarje</w:t>
      </w:r>
      <w:r w:rsidRPr="00BB1E73">
        <w:rPr>
          <w:sz w:val="24"/>
        </w:rPr>
        <w:t xml:space="preserve">, drove around the lowered level crossing half-barrier and directly into the path of train 45445, which was travelling from Ljubljana towards </w:t>
      </w:r>
      <w:r w:rsidRPr="00BB1E73">
        <w:rPr>
          <w:sz w:val="24"/>
        </w:rPr>
        <w:t>Jesenice</w:t>
      </w:r>
      <w:r w:rsidRPr="00BB1E73">
        <w:rPr>
          <w:sz w:val="24"/>
        </w:rPr>
        <w:t>. After being struck by locomotive 1216 903, the car was propelled into a rainwater ditch on the left-hand side of the track at km 586.930.</w:t>
      </w:r>
    </w:p>
    <w:p w:rsidR="005854EB" w:rsidRPr="00BB1E73">
      <w:pPr>
        <w:spacing w:before="3" w:line="237" w:lineRule="auto"/>
        <w:ind w:left="119" w:right="686"/>
        <w:jc w:val="both"/>
        <w:rPr>
          <w:sz w:val="24"/>
        </w:rPr>
      </w:pPr>
      <w:r w:rsidRPr="00BB1E73">
        <w:rPr>
          <w:sz w:val="24"/>
        </w:rPr>
        <w:t>The driver was taken to Ljubljana University Medical Centre, where he died of his injuries.</w:t>
      </w:r>
    </w:p>
    <w:p w:rsidR="005854EB" w:rsidRPr="00BB1E73" w:rsidP="00AA0591">
      <w:pPr>
        <w:pStyle w:val="BodyText"/>
        <w:pageBreakBefore/>
        <w:ind w:left="2211"/>
        <w:rPr>
          <w:sz w:val="20"/>
        </w:rPr>
      </w:pPr>
      <w:r>
        <w:rPr>
          <w:sz w:val="20"/>
        </w:rPr>
        <w:pict>
          <v:group id="_x0000_i1038" style="width:215.55pt;height:161.55pt;mso-position-horizontal-relative:char;mso-position-vertical-relative:line" coordsize="4311,3231">
            <v:shape id="_x0000_s1039" type="#_x0000_t75" style="width:4311;height:3231;position:absolute">
              <v:imagedata r:id="rId17" o:title=""/>
            </v:shape>
            <v:shape id="_x0000_s1040" style="width:1464;height:240;left:28;position:absolute;top:1459" coordorigin="29,1459" coordsize="1464,240" o:spt="100" adj="0,,0" path="m1313,1643l1296,1699l1493,1666l1478,1651l1344,1651l1313,1643xm1331,1586l1313,1643l1344,1651l1358,1594l1331,1586xm1349,1526l1331,1586l1358,1594l1344,1651l1478,1651,1349,1526xm1062,1517l442,1517l504,1522l576,1522l648,1526l797,1541l869,1546l936,1555l1008,1570l1075,1584l1214,1618l1313,1643l1331,1586l1224,1555l1085,1522l1062,1517xm504,1459l274,1459l226,1464l182,1469l144,1478l101,1483l29,1498l43,1555l115,1541l192,1531l278,1522l326,1517l1062,1517l1018,1507l802,1478,504,1459xe" fillcolor="red" stroked="f">
              <v:stroke joinstyle="round"/>
              <v:formulas/>
              <v:path arrowok="t" o:connecttype="segments"/>
            </v:shape>
            <v:shape id="_x0000_s1041" style="width:1066;height:912;left:1046;position:absolute;top:2289" coordorigin="1046,2290" coordsize="1066,912" o:spt="100" adj="0,,0" path="m1956,2385l1046,3154l1085,3202l1994,2429l1956,2385xm2080,2366l1978,2366l2016,2410l1994,2429l2035,2477l2080,2366xm1978,2366l1956,2385l1994,2429l2016,2410l1978,2366xm2112,2290l1915,2338l1956,2385l1978,2366l2080,2366l2112,2290xe" fillcolor="#548dd4" stroked="f">
              <v:stroke joinstyle="round"/>
              <v:formulas/>
              <v:path arrowok="t" o:connecttype="segments"/>
            </v:shape>
            <v:line id="_x0000_s1042" style="position:absolute" from="1896,1622" to="2419,1858" strokecolor="#f2f2f2" strokeweight="3.12pt"/>
            <v:line id="_x0000_s1043" style="position:absolute" from="2040,2002" to="2275,1478" strokecolor="#f2f2f2" strokeweight="3.12pt"/>
            <w10:wrap type="none"/>
            <w10:anchorlock/>
          </v:group>
        </w:pict>
      </w:r>
    </w:p>
    <w:p w:rsidR="005854EB" w:rsidRPr="00BB1E73">
      <w:pPr>
        <w:pStyle w:val="BodyText"/>
        <w:spacing w:before="7"/>
        <w:rPr>
          <w:sz w:val="24"/>
        </w:rPr>
      </w:pPr>
    </w:p>
    <w:p w:rsidR="005854EB" w:rsidRPr="00BB1E73">
      <w:pPr>
        <w:spacing w:before="93"/>
        <w:ind w:left="167" w:right="744"/>
        <w:jc w:val="center"/>
        <w:rPr>
          <w:sz w:val="24"/>
        </w:rPr>
      </w:pPr>
      <w:r w:rsidRPr="00BB1E73">
        <w:rPr>
          <w:sz w:val="24"/>
        </w:rPr>
        <w:t>Figure 4: The red arrow shows the direction in which the car was travelling and the point at which the driver drove onto the area of the level crossing past the lowered half-barrier, the blue arrow shows the track and the direction of travel of the international goods train, and the white cross marks the spot where the collision occurred.</w:t>
      </w:r>
    </w:p>
    <w:p w:rsidR="005854EB" w:rsidRPr="00BB1E73">
      <w:pPr>
        <w:pStyle w:val="BodyText"/>
        <w:spacing w:before="4"/>
        <w:rPr>
          <w:sz w:val="23"/>
        </w:rPr>
      </w:pPr>
    </w:p>
    <w:p w:rsidR="005854EB" w:rsidRPr="00BB1E73">
      <w:pPr>
        <w:ind w:left="119"/>
        <w:jc w:val="both"/>
        <w:rPr>
          <w:b/>
          <w:sz w:val="24"/>
        </w:rPr>
      </w:pPr>
      <w:r w:rsidRPr="00BB1E73">
        <w:rPr>
          <w:b/>
          <w:sz w:val="24"/>
        </w:rPr>
        <w:t>Cause:</w:t>
      </w:r>
    </w:p>
    <w:p w:rsidR="005854EB" w:rsidRPr="00BB1E73">
      <w:pPr>
        <w:spacing w:before="2"/>
        <w:ind w:left="119" w:right="724"/>
        <w:jc w:val="both"/>
        <w:rPr>
          <w:sz w:val="24"/>
        </w:rPr>
      </w:pPr>
      <w:r w:rsidRPr="00BB1E73">
        <w:rPr>
          <w:sz w:val="24"/>
        </w:rPr>
        <w:t>The immediate cause of the collision between international goods train 45445 and the car at a level crossing equipped with half-barriers on the single-track Ljubljana</w:t>
      </w:r>
      <w:r w:rsidRPr="00BB1E73">
        <w:noBreakHyphen/>
      </w:r>
      <w:r w:rsidRPr="00BB1E73">
        <w:rPr>
          <w:sz w:val="24"/>
        </w:rPr>
        <w:t>Jesenice</w:t>
      </w:r>
      <w:r w:rsidRPr="00BB1E73">
        <w:rPr>
          <w:sz w:val="24"/>
        </w:rPr>
        <w:t xml:space="preserve"> line was the recklessness of the car driver, who drove around the lowered half-barrier on the other side of the roadway and directly into the path of the train.</w:t>
      </w:r>
    </w:p>
    <w:p w:rsidR="005854EB" w:rsidRPr="00BB1E73">
      <w:pPr>
        <w:pStyle w:val="BodyText"/>
        <w:spacing w:before="7"/>
        <w:rPr>
          <w:sz w:val="23"/>
        </w:rPr>
      </w:pPr>
    </w:p>
    <w:p w:rsidR="005854EB" w:rsidRPr="00BB1E73">
      <w:pPr>
        <w:ind w:left="119"/>
        <w:jc w:val="both"/>
        <w:rPr>
          <w:b/>
          <w:sz w:val="24"/>
        </w:rPr>
      </w:pPr>
      <w:r w:rsidRPr="00BB1E73">
        <w:rPr>
          <w:b/>
          <w:sz w:val="24"/>
        </w:rPr>
        <w:t>Recommendation:</w:t>
      </w:r>
    </w:p>
    <w:p w:rsidR="005854EB" w:rsidRPr="00BB1E73">
      <w:pPr>
        <w:spacing w:before="8"/>
        <w:ind w:left="119" w:right="684"/>
        <w:jc w:val="both"/>
        <w:rPr>
          <w:sz w:val="24"/>
        </w:rPr>
      </w:pPr>
      <w:r w:rsidRPr="00BB1E73">
        <w:rPr>
          <w:sz w:val="24"/>
        </w:rPr>
        <w:t>It is recommended that the level crossing be additionally secured, as part of the railway transport safety management system, by replacing the half-barrier with a barrier that covers the entire width of the roadway.</w:t>
      </w:r>
    </w:p>
    <w:p w:rsidR="005854EB" w:rsidRPr="00BB1E73">
      <w:pPr>
        <w:pStyle w:val="BodyText"/>
        <w:spacing w:before="6"/>
        <w:rPr>
          <w:sz w:val="23"/>
        </w:rPr>
      </w:pPr>
    </w:p>
    <w:p w:rsidR="005854EB" w:rsidRPr="00BB1E73" w:rsidP="0026237B">
      <w:pPr>
        <w:ind w:left="282" w:right="856" w:firstLine="6"/>
        <w:jc w:val="center"/>
        <w:rPr>
          <w:b/>
          <w:sz w:val="24"/>
        </w:rPr>
      </w:pPr>
      <w:r w:rsidRPr="00BB1E73">
        <w:rPr>
          <w:b/>
          <w:sz w:val="24"/>
        </w:rPr>
        <w:t xml:space="preserve">Collision between local passenger train 3830 and a car at a level crossing equipped with road traffic signs between </w:t>
      </w:r>
      <w:r w:rsidRPr="00BB1E73">
        <w:rPr>
          <w:b/>
          <w:sz w:val="24"/>
        </w:rPr>
        <w:t>Ormož</w:t>
      </w:r>
      <w:r w:rsidRPr="00BB1E73">
        <w:rPr>
          <w:b/>
          <w:sz w:val="24"/>
        </w:rPr>
        <w:t xml:space="preserve"> and </w:t>
      </w:r>
      <w:r w:rsidRPr="00BB1E73">
        <w:rPr>
          <w:b/>
          <w:sz w:val="24"/>
        </w:rPr>
        <w:t>Središče</w:t>
      </w:r>
      <w:r w:rsidRPr="00BB1E73">
        <w:rPr>
          <w:b/>
          <w:sz w:val="24"/>
        </w:rPr>
        <w:t xml:space="preserve"> </w:t>
      </w:r>
      <w:r w:rsidRPr="00BB1E73">
        <w:rPr>
          <w:b/>
          <w:sz w:val="24"/>
        </w:rPr>
        <w:t>ob</w:t>
      </w:r>
      <w:r w:rsidRPr="00BB1E73">
        <w:rPr>
          <w:b/>
          <w:sz w:val="24"/>
        </w:rPr>
        <w:t xml:space="preserve"> </w:t>
      </w:r>
      <w:r w:rsidRPr="00BB1E73">
        <w:rPr>
          <w:b/>
          <w:sz w:val="24"/>
        </w:rPr>
        <w:t>Dravi</w:t>
      </w:r>
      <w:r w:rsidRPr="00BB1E73">
        <w:rPr>
          <w:b/>
          <w:sz w:val="24"/>
        </w:rPr>
        <w:t xml:space="preserve"> stations (4.05 pm, 11 July 2016).</w:t>
      </w:r>
    </w:p>
    <w:p w:rsidR="005854EB" w:rsidRPr="00BB1E73">
      <w:pPr>
        <w:pStyle w:val="BodyText"/>
        <w:rPr>
          <w:b/>
          <w:sz w:val="26"/>
        </w:rPr>
      </w:pPr>
    </w:p>
    <w:p w:rsidR="005854EB" w:rsidRPr="00BB1E73">
      <w:pPr>
        <w:spacing w:before="174"/>
        <w:ind w:left="119" w:right="688"/>
        <w:jc w:val="both"/>
        <w:rPr>
          <w:sz w:val="24"/>
        </w:rPr>
      </w:pPr>
      <w:r w:rsidRPr="00BB1E73">
        <w:rPr>
          <w:sz w:val="24"/>
        </w:rPr>
        <w:t xml:space="preserve">At 4.05 pm on 11 July 2016, train 3830 collided with a Citroen </w:t>
      </w:r>
      <w:r w:rsidRPr="00BB1E73">
        <w:rPr>
          <w:sz w:val="24"/>
        </w:rPr>
        <w:t>Berlingo</w:t>
      </w:r>
      <w:r w:rsidRPr="00BB1E73">
        <w:rPr>
          <w:sz w:val="24"/>
        </w:rPr>
        <w:t xml:space="preserve"> at a level crossing marked with a ‘St Andrew’s Cross’ (km 048.250) between </w:t>
      </w:r>
      <w:r w:rsidRPr="00BB1E73">
        <w:rPr>
          <w:sz w:val="24"/>
        </w:rPr>
        <w:t>Ormož</w:t>
      </w:r>
      <w:r w:rsidRPr="00BB1E73">
        <w:rPr>
          <w:sz w:val="24"/>
        </w:rPr>
        <w:t xml:space="preserve"> and </w:t>
      </w:r>
      <w:r w:rsidRPr="00BB1E73">
        <w:rPr>
          <w:sz w:val="24"/>
        </w:rPr>
        <w:t>Središče</w:t>
      </w:r>
      <w:r w:rsidRPr="00BB1E73">
        <w:rPr>
          <w:sz w:val="24"/>
        </w:rPr>
        <w:t xml:space="preserve"> </w:t>
      </w:r>
      <w:r w:rsidRPr="00BB1E73">
        <w:rPr>
          <w:sz w:val="24"/>
        </w:rPr>
        <w:t>ob</w:t>
      </w:r>
      <w:r w:rsidRPr="00BB1E73">
        <w:rPr>
          <w:sz w:val="24"/>
        </w:rPr>
        <w:t xml:space="preserve"> </w:t>
      </w:r>
      <w:r w:rsidRPr="00BB1E73">
        <w:rPr>
          <w:sz w:val="24"/>
        </w:rPr>
        <w:t>Dravi</w:t>
      </w:r>
      <w:r w:rsidRPr="00BB1E73">
        <w:rPr>
          <w:sz w:val="24"/>
        </w:rPr>
        <w:t xml:space="preserve"> stations.</w:t>
      </w:r>
    </w:p>
    <w:p w:rsidR="005854EB" w:rsidRPr="00BB1E73">
      <w:pPr>
        <w:spacing w:before="72"/>
        <w:ind w:left="119" w:right="683"/>
        <w:jc w:val="both"/>
        <w:rPr>
          <w:sz w:val="24"/>
        </w:rPr>
      </w:pPr>
      <w:r w:rsidRPr="00BB1E73">
        <w:rPr>
          <w:sz w:val="24"/>
        </w:rPr>
        <w:t>Passenger train 3830 was composed of traction unit 813-034 and engine unit 814-034. The front of the engine unit of train 3830 collided with the right-hand side of the car. The passenger compartment of the car was stuck to the buffers of engine unit DMG 814-034.</w:t>
      </w:r>
    </w:p>
    <w:p w:rsidR="005854EB" w:rsidRPr="00BB1E73">
      <w:pPr>
        <w:spacing w:before="72" w:line="242" w:lineRule="auto"/>
        <w:ind w:left="119" w:right="689"/>
        <w:jc w:val="both"/>
        <w:rPr>
          <w:sz w:val="24"/>
        </w:rPr>
      </w:pPr>
      <w:r w:rsidRPr="00BB1E73">
        <w:rPr>
          <w:sz w:val="24"/>
        </w:rPr>
        <w:t>The 63-year-old driver and his 60-year-old passenger died of their injuries at the scene.</w:t>
      </w:r>
    </w:p>
    <w:p w:rsidR="005854EB" w:rsidRPr="00BB1E73">
      <w:pPr>
        <w:spacing w:before="67" w:line="242" w:lineRule="auto"/>
        <w:ind w:left="119" w:right="688"/>
        <w:jc w:val="both"/>
        <w:rPr>
          <w:sz w:val="24"/>
        </w:rPr>
      </w:pPr>
      <w:r w:rsidRPr="00BB1E73">
        <w:rPr>
          <w:sz w:val="24"/>
        </w:rPr>
        <w:t>Ormož</w:t>
      </w:r>
      <w:r w:rsidRPr="00BB1E73">
        <w:noBreakHyphen/>
      </w:r>
      <w:r w:rsidRPr="00BB1E73">
        <w:rPr>
          <w:sz w:val="24"/>
        </w:rPr>
        <w:t>Središče</w:t>
      </w:r>
      <w:r w:rsidRPr="00BB1E73">
        <w:rPr>
          <w:sz w:val="24"/>
        </w:rPr>
        <w:t xml:space="preserve"> </w:t>
      </w:r>
      <w:r w:rsidRPr="00BB1E73">
        <w:rPr>
          <w:sz w:val="24"/>
        </w:rPr>
        <w:t>ob</w:t>
      </w:r>
      <w:r w:rsidRPr="00BB1E73">
        <w:rPr>
          <w:sz w:val="24"/>
        </w:rPr>
        <w:t xml:space="preserve"> </w:t>
      </w:r>
      <w:r w:rsidRPr="00BB1E73">
        <w:rPr>
          <w:sz w:val="24"/>
        </w:rPr>
        <w:t>Dravi</w:t>
      </w:r>
      <w:r w:rsidRPr="00BB1E73">
        <w:rPr>
          <w:sz w:val="24"/>
        </w:rPr>
        <w:t xml:space="preserve"> line 44 is single-track and sees an average of only 14 trains a day.</w:t>
      </w:r>
    </w:p>
    <w:p w:rsidR="005854EB" w:rsidRPr="00BB1E73">
      <w:pPr>
        <w:spacing w:before="66" w:line="242" w:lineRule="auto"/>
        <w:ind w:left="119" w:right="683"/>
        <w:jc w:val="both"/>
        <w:rPr>
          <w:sz w:val="24"/>
        </w:rPr>
      </w:pPr>
      <w:r w:rsidRPr="00BB1E73">
        <w:rPr>
          <w:sz w:val="24"/>
        </w:rPr>
        <w:t>The gravel road that crosses the railway line at km 48.250 is a connecting road for areas of farmland.</w:t>
      </w:r>
    </w:p>
    <w:p w:rsidR="005854EB" w:rsidRPr="00BB1E73" w:rsidP="00AA0591">
      <w:pPr>
        <w:pStyle w:val="BodyText"/>
        <w:pageBreakBefore/>
        <w:ind w:left="2217"/>
        <w:rPr>
          <w:sz w:val="20"/>
        </w:rPr>
      </w:pPr>
      <w:r>
        <w:rPr>
          <w:sz w:val="20"/>
        </w:rPr>
        <w:pict>
          <v:group id="_x0000_i1044" style="width:214.2pt;height:160.1pt;mso-position-horizontal-relative:char;mso-position-vertical-relative:line" coordsize="4284,3202">
            <v:shape id="_x0000_s1045" type="#_x0000_t75" style="width:4272;height:3202;left:12;position:absolute">
              <v:imagedata r:id="rId18" o:title=""/>
            </v:shape>
            <v:shape id="_x0000_s1046" style="width:1061;height:269;left:1663;position:absolute;top:1401" coordorigin="1663,1402" coordsize="1061,269" o:spt="100" adj="0,,0" path="m1769,1555l1663,1637l1793,1670l1786,1637l1769,1637l1759,1598l1777,1595l1769,1555xm1777,1595l1759,1598l1769,1637l1785,1633l1777,1595xm1785,1633l1769,1637l1786,1637l1785,1633xm2714,1402l1777,1595l1785,1633l2724,1440l2714,1402xe" fillcolor="red" stroked="f">
              <v:stroke joinstyle="round"/>
              <v:formulas/>
              <v:path arrowok="t" o:connecttype="segments"/>
            </v:shape>
            <v:shape id="_x0000_s1047" style="width:2290;height:413;left:612;position:absolute;top:2788" coordorigin="612,2789" coordsize="2290,413" o:spt="100" adj="0,,0" path="m731,2825l724,2869l2897,3202l2902,3163l731,2825xm737,2789l612,2827l718,2909l724,2869l703,2866l713,2822l731,2822l737,2789xm713,2822l703,2866l724,2869l731,2825l713,2822xm731,2822l713,2822l731,2825l731,2822xe" fillcolor="#548dd4" stroked="f">
              <v:stroke joinstyle="round"/>
              <v:formulas/>
              <v:path arrowok="t" o:connecttype="segments"/>
            </v:shape>
            <v:line id="_x0000_s1048" style="position:absolute" from="266,1829" to="108,2294" strokecolor="#7f7f7f" strokeweight="3.12pt"/>
            <v:line id="_x0000_s1049" style="position:absolute" from="31,1877" to="358,2266" strokecolor="#7f7f7f" strokeweight="3.12pt"/>
            <w10:wrap type="none"/>
            <w10:anchorlock/>
          </v:group>
        </w:pict>
      </w:r>
    </w:p>
    <w:p w:rsidR="005854EB" w:rsidRPr="00BB1E73">
      <w:pPr>
        <w:pStyle w:val="BodyText"/>
        <w:spacing w:before="8"/>
        <w:rPr>
          <w:sz w:val="24"/>
        </w:rPr>
      </w:pPr>
    </w:p>
    <w:p w:rsidR="005854EB" w:rsidRPr="00BB1E73">
      <w:pPr>
        <w:spacing w:before="93"/>
        <w:ind w:left="431" w:right="1005" w:firstLine="6"/>
        <w:jc w:val="center"/>
        <w:rPr>
          <w:sz w:val="24"/>
        </w:rPr>
      </w:pPr>
      <w:r w:rsidRPr="00BB1E73">
        <w:rPr>
          <w:sz w:val="24"/>
        </w:rPr>
        <w:t>Figure 5: The red arrow shows the direction in which the local passenger train was travelling, the blue arrow shows the direction in which the car was travelling and the point at which the driver drove into the area of the level crossing, and the white cross marks the spot where the collision occurred.</w:t>
      </w:r>
    </w:p>
    <w:p w:rsidR="005854EB" w:rsidRPr="00BB1E73">
      <w:pPr>
        <w:pStyle w:val="BodyText"/>
        <w:spacing w:before="4"/>
        <w:rPr>
          <w:sz w:val="23"/>
        </w:rPr>
      </w:pPr>
    </w:p>
    <w:p w:rsidR="005854EB" w:rsidRPr="00BB1E73">
      <w:pPr>
        <w:ind w:left="119"/>
        <w:rPr>
          <w:b/>
          <w:sz w:val="24"/>
        </w:rPr>
      </w:pPr>
      <w:r w:rsidRPr="00BB1E73">
        <w:rPr>
          <w:b/>
          <w:sz w:val="24"/>
        </w:rPr>
        <w:t>Cause:</w:t>
      </w:r>
    </w:p>
    <w:p w:rsidR="005854EB" w:rsidRPr="00BB1E73">
      <w:pPr>
        <w:spacing w:before="3"/>
        <w:ind w:left="119" w:right="722"/>
        <w:jc w:val="both"/>
        <w:rPr>
          <w:sz w:val="24"/>
        </w:rPr>
      </w:pPr>
      <w:r w:rsidRPr="00BB1E73">
        <w:rPr>
          <w:sz w:val="24"/>
        </w:rPr>
        <w:t xml:space="preserve">The immediate cause of the collision between local passenger train 3830 and the car at a level crossing equipped with road traffic signs on the single-track </w:t>
      </w:r>
      <w:r w:rsidRPr="00BB1E73">
        <w:rPr>
          <w:sz w:val="24"/>
        </w:rPr>
        <w:t>Ormož</w:t>
      </w:r>
      <w:r w:rsidRPr="00BB1E73">
        <w:noBreakHyphen/>
      </w:r>
      <w:r w:rsidRPr="00BB1E73">
        <w:rPr>
          <w:sz w:val="24"/>
        </w:rPr>
        <w:t>Središče</w:t>
      </w:r>
      <w:r w:rsidRPr="00BB1E73">
        <w:rPr>
          <w:sz w:val="24"/>
        </w:rPr>
        <w:t xml:space="preserve"> </w:t>
      </w:r>
      <w:r w:rsidRPr="00BB1E73">
        <w:rPr>
          <w:sz w:val="24"/>
        </w:rPr>
        <w:t>ob</w:t>
      </w:r>
      <w:r w:rsidRPr="00BB1E73">
        <w:rPr>
          <w:sz w:val="24"/>
        </w:rPr>
        <w:t xml:space="preserve"> </w:t>
      </w:r>
      <w:r w:rsidRPr="00BB1E73">
        <w:rPr>
          <w:sz w:val="24"/>
        </w:rPr>
        <w:t>Dravi</w:t>
      </w:r>
      <w:r w:rsidRPr="00BB1E73">
        <w:rPr>
          <w:sz w:val="24"/>
        </w:rPr>
        <w:t xml:space="preserve"> line was most likely the insufficient attention paid by the car driver, who did not see the train: at that time of year, the diesel engine set can blend into the vegetation because of the similarity of their colours.</w:t>
      </w:r>
    </w:p>
    <w:p w:rsidR="005854EB" w:rsidRPr="00BB1E73">
      <w:pPr>
        <w:pStyle w:val="BodyText"/>
        <w:spacing w:before="9"/>
        <w:rPr>
          <w:sz w:val="23"/>
        </w:rPr>
      </w:pPr>
    </w:p>
    <w:p w:rsidR="005854EB" w:rsidRPr="00BB1E73">
      <w:pPr>
        <w:ind w:left="119"/>
        <w:rPr>
          <w:b/>
          <w:sz w:val="24"/>
        </w:rPr>
      </w:pPr>
      <w:r w:rsidRPr="00BB1E73">
        <w:rPr>
          <w:b/>
          <w:sz w:val="24"/>
        </w:rPr>
        <w:t>Recommendation:</w:t>
      </w:r>
    </w:p>
    <w:p w:rsidR="005854EB" w:rsidRPr="00BB1E73">
      <w:pPr>
        <w:spacing w:before="2"/>
        <w:ind w:left="119" w:right="684"/>
        <w:jc w:val="both"/>
        <w:rPr>
          <w:sz w:val="24"/>
        </w:rPr>
      </w:pPr>
      <w:r w:rsidRPr="00BB1E73">
        <w:rPr>
          <w:sz w:val="24"/>
        </w:rPr>
        <w:t>It is recommended that the road traffic signs be upgraded, as part of the railway transport safety management system, so that road users are more clearly warned that they are approaching a level crossing.</w:t>
      </w:r>
    </w:p>
    <w:p w:rsidR="005854EB" w:rsidRPr="00BB1E73">
      <w:pPr>
        <w:pStyle w:val="BodyText"/>
        <w:spacing w:before="7"/>
        <w:rPr>
          <w:sz w:val="23"/>
        </w:rPr>
      </w:pPr>
    </w:p>
    <w:p w:rsidR="005854EB" w:rsidRPr="00BB1E73">
      <w:pPr>
        <w:spacing w:line="242" w:lineRule="auto"/>
        <w:ind w:left="1588" w:right="761" w:hanging="1383"/>
        <w:rPr>
          <w:b/>
          <w:sz w:val="24"/>
        </w:rPr>
      </w:pPr>
      <w:r w:rsidRPr="00BB1E73">
        <w:rPr>
          <w:b/>
          <w:sz w:val="24"/>
        </w:rPr>
        <w:t xml:space="preserve">Derailment of international goods train 45799 while leaving Track 9 at </w:t>
      </w:r>
      <w:r w:rsidRPr="00BB1E73">
        <w:rPr>
          <w:b/>
          <w:sz w:val="24"/>
        </w:rPr>
        <w:t>Dobova</w:t>
      </w:r>
      <w:r w:rsidRPr="00BB1E73">
        <w:rPr>
          <w:b/>
          <w:sz w:val="24"/>
        </w:rPr>
        <w:t xml:space="preserve"> station (9.47 am, 17 November 2016)</w:t>
      </w:r>
    </w:p>
    <w:p w:rsidR="005854EB" w:rsidRPr="00BB1E73">
      <w:pPr>
        <w:pStyle w:val="BodyText"/>
        <w:spacing w:before="7"/>
        <w:rPr>
          <w:b/>
          <w:sz w:val="34"/>
        </w:rPr>
      </w:pPr>
    </w:p>
    <w:p w:rsidR="005854EB" w:rsidRPr="00BB1E73">
      <w:pPr>
        <w:ind w:left="119" w:right="684"/>
        <w:jc w:val="both"/>
        <w:rPr>
          <w:sz w:val="24"/>
        </w:rPr>
      </w:pPr>
      <w:r w:rsidRPr="00BB1E73">
        <w:rPr>
          <w:sz w:val="24"/>
        </w:rPr>
        <w:t xml:space="preserve">At 9.47 am on 17 November 2016, wagon 33879332394-4, operated by RCC (Rail Cargo Carrier), derailed as international goods train 45799 was leaving </w:t>
      </w:r>
      <w:r w:rsidRPr="00BB1E73">
        <w:rPr>
          <w:sz w:val="24"/>
        </w:rPr>
        <w:t>Dobova</w:t>
      </w:r>
      <w:r w:rsidRPr="00BB1E73">
        <w:rPr>
          <w:sz w:val="24"/>
        </w:rPr>
        <w:t xml:space="preserve"> station in the direction of </w:t>
      </w:r>
      <w:r w:rsidRPr="00BB1E73">
        <w:rPr>
          <w:sz w:val="24"/>
        </w:rPr>
        <w:t>Zidani</w:t>
      </w:r>
      <w:r w:rsidRPr="00BB1E73">
        <w:rPr>
          <w:sz w:val="24"/>
        </w:rPr>
        <w:t xml:space="preserve"> Most. The derailed vehicle was the eighth wagon from the front of the train. Train 45799 was composed of 20 wagons, had 80 axles, weighed a total of 1,575 tons and was 305 m in length.</w:t>
      </w:r>
    </w:p>
    <w:p w:rsidR="005854EB" w:rsidRPr="00BB1E73">
      <w:pPr>
        <w:ind w:left="119" w:right="684"/>
        <w:jc w:val="both"/>
        <w:rPr>
          <w:sz w:val="24"/>
        </w:rPr>
      </w:pPr>
      <w:r w:rsidRPr="00BB1E73">
        <w:rPr>
          <w:sz w:val="24"/>
        </w:rPr>
        <w:t>The investigation established that the derailment was caused by the widening of Track 9 as a result of worn-out/completely decayed sleepers. At the location of the widening, the fastener of the rail baseplates had become completely loose and it was possible to remove the baseplate screws from the sleepers by hand.</w:t>
      </w:r>
    </w:p>
    <w:p w:rsidR="005854EB" w:rsidRPr="00BB1E73" w:rsidP="00BD5888">
      <w:pPr>
        <w:pStyle w:val="BodyText"/>
        <w:pageBreakBefore/>
        <w:ind w:left="2172"/>
        <w:rPr>
          <w:sz w:val="20"/>
        </w:rPr>
      </w:pPr>
      <w:r>
        <w:rPr>
          <w:sz w:val="20"/>
        </w:rPr>
        <w:pict>
          <v:group id="_x0000_i1050" style="width:215.05pt;height:158.4pt;mso-position-horizontal-relative:char;mso-position-vertical-relative:line" coordsize="4301,3168">
            <v:shape id="_x0000_s1051" type="#_x0000_t75" style="width:4220;height:3168;left:81;position:absolute">
              <v:imagedata r:id="rId19" o:title=""/>
            </v:shape>
            <v:shape id="_x0000_s1052" style="width:773;height:178;position:absolute;top:1569" coordorigin="0,1570" coordsize="773,178" o:spt="100" adj="0,,0" path="m719,1627l624,1627l624,1685l597,1686l600,1747l773,1651l719,1627xm594,1629l,1661l5,1718l597,1686l594,1629xm624,1627l594,1629l597,1686l624,1685l624,1627xm590,1570l594,1629l624,1627l719,1627l590,1570xe" fillcolor="red" stroked="f">
              <v:stroke joinstyle="round"/>
              <v:formulas/>
              <v:path arrowok="t" o:connecttype="segments"/>
            </v:shape>
            <v:shape id="_x0000_s1053" type="#_x0000_t75" style="width:317;height:332;left:3259;position:absolute;top:1651">
              <v:imagedata r:id="rId20" o:title=""/>
            </v:shape>
            <w10:wrap type="none"/>
            <w10:anchorlock/>
          </v:group>
        </w:pict>
      </w:r>
    </w:p>
    <w:p w:rsidR="005854EB" w:rsidRPr="00BB1E73" w:rsidP="004D4B41">
      <w:pPr>
        <w:spacing w:before="120" w:line="237" w:lineRule="auto"/>
        <w:ind w:right="-46"/>
        <w:jc w:val="center"/>
        <w:rPr>
          <w:sz w:val="24"/>
        </w:rPr>
      </w:pPr>
      <w:r w:rsidRPr="00BB1E73">
        <w:rPr>
          <w:sz w:val="24"/>
        </w:rPr>
        <w:t>Figure 6: The red arrow shows the widened track at the point where traces of the derailment of the carriages are visible and the blue arrow shows the loosened screws of the rail baseplate fastener at this point.</w:t>
      </w:r>
    </w:p>
    <w:p w:rsidR="005854EB" w:rsidRPr="00BB1E73">
      <w:pPr>
        <w:pStyle w:val="BodyText"/>
        <w:spacing w:before="7"/>
        <w:rPr>
          <w:sz w:val="23"/>
        </w:rPr>
      </w:pPr>
    </w:p>
    <w:p w:rsidR="005854EB" w:rsidRPr="00BB1E73">
      <w:pPr>
        <w:ind w:left="119"/>
        <w:rPr>
          <w:b/>
          <w:sz w:val="24"/>
        </w:rPr>
      </w:pPr>
      <w:r w:rsidRPr="00BB1E73">
        <w:rPr>
          <w:b/>
          <w:sz w:val="24"/>
        </w:rPr>
        <w:t>Cause:</w:t>
      </w:r>
    </w:p>
    <w:p w:rsidR="005854EB" w:rsidRPr="00BB1E73">
      <w:pPr>
        <w:spacing w:before="7"/>
        <w:ind w:left="119" w:right="724"/>
        <w:jc w:val="both"/>
        <w:rPr>
          <w:sz w:val="24"/>
        </w:rPr>
      </w:pPr>
      <w:r w:rsidRPr="00BB1E73">
        <w:rPr>
          <w:sz w:val="24"/>
        </w:rPr>
        <w:t xml:space="preserve">The immediate cause of the derailment of international goods train 45799 while leaving Track 9 at </w:t>
      </w:r>
      <w:r w:rsidRPr="00BB1E73">
        <w:rPr>
          <w:sz w:val="24"/>
        </w:rPr>
        <w:t>Dobova</w:t>
      </w:r>
      <w:r w:rsidRPr="00BB1E73">
        <w:rPr>
          <w:sz w:val="24"/>
        </w:rPr>
        <w:t xml:space="preserve"> station was the widening of the track resulting from extremely poor maintenance, as the sleepers were completely weathered and decayed at the derailment point.</w:t>
      </w:r>
    </w:p>
    <w:p w:rsidR="005854EB" w:rsidRPr="00BB1E73">
      <w:pPr>
        <w:pStyle w:val="BodyText"/>
        <w:spacing w:before="5"/>
        <w:rPr>
          <w:sz w:val="23"/>
        </w:rPr>
      </w:pPr>
    </w:p>
    <w:p w:rsidR="005854EB" w:rsidRPr="00BB1E73">
      <w:pPr>
        <w:ind w:left="119"/>
        <w:rPr>
          <w:b/>
          <w:sz w:val="24"/>
        </w:rPr>
      </w:pPr>
      <w:r w:rsidRPr="00BB1E73">
        <w:rPr>
          <w:b/>
          <w:sz w:val="24"/>
        </w:rPr>
        <w:t>Recommendation:</w:t>
      </w:r>
    </w:p>
    <w:p w:rsidR="005854EB" w:rsidRPr="00BB1E73">
      <w:pPr>
        <w:spacing w:before="7"/>
        <w:ind w:left="119" w:right="688"/>
        <w:jc w:val="both"/>
        <w:rPr>
          <w:sz w:val="24"/>
        </w:rPr>
      </w:pPr>
      <w:r w:rsidRPr="00BB1E73">
        <w:rPr>
          <w:sz w:val="24"/>
        </w:rPr>
        <w:t>It is recommended that adequate maintenance of the main station tracks be ensured, as part of the railway transport safety management system, so as to guarantee safe train and shunting driving.</w:t>
      </w:r>
    </w:p>
    <w:p w:rsidR="005854EB" w:rsidRPr="00BB1E73">
      <w:pPr>
        <w:pStyle w:val="BodyText"/>
        <w:spacing w:before="5"/>
        <w:rPr>
          <w:sz w:val="24"/>
        </w:rPr>
      </w:pPr>
    </w:p>
    <w:p w:rsidR="005854EB" w:rsidRPr="00BB1E73">
      <w:pPr>
        <w:ind w:left="119"/>
        <w:rPr>
          <w:sz w:val="24"/>
        </w:rPr>
      </w:pPr>
      <w:r w:rsidRPr="00BB1E73">
        <w:rPr>
          <w:sz w:val="24"/>
        </w:rPr>
        <w:t>The investigations of the accidents described above did not require the compiling of special studies or drawings.</w:t>
      </w:r>
    </w:p>
    <w:p w:rsidR="005854EB" w:rsidRPr="00BB1E73">
      <w:pPr>
        <w:pStyle w:val="Heading2"/>
        <w:numPr>
          <w:ilvl w:val="1"/>
          <w:numId w:val="4"/>
        </w:numPr>
        <w:tabs>
          <w:tab w:val="left" w:pos="695"/>
        </w:tabs>
        <w:spacing w:before="234"/>
        <w:ind w:hanging="600"/>
      </w:pPr>
      <w:bookmarkStart w:id="33" w:name="_Toc503796876"/>
      <w:bookmarkStart w:id="34" w:name="_Toc506208161"/>
      <w:r w:rsidRPr="00BB1E73">
        <w:t>Explanation and introduction or background of investigations</w:t>
      </w:r>
      <w:bookmarkEnd w:id="33"/>
      <w:bookmarkEnd w:id="34"/>
    </w:p>
    <w:p w:rsidR="005854EB" w:rsidRPr="00BB1E73">
      <w:pPr>
        <w:pStyle w:val="BodyText"/>
        <w:spacing w:before="67" w:line="208" w:lineRule="auto"/>
        <w:ind w:left="119" w:right="690"/>
        <w:jc w:val="both"/>
      </w:pPr>
      <w:r w:rsidRPr="00BB1E73">
        <w:t>The department charged with investigating railway accidents and incidents was not able to complete an investigation launched into an accident in 2013 by the prescribed deadline (it was completed ten months after the deadline). In 2012 the department abandoned its investigation into one accident: the derailment of a wagon owned by Croatian railways (goods train 47502) because of lack of cooperation on the part of representatives of the wagon owners.</w:t>
      </w:r>
    </w:p>
    <w:p w:rsidR="005854EB" w:rsidRPr="004D4B41">
      <w:pPr>
        <w:pStyle w:val="BodyText"/>
        <w:spacing w:before="1"/>
        <w:rPr>
          <w:sz w:val="12"/>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tblPr>
      <w:tblGrid>
        <w:gridCol w:w="1639"/>
        <w:gridCol w:w="1560"/>
        <w:gridCol w:w="1134"/>
        <w:gridCol w:w="1194"/>
        <w:gridCol w:w="1559"/>
        <w:gridCol w:w="1612"/>
      </w:tblGrid>
      <w:tr w:rsidTr="004D4B41">
        <w:tblPrEx>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tblPrEx>
        <w:trPr>
          <w:trHeight w:val="20"/>
        </w:trPr>
        <w:tc>
          <w:tcPr>
            <w:tcW w:w="8698" w:type="dxa"/>
            <w:gridSpan w:val="6"/>
          </w:tcPr>
          <w:p w:rsidR="005854EB" w:rsidRPr="00BB1E73" w:rsidP="004D4B41">
            <w:pPr>
              <w:pStyle w:val="TableParagraph"/>
              <w:spacing w:before="40"/>
              <w:ind w:left="110"/>
            </w:pPr>
            <w:r w:rsidRPr="00BB1E73">
              <w:t>Investigations commenced in 2016 and not yet completed</w:t>
            </w:r>
          </w:p>
        </w:tc>
      </w:tr>
      <w:tr w:rsidTr="000F51A5">
        <w:tblPrEx>
          <w:tblW w:w="0" w:type="auto"/>
          <w:tblInd w:w="119" w:type="dxa"/>
          <w:tblLayout w:type="fixed"/>
          <w:tblCellMar>
            <w:left w:w="57" w:type="dxa"/>
            <w:right w:w="57" w:type="dxa"/>
          </w:tblCellMar>
          <w:tblLook w:val="01E0"/>
        </w:tblPrEx>
        <w:trPr>
          <w:trHeight w:val="20"/>
        </w:trPr>
        <w:tc>
          <w:tcPr>
            <w:tcW w:w="1639" w:type="dxa"/>
          </w:tcPr>
          <w:p w:rsidR="005854EB" w:rsidRPr="00BB1E73" w:rsidP="004D4B41">
            <w:pPr>
              <w:pStyle w:val="TableParagraph"/>
              <w:spacing w:before="40" w:line="268" w:lineRule="auto"/>
              <w:ind w:left="110" w:right="227"/>
            </w:pPr>
            <w:r w:rsidRPr="00BB1E73">
              <w:t>Date of accident</w:t>
            </w:r>
          </w:p>
        </w:tc>
        <w:tc>
          <w:tcPr>
            <w:tcW w:w="1560" w:type="dxa"/>
          </w:tcPr>
          <w:p w:rsidR="005854EB" w:rsidRPr="00BB1E73" w:rsidP="004D4B41">
            <w:pPr>
              <w:pStyle w:val="TableParagraph"/>
              <w:spacing w:before="40" w:line="268" w:lineRule="auto"/>
              <w:ind w:left="105" w:right="286"/>
            </w:pPr>
            <w:r w:rsidRPr="00BB1E73">
              <w:t>Type of accident</w:t>
            </w:r>
          </w:p>
        </w:tc>
        <w:tc>
          <w:tcPr>
            <w:tcW w:w="1134" w:type="dxa"/>
          </w:tcPr>
          <w:p w:rsidR="005854EB" w:rsidRPr="00BB1E73" w:rsidP="004D4B41">
            <w:pPr>
              <w:pStyle w:val="TableParagraph"/>
              <w:spacing w:before="40" w:line="268" w:lineRule="auto"/>
              <w:ind w:left="111" w:right="284"/>
            </w:pPr>
            <w:r w:rsidRPr="00BB1E73">
              <w:t>Place of accident</w:t>
            </w:r>
          </w:p>
        </w:tc>
        <w:tc>
          <w:tcPr>
            <w:tcW w:w="1194" w:type="dxa"/>
          </w:tcPr>
          <w:p w:rsidR="005854EB" w:rsidRPr="00BB1E73" w:rsidP="004D4B41">
            <w:pPr>
              <w:pStyle w:val="TableParagraph"/>
              <w:spacing w:before="40" w:line="268" w:lineRule="auto"/>
              <w:ind w:left="107"/>
            </w:pPr>
            <w:r w:rsidRPr="00BB1E73">
              <w:t>Legal basis</w:t>
            </w:r>
          </w:p>
        </w:tc>
        <w:tc>
          <w:tcPr>
            <w:tcW w:w="1559" w:type="dxa"/>
          </w:tcPr>
          <w:p w:rsidR="005854EB" w:rsidRPr="00BB1E73" w:rsidP="004D4B41">
            <w:pPr>
              <w:pStyle w:val="TableParagraph"/>
              <w:spacing w:before="40" w:line="266" w:lineRule="auto"/>
              <w:ind w:left="112" w:right="96"/>
            </w:pPr>
            <w:r w:rsidRPr="00BB1E73">
              <w:t>Reason why investigation has not been completed or was abandoned</w:t>
            </w:r>
          </w:p>
        </w:tc>
        <w:tc>
          <w:tcPr>
            <w:tcW w:w="1612" w:type="dxa"/>
          </w:tcPr>
          <w:p w:rsidR="005854EB" w:rsidRPr="00BB1E73" w:rsidP="004D4B41">
            <w:pPr>
              <w:pStyle w:val="TableParagraph"/>
              <w:spacing w:before="40" w:line="268" w:lineRule="auto"/>
              <w:ind w:left="113" w:right="198"/>
            </w:pPr>
            <w:r w:rsidRPr="00BB1E73">
              <w:t>Who, why, when</w:t>
            </w:r>
          </w:p>
          <w:p w:rsidR="005854EB" w:rsidRPr="00BB1E73" w:rsidP="004D4B41">
            <w:pPr>
              <w:pStyle w:val="TableParagraph"/>
              <w:spacing w:before="40"/>
              <w:rPr>
                <w:sz w:val="20"/>
              </w:rPr>
            </w:pPr>
          </w:p>
          <w:p w:rsidR="005854EB" w:rsidRPr="00BB1E73" w:rsidP="004D4B41">
            <w:pPr>
              <w:pStyle w:val="TableParagraph"/>
              <w:spacing w:before="40"/>
              <w:ind w:left="113"/>
            </w:pPr>
            <w:r w:rsidRPr="00BB1E73">
              <w:t>(decision)</w:t>
            </w:r>
          </w:p>
        </w:tc>
      </w:tr>
      <w:tr w:rsidTr="000F51A5">
        <w:tblPrEx>
          <w:tblW w:w="0" w:type="auto"/>
          <w:tblInd w:w="119" w:type="dxa"/>
          <w:tblLayout w:type="fixed"/>
          <w:tblCellMar>
            <w:left w:w="57" w:type="dxa"/>
            <w:right w:w="57" w:type="dxa"/>
          </w:tblCellMar>
          <w:tblLook w:val="01E0"/>
        </w:tblPrEx>
        <w:trPr>
          <w:trHeight w:val="627"/>
        </w:trPr>
        <w:tc>
          <w:tcPr>
            <w:tcW w:w="1639" w:type="dxa"/>
          </w:tcPr>
          <w:p w:rsidR="008155CE" w:rsidRPr="00BB1E73" w:rsidP="000F51A5">
            <w:pPr>
              <w:pStyle w:val="TableParagraph"/>
              <w:spacing w:before="40" w:line="261" w:lineRule="exact"/>
              <w:ind w:left="23"/>
              <w:rPr>
                <w:sz w:val="24"/>
              </w:rPr>
            </w:pPr>
            <w:r w:rsidRPr="00BB1E73">
              <w:rPr>
                <w:sz w:val="24"/>
              </w:rPr>
              <w:t>17 November 2016</w:t>
            </w:r>
          </w:p>
        </w:tc>
        <w:tc>
          <w:tcPr>
            <w:tcW w:w="1560" w:type="dxa"/>
          </w:tcPr>
          <w:p w:rsidR="008155CE" w:rsidRPr="00BB1E73" w:rsidP="000F51A5">
            <w:pPr>
              <w:pStyle w:val="TableParagraph"/>
              <w:spacing w:before="40" w:line="261" w:lineRule="exact"/>
              <w:rPr>
                <w:sz w:val="24"/>
              </w:rPr>
            </w:pPr>
            <w:r w:rsidRPr="00BB1E73">
              <w:rPr>
                <w:sz w:val="24"/>
              </w:rPr>
              <w:t>Derailment of international goods train 45799</w:t>
            </w:r>
          </w:p>
        </w:tc>
        <w:tc>
          <w:tcPr>
            <w:tcW w:w="1134" w:type="dxa"/>
          </w:tcPr>
          <w:p w:rsidR="008155CE" w:rsidRPr="00BB1E73" w:rsidP="000F51A5">
            <w:pPr>
              <w:pStyle w:val="TableParagraph"/>
              <w:spacing w:before="40" w:line="261" w:lineRule="exact"/>
              <w:rPr>
                <w:sz w:val="24"/>
              </w:rPr>
            </w:pPr>
            <w:r w:rsidRPr="00BB1E73">
              <w:rPr>
                <w:sz w:val="24"/>
              </w:rPr>
              <w:t xml:space="preserve">Track 9, </w:t>
            </w:r>
            <w:r w:rsidRPr="00BB1E73">
              <w:rPr>
                <w:sz w:val="24"/>
              </w:rPr>
              <w:t>Dobova</w:t>
            </w:r>
            <w:r w:rsidRPr="00BB1E73">
              <w:rPr>
                <w:sz w:val="24"/>
              </w:rPr>
              <w:t xml:space="preserve"> station, km 453+840</w:t>
            </w:r>
          </w:p>
        </w:tc>
        <w:tc>
          <w:tcPr>
            <w:tcW w:w="1194" w:type="dxa"/>
          </w:tcPr>
          <w:p w:rsidR="008155CE" w:rsidRPr="00BB1E73" w:rsidP="000F51A5">
            <w:pPr>
              <w:pStyle w:val="TableParagraph"/>
              <w:spacing w:before="40" w:line="261" w:lineRule="exact"/>
              <w:rPr>
                <w:sz w:val="24"/>
              </w:rPr>
            </w:pPr>
            <w:r w:rsidRPr="00BB1E73">
              <w:rPr>
                <w:sz w:val="24"/>
              </w:rPr>
              <w:t xml:space="preserve">Article 26 of the </w:t>
            </w:r>
            <w:r w:rsidRPr="00BB1E73">
              <w:rPr>
                <w:sz w:val="24"/>
              </w:rPr>
              <w:t>ZZelP</w:t>
            </w:r>
          </w:p>
        </w:tc>
        <w:tc>
          <w:tcPr>
            <w:tcW w:w="1559" w:type="dxa"/>
          </w:tcPr>
          <w:p w:rsidR="008155CE" w:rsidRPr="00BB1E73" w:rsidP="000F51A5">
            <w:pPr>
              <w:pStyle w:val="TableParagraph"/>
              <w:spacing w:before="40" w:line="261" w:lineRule="exact"/>
              <w:rPr>
                <w:sz w:val="24"/>
              </w:rPr>
            </w:pPr>
            <w:r w:rsidRPr="00BB1E73">
              <w:rPr>
                <w:sz w:val="24"/>
              </w:rPr>
              <w:t>investigation completed in 2017</w:t>
            </w:r>
          </w:p>
        </w:tc>
        <w:tc>
          <w:tcPr>
            <w:tcW w:w="1612" w:type="dxa"/>
          </w:tcPr>
          <w:p w:rsidR="008155CE" w:rsidRPr="00BB1E73" w:rsidP="000F51A5">
            <w:pPr>
              <w:pStyle w:val="TableParagraph"/>
              <w:spacing w:before="40" w:line="261" w:lineRule="exact"/>
              <w:rPr>
                <w:sz w:val="24"/>
              </w:rPr>
            </w:pPr>
            <w:r w:rsidRPr="00BB1E73">
              <w:rPr>
                <w:sz w:val="24"/>
              </w:rPr>
              <w:t>14 May 2017</w:t>
            </w:r>
          </w:p>
        </w:tc>
      </w:tr>
    </w:tbl>
    <w:p w:rsidR="005854EB" w:rsidRPr="00BB1E73">
      <w:pPr>
        <w:rPr>
          <w:rFonts w:ascii="Times New Roman"/>
          <w:sz w:val="20"/>
        </w:rPr>
        <w:sectPr>
          <w:pgSz w:w="11910" w:h="16840"/>
          <w:pgMar w:top="1180" w:right="1020" w:bottom="1000" w:left="1580" w:header="0" w:footer="738" w:gutter="0"/>
          <w:cols w:space="720"/>
        </w:sectPr>
      </w:pPr>
    </w:p>
    <w:p w:rsidR="005854EB" w:rsidRPr="00BB1E73">
      <w:pPr>
        <w:pStyle w:val="Heading2"/>
        <w:numPr>
          <w:ilvl w:val="1"/>
          <w:numId w:val="4"/>
        </w:numPr>
        <w:tabs>
          <w:tab w:val="left" w:pos="719"/>
          <w:tab w:val="left" w:pos="720"/>
        </w:tabs>
        <w:spacing w:before="68" w:line="235" w:lineRule="auto"/>
        <w:ind w:right="866" w:hanging="600"/>
      </w:pPr>
      <w:bookmarkStart w:id="35" w:name="_Toc503796877"/>
      <w:bookmarkStart w:id="36" w:name="_Toc506208162"/>
      <w:r w:rsidRPr="00BB1E73">
        <w:t>Accidents and events investigated in the past five years (2012</w:t>
      </w:r>
      <w:r w:rsidRPr="00BB1E73">
        <w:noBreakHyphen/>
        <w:t>2016)</w:t>
      </w:r>
      <w:bookmarkEnd w:id="35"/>
      <w:bookmarkEnd w:id="36"/>
    </w:p>
    <w:p w:rsidR="005854EB" w:rsidRPr="00BB1E73">
      <w:pPr>
        <w:spacing w:before="64"/>
        <w:ind w:left="719" w:right="683"/>
        <w:jc w:val="both"/>
        <w:rPr>
          <w:sz w:val="24"/>
        </w:rPr>
      </w:pPr>
      <w:r w:rsidRPr="00BB1E73">
        <w:rPr>
          <w:sz w:val="24"/>
        </w:rPr>
        <w:t>[Table of investigations into railway accidents 2012</w:t>
      </w:r>
      <w:r w:rsidRPr="00BB1E73">
        <w:noBreakHyphen/>
      </w:r>
      <w:r w:rsidRPr="00BB1E73">
        <w:rPr>
          <w:sz w:val="24"/>
        </w:rPr>
        <w:t>2016 (serious accidents, accidents and incidents) and safety studies, with data from 2012 to 2016 and the types of accident/incident: collision of trains, collision with obstacles, derailments, accidents involving people and railway vehicles during travel, fires on railway vehicles, hazardous substances and other items] (Point 3.1 should be updated with the trends established by accident investigations.)</w:t>
      </w:r>
    </w:p>
    <w:p w:rsidR="005854EB" w:rsidRPr="00BB1E73">
      <w:pPr>
        <w:pStyle w:val="BodyText"/>
        <w:rPr>
          <w:sz w:val="20"/>
        </w:rPr>
      </w:pPr>
    </w:p>
    <w:p w:rsidR="005854EB" w:rsidRPr="00BB1E73">
      <w:pPr>
        <w:pStyle w:val="BodyText"/>
        <w:rPr>
          <w:sz w:val="20"/>
        </w:rPr>
      </w:pPr>
    </w:p>
    <w:p w:rsidR="005854EB" w:rsidRPr="00BB1E73">
      <w:pPr>
        <w:pStyle w:val="BodyText"/>
        <w:spacing w:before="3"/>
        <w:rPr>
          <w:sz w:val="2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8"/>
        <w:gridCol w:w="1540"/>
        <w:gridCol w:w="907"/>
        <w:gridCol w:w="849"/>
        <w:gridCol w:w="892"/>
        <w:gridCol w:w="974"/>
        <w:gridCol w:w="849"/>
        <w:gridCol w:w="1132"/>
      </w:tblGrid>
      <w:tr w:rsidTr="000757EA">
        <w:tblPrEx>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498"/>
        </w:trPr>
        <w:tc>
          <w:tcPr>
            <w:tcW w:w="2898" w:type="dxa"/>
            <w:gridSpan w:val="2"/>
          </w:tcPr>
          <w:p w:rsidR="00610724" w:rsidRPr="00BB1E73" w:rsidP="00E67C92">
            <w:pPr>
              <w:pStyle w:val="TableParagraph"/>
              <w:spacing w:before="40"/>
              <w:ind w:left="110"/>
              <w:rPr>
                <w:sz w:val="24"/>
              </w:rPr>
            </w:pPr>
            <w:r w:rsidRPr="00BB1E73">
              <w:rPr>
                <w:sz w:val="24"/>
              </w:rPr>
              <w:t>Accidents investigated</w:t>
            </w:r>
          </w:p>
        </w:tc>
        <w:tc>
          <w:tcPr>
            <w:tcW w:w="907" w:type="dxa"/>
          </w:tcPr>
          <w:p w:rsidR="00610724" w:rsidRPr="00BB1E73" w:rsidP="00E67C92">
            <w:pPr>
              <w:pStyle w:val="TableParagraph"/>
              <w:spacing w:before="40" w:line="285" w:lineRule="exact"/>
              <w:ind w:left="106"/>
              <w:rPr>
                <w:sz w:val="28"/>
              </w:rPr>
            </w:pPr>
            <w:r w:rsidRPr="00BB1E73">
              <w:rPr>
                <w:sz w:val="28"/>
              </w:rPr>
              <w:t>2012</w:t>
            </w:r>
          </w:p>
        </w:tc>
        <w:tc>
          <w:tcPr>
            <w:tcW w:w="849" w:type="dxa"/>
          </w:tcPr>
          <w:p w:rsidR="00610724" w:rsidRPr="00BB1E73" w:rsidP="00E67C92">
            <w:pPr>
              <w:pStyle w:val="TableParagraph"/>
              <w:spacing w:before="40" w:line="285" w:lineRule="exact"/>
              <w:ind w:left="111"/>
              <w:rPr>
                <w:sz w:val="28"/>
              </w:rPr>
            </w:pPr>
            <w:r w:rsidRPr="00BB1E73">
              <w:rPr>
                <w:sz w:val="28"/>
              </w:rPr>
              <w:t>2013</w:t>
            </w:r>
          </w:p>
        </w:tc>
        <w:tc>
          <w:tcPr>
            <w:tcW w:w="892" w:type="dxa"/>
          </w:tcPr>
          <w:p w:rsidR="00610724" w:rsidRPr="00BB1E73" w:rsidP="00E67C92">
            <w:pPr>
              <w:pStyle w:val="TableParagraph"/>
              <w:spacing w:before="40" w:line="285" w:lineRule="exact"/>
              <w:ind w:left="112"/>
              <w:rPr>
                <w:sz w:val="28"/>
              </w:rPr>
            </w:pPr>
            <w:r w:rsidRPr="00BB1E73">
              <w:rPr>
                <w:sz w:val="28"/>
              </w:rPr>
              <w:t>2014</w:t>
            </w:r>
          </w:p>
        </w:tc>
        <w:tc>
          <w:tcPr>
            <w:tcW w:w="974" w:type="dxa"/>
          </w:tcPr>
          <w:p w:rsidR="00610724" w:rsidRPr="00BB1E73" w:rsidP="00E67C92">
            <w:pPr>
              <w:pStyle w:val="TableParagraph"/>
              <w:spacing w:before="40" w:line="285" w:lineRule="exact"/>
              <w:ind w:left="113"/>
              <w:rPr>
                <w:sz w:val="28"/>
              </w:rPr>
            </w:pPr>
            <w:r w:rsidRPr="00BB1E73">
              <w:rPr>
                <w:sz w:val="28"/>
              </w:rPr>
              <w:t>2015</w:t>
            </w:r>
          </w:p>
        </w:tc>
        <w:tc>
          <w:tcPr>
            <w:tcW w:w="849" w:type="dxa"/>
          </w:tcPr>
          <w:p w:rsidR="00610724" w:rsidRPr="00BB1E73" w:rsidP="00E67C92">
            <w:pPr>
              <w:pStyle w:val="TableParagraph"/>
              <w:spacing w:before="40" w:line="285" w:lineRule="exact"/>
              <w:ind w:left="108"/>
              <w:rPr>
                <w:sz w:val="28"/>
              </w:rPr>
            </w:pPr>
            <w:r w:rsidRPr="00BB1E73">
              <w:rPr>
                <w:sz w:val="28"/>
              </w:rPr>
              <w:t>2016</w:t>
            </w:r>
          </w:p>
        </w:tc>
        <w:tc>
          <w:tcPr>
            <w:tcW w:w="1132" w:type="dxa"/>
          </w:tcPr>
          <w:p w:rsidR="00610724" w:rsidRPr="00BB1E73" w:rsidP="00E67C92">
            <w:pPr>
              <w:pStyle w:val="TableParagraph"/>
              <w:spacing w:before="40" w:line="285" w:lineRule="exact"/>
              <w:ind w:left="113"/>
              <w:rPr>
                <w:sz w:val="28"/>
              </w:rPr>
            </w:pPr>
            <w:r w:rsidRPr="00BB1E73">
              <w:rPr>
                <w:sz w:val="28"/>
              </w:rPr>
              <w:t>Total</w:t>
            </w:r>
          </w:p>
        </w:tc>
      </w:tr>
      <w:tr w:rsidTr="000757EA">
        <w:tblPrEx>
          <w:tblW w:w="0" w:type="auto"/>
          <w:tblInd w:w="119" w:type="dxa"/>
          <w:tblLayout w:type="fixed"/>
          <w:tblCellMar>
            <w:left w:w="0" w:type="dxa"/>
            <w:right w:w="0" w:type="dxa"/>
          </w:tblCellMar>
          <w:tblLook w:val="01E0"/>
        </w:tblPrEx>
        <w:trPr>
          <w:trHeight w:val="532"/>
        </w:trPr>
        <w:tc>
          <w:tcPr>
            <w:tcW w:w="1358" w:type="dxa"/>
            <w:vMerge w:val="restart"/>
            <w:tcBorders>
              <w:bottom w:val="single" w:sz="4" w:space="0" w:color="000000"/>
            </w:tcBorders>
          </w:tcPr>
          <w:p w:rsidR="00E67C92" w:rsidRPr="00BB1E73" w:rsidP="00E67C92">
            <w:pPr>
              <w:pStyle w:val="TableParagraph"/>
              <w:spacing w:before="38"/>
              <w:ind w:left="110"/>
              <w:rPr>
                <w:sz w:val="20"/>
              </w:rPr>
            </w:pPr>
            <w:r w:rsidRPr="00BB1E73">
              <w:rPr>
                <w:sz w:val="20"/>
              </w:rPr>
              <w:t>Serious accidents</w:t>
            </w:r>
          </w:p>
          <w:p w:rsidR="00E67C92" w:rsidRPr="00BB1E73">
            <w:pPr>
              <w:pStyle w:val="TableParagraph"/>
              <w:spacing w:before="19"/>
              <w:ind w:left="110"/>
              <w:rPr>
                <w:sz w:val="20"/>
              </w:rPr>
            </w:pPr>
          </w:p>
          <w:p w:rsidR="00E67C92" w:rsidRPr="00BB1E73" w:rsidP="00E67C92">
            <w:pPr>
              <w:pStyle w:val="TableParagraph"/>
              <w:spacing w:before="42" w:line="230" w:lineRule="exact"/>
              <w:ind w:left="110"/>
              <w:rPr>
                <w:sz w:val="20"/>
              </w:rPr>
            </w:pPr>
            <w:r w:rsidRPr="00BB1E73">
              <w:rPr>
                <w:sz w:val="20"/>
              </w:rPr>
              <w:t>Article 19(1) and (2) of the Railway Safety Directive</w:t>
            </w:r>
          </w:p>
        </w:tc>
        <w:tc>
          <w:tcPr>
            <w:tcW w:w="1540" w:type="dxa"/>
            <w:tcBorders>
              <w:bottom w:val="single" w:sz="4" w:space="0" w:color="000000"/>
            </w:tcBorders>
          </w:tcPr>
          <w:p w:rsidR="00E67C92" w:rsidRPr="00BB1E73">
            <w:pPr>
              <w:pStyle w:val="TableParagraph"/>
              <w:spacing w:before="38"/>
              <w:ind w:left="110"/>
              <w:rPr>
                <w:sz w:val="20"/>
              </w:rPr>
            </w:pPr>
            <w:r w:rsidRPr="00BB1E73">
              <w:rPr>
                <w:sz w:val="20"/>
              </w:rPr>
              <w:t>collision</w:t>
            </w:r>
          </w:p>
        </w:tc>
        <w:tc>
          <w:tcPr>
            <w:tcW w:w="907" w:type="dxa"/>
            <w:tcBorders>
              <w:bottom w:val="single" w:sz="4" w:space="0" w:color="000000"/>
            </w:tcBorders>
          </w:tcPr>
          <w:p w:rsidR="00E67C92" w:rsidRPr="00BB1E73">
            <w:pPr>
              <w:pStyle w:val="TableParagraph"/>
              <w:rPr>
                <w:rFonts w:ascii="Times New Roman"/>
              </w:rPr>
            </w:pPr>
          </w:p>
        </w:tc>
        <w:tc>
          <w:tcPr>
            <w:tcW w:w="849" w:type="dxa"/>
            <w:tcBorders>
              <w:bottom w:val="single" w:sz="4" w:space="0" w:color="000000"/>
            </w:tcBorders>
          </w:tcPr>
          <w:p w:rsidR="00E67C92" w:rsidRPr="00BB1E73">
            <w:pPr>
              <w:pStyle w:val="TableParagraph"/>
              <w:ind w:left="111"/>
              <w:rPr>
                <w:sz w:val="24"/>
              </w:rPr>
            </w:pPr>
            <w:r w:rsidRPr="00BB1E73">
              <w:rPr>
                <w:sz w:val="24"/>
              </w:rPr>
              <w:t>1</w:t>
            </w:r>
          </w:p>
        </w:tc>
        <w:tc>
          <w:tcPr>
            <w:tcW w:w="892" w:type="dxa"/>
            <w:tcBorders>
              <w:bottom w:val="single" w:sz="4" w:space="0" w:color="000000"/>
            </w:tcBorders>
          </w:tcPr>
          <w:p w:rsidR="00E67C92" w:rsidRPr="00BB1E73">
            <w:pPr>
              <w:pStyle w:val="TableParagraph"/>
              <w:rPr>
                <w:rFonts w:ascii="Times New Roman"/>
              </w:rPr>
            </w:pPr>
          </w:p>
        </w:tc>
        <w:tc>
          <w:tcPr>
            <w:tcW w:w="974" w:type="dxa"/>
            <w:tcBorders>
              <w:bottom w:val="single" w:sz="4" w:space="0" w:color="000000"/>
            </w:tcBorders>
          </w:tcPr>
          <w:p w:rsidR="00E67C92" w:rsidRPr="00BB1E73">
            <w:pPr>
              <w:pStyle w:val="TableParagraph"/>
              <w:rPr>
                <w:rFonts w:ascii="Times New Roman"/>
              </w:rPr>
            </w:pPr>
          </w:p>
        </w:tc>
        <w:tc>
          <w:tcPr>
            <w:tcW w:w="849" w:type="dxa"/>
            <w:tcBorders>
              <w:bottom w:val="single" w:sz="4" w:space="0" w:color="000000"/>
            </w:tcBorders>
          </w:tcPr>
          <w:p w:rsidR="00E67C92" w:rsidRPr="00BB1E73">
            <w:pPr>
              <w:pStyle w:val="TableParagraph"/>
              <w:rPr>
                <w:rFonts w:ascii="Times New Roman"/>
              </w:rPr>
            </w:pPr>
          </w:p>
        </w:tc>
        <w:tc>
          <w:tcPr>
            <w:tcW w:w="1132" w:type="dxa"/>
            <w:tcBorders>
              <w:bottom w:val="single" w:sz="4" w:space="0" w:color="000000"/>
            </w:tcBorders>
          </w:tcPr>
          <w:p w:rsidR="00E67C92" w:rsidRPr="00BB1E73">
            <w:pPr>
              <w:pStyle w:val="TableParagraph"/>
              <w:ind w:left="114"/>
              <w:rPr>
                <w:sz w:val="24"/>
              </w:rPr>
            </w:pPr>
            <w:r w:rsidRPr="00BB1E73">
              <w:rPr>
                <w:sz w:val="24"/>
              </w:rPr>
              <w:t>1</w:t>
            </w:r>
          </w:p>
        </w:tc>
      </w:tr>
      <w:tr w:rsidTr="000757EA">
        <w:tblPrEx>
          <w:tblW w:w="0" w:type="auto"/>
          <w:tblInd w:w="119" w:type="dxa"/>
          <w:tblLayout w:type="fixed"/>
          <w:tblCellMar>
            <w:left w:w="0" w:type="dxa"/>
            <w:right w:w="0" w:type="dxa"/>
          </w:tblCellMar>
          <w:tblLook w:val="01E0"/>
        </w:tblPrEx>
        <w:trPr>
          <w:trHeight w:val="388"/>
        </w:trPr>
        <w:tc>
          <w:tcPr>
            <w:tcW w:w="1358" w:type="dxa"/>
            <w:vMerge/>
          </w:tcPr>
          <w:p w:rsidR="00E67C92" w:rsidRPr="00BB1E73" w:rsidP="000757EA">
            <w:pPr>
              <w:pStyle w:val="TableParagraph"/>
              <w:spacing w:before="43" w:line="206" w:lineRule="exact"/>
              <w:ind w:left="110"/>
              <w:rPr>
                <w:sz w:val="2"/>
                <w:szCs w:val="2"/>
              </w:rPr>
            </w:pPr>
          </w:p>
        </w:tc>
        <w:tc>
          <w:tcPr>
            <w:tcW w:w="1540" w:type="dxa"/>
          </w:tcPr>
          <w:p w:rsidR="00E67C92" w:rsidRPr="00BB1E73">
            <w:pPr>
              <w:pStyle w:val="TableParagraph"/>
              <w:spacing w:before="38"/>
              <w:ind w:left="110"/>
              <w:rPr>
                <w:sz w:val="20"/>
              </w:rPr>
            </w:pPr>
            <w:r w:rsidRPr="00BB1E73">
              <w:rPr>
                <w:sz w:val="20"/>
              </w:rPr>
              <w:t>derailment</w:t>
            </w:r>
          </w:p>
        </w:tc>
        <w:tc>
          <w:tcPr>
            <w:tcW w:w="907" w:type="dxa"/>
          </w:tcPr>
          <w:p w:rsidR="00E67C92" w:rsidRPr="00BB1E73">
            <w:pPr>
              <w:pStyle w:val="TableParagraph"/>
              <w:ind w:left="106"/>
              <w:rPr>
                <w:sz w:val="24"/>
              </w:rPr>
            </w:pPr>
            <w:r w:rsidRPr="00BB1E73">
              <w:rPr>
                <w:sz w:val="24"/>
              </w:rPr>
              <w:t>1</w:t>
            </w:r>
          </w:p>
        </w:tc>
        <w:tc>
          <w:tcPr>
            <w:tcW w:w="849" w:type="dxa"/>
          </w:tcPr>
          <w:p w:rsidR="00E67C92" w:rsidRPr="00BB1E73">
            <w:pPr>
              <w:pStyle w:val="TableParagraph"/>
              <w:rPr>
                <w:rFonts w:ascii="Times New Roman"/>
              </w:rPr>
            </w:pPr>
          </w:p>
        </w:tc>
        <w:tc>
          <w:tcPr>
            <w:tcW w:w="892" w:type="dxa"/>
          </w:tcPr>
          <w:p w:rsidR="00E67C92" w:rsidRPr="00BB1E73">
            <w:pPr>
              <w:pStyle w:val="TableParagraph"/>
              <w:ind w:left="110"/>
              <w:rPr>
                <w:sz w:val="24"/>
              </w:rPr>
            </w:pPr>
            <w:r w:rsidRPr="00BB1E73">
              <w:rPr>
                <w:sz w:val="24"/>
              </w:rPr>
              <w:t>2</w:t>
            </w:r>
          </w:p>
        </w:tc>
        <w:tc>
          <w:tcPr>
            <w:tcW w:w="974" w:type="dxa"/>
          </w:tcPr>
          <w:p w:rsidR="00E67C92" w:rsidRPr="00BB1E73">
            <w:pPr>
              <w:pStyle w:val="TableParagraph"/>
              <w:rPr>
                <w:rFonts w:ascii="Times New Roman"/>
              </w:rPr>
            </w:pPr>
          </w:p>
        </w:tc>
        <w:tc>
          <w:tcPr>
            <w:tcW w:w="849" w:type="dxa"/>
          </w:tcPr>
          <w:p w:rsidR="00E67C92" w:rsidRPr="00BB1E73">
            <w:pPr>
              <w:pStyle w:val="TableParagraph"/>
              <w:ind w:left="109"/>
              <w:rPr>
                <w:sz w:val="24"/>
              </w:rPr>
            </w:pPr>
            <w:r w:rsidRPr="00BB1E73">
              <w:rPr>
                <w:sz w:val="24"/>
              </w:rPr>
              <w:t>2</w:t>
            </w:r>
          </w:p>
        </w:tc>
        <w:tc>
          <w:tcPr>
            <w:tcW w:w="1132" w:type="dxa"/>
          </w:tcPr>
          <w:p w:rsidR="00E67C92" w:rsidRPr="00BB1E73">
            <w:pPr>
              <w:pStyle w:val="TableParagraph"/>
              <w:ind w:left="113"/>
              <w:rPr>
                <w:sz w:val="24"/>
              </w:rPr>
            </w:pPr>
            <w:r w:rsidRPr="00BB1E73">
              <w:rPr>
                <w:sz w:val="24"/>
              </w:rPr>
              <w:t>5</w:t>
            </w:r>
          </w:p>
        </w:tc>
      </w:tr>
      <w:tr w:rsidTr="000757EA">
        <w:tblPrEx>
          <w:tblW w:w="0" w:type="auto"/>
          <w:tblInd w:w="119" w:type="dxa"/>
          <w:tblLayout w:type="fixed"/>
          <w:tblCellMar>
            <w:left w:w="0" w:type="dxa"/>
            <w:right w:w="0" w:type="dxa"/>
          </w:tblCellMar>
          <w:tblLook w:val="01E0"/>
        </w:tblPrEx>
        <w:trPr>
          <w:trHeight w:val="781"/>
        </w:trPr>
        <w:tc>
          <w:tcPr>
            <w:tcW w:w="1358" w:type="dxa"/>
            <w:vMerge/>
          </w:tcPr>
          <w:p w:rsidR="00E67C92" w:rsidRPr="00BB1E73" w:rsidP="000757EA">
            <w:pPr>
              <w:pStyle w:val="TableParagraph"/>
              <w:spacing w:before="43" w:line="206" w:lineRule="exact"/>
              <w:ind w:left="110"/>
              <w:rPr>
                <w:sz w:val="20"/>
              </w:rPr>
            </w:pPr>
          </w:p>
        </w:tc>
        <w:tc>
          <w:tcPr>
            <w:tcW w:w="1540" w:type="dxa"/>
            <w:shd w:val="clear" w:color="auto" w:fill="BFBFBF"/>
          </w:tcPr>
          <w:p w:rsidR="00E67C92" w:rsidRPr="00BB1E73" w:rsidP="00E67C92">
            <w:pPr>
              <w:pStyle w:val="TableParagraph"/>
              <w:spacing w:before="38"/>
              <w:ind w:left="110" w:right="171"/>
              <w:rPr>
                <w:sz w:val="20"/>
              </w:rPr>
            </w:pPr>
            <w:r w:rsidRPr="00BB1E73">
              <w:rPr>
                <w:sz w:val="20"/>
              </w:rPr>
              <w:t>Level crossing</w:t>
            </w:r>
          </w:p>
        </w:tc>
        <w:tc>
          <w:tcPr>
            <w:tcW w:w="907"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892" w:type="dxa"/>
            <w:shd w:val="clear" w:color="auto" w:fill="BFBFBF"/>
          </w:tcPr>
          <w:p w:rsidR="00E67C92" w:rsidRPr="00BB1E73">
            <w:pPr>
              <w:pStyle w:val="TableParagraph"/>
              <w:rPr>
                <w:rFonts w:ascii="Times New Roman"/>
              </w:rPr>
            </w:pPr>
          </w:p>
        </w:tc>
        <w:tc>
          <w:tcPr>
            <w:tcW w:w="974"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1132" w:type="dxa"/>
            <w:shd w:val="clear" w:color="auto" w:fill="BFBFBF"/>
          </w:tcPr>
          <w:p w:rsidR="00E67C92" w:rsidRPr="00BB1E73">
            <w:pPr>
              <w:pStyle w:val="TableParagraph"/>
              <w:rPr>
                <w:rFonts w:ascii="Times New Roman"/>
              </w:rPr>
            </w:pPr>
          </w:p>
        </w:tc>
      </w:tr>
      <w:tr w:rsidTr="000757EA">
        <w:tblPrEx>
          <w:tblW w:w="0" w:type="auto"/>
          <w:tblInd w:w="119" w:type="dxa"/>
          <w:tblLayout w:type="fixed"/>
          <w:tblCellMar>
            <w:left w:w="0" w:type="dxa"/>
            <w:right w:w="0" w:type="dxa"/>
          </w:tblCellMar>
          <w:tblLook w:val="01E0"/>
        </w:tblPrEx>
        <w:trPr>
          <w:trHeight w:val="1355"/>
        </w:trPr>
        <w:tc>
          <w:tcPr>
            <w:tcW w:w="1358" w:type="dxa"/>
            <w:vMerge/>
          </w:tcPr>
          <w:p w:rsidR="00E67C92" w:rsidRPr="00BB1E73" w:rsidP="000757EA">
            <w:pPr>
              <w:pStyle w:val="TableParagraph"/>
              <w:spacing w:before="43" w:line="206" w:lineRule="exact"/>
              <w:ind w:left="110"/>
              <w:rPr>
                <w:sz w:val="2"/>
                <w:szCs w:val="2"/>
              </w:rPr>
            </w:pPr>
          </w:p>
        </w:tc>
        <w:tc>
          <w:tcPr>
            <w:tcW w:w="1540" w:type="dxa"/>
            <w:shd w:val="clear" w:color="auto" w:fill="BFBFBF"/>
          </w:tcPr>
          <w:p w:rsidR="00E67C92" w:rsidRPr="00BB1E73" w:rsidP="00E67C92">
            <w:pPr>
              <w:pStyle w:val="TableParagraph"/>
              <w:spacing w:before="40" w:line="220" w:lineRule="exact"/>
              <w:ind w:left="108"/>
              <w:rPr>
                <w:rFonts w:ascii="Times New Roman"/>
                <w:sz w:val="2"/>
              </w:rPr>
            </w:pPr>
            <w:r w:rsidRPr="00BB1E73">
              <w:rPr>
                <w:sz w:val="20"/>
              </w:rPr>
              <w:t>persons and railway vehicles during travel</w:t>
            </w:r>
          </w:p>
        </w:tc>
        <w:tc>
          <w:tcPr>
            <w:tcW w:w="907"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892" w:type="dxa"/>
            <w:shd w:val="clear" w:color="auto" w:fill="BFBFBF"/>
          </w:tcPr>
          <w:p w:rsidR="00E67C92" w:rsidRPr="00BB1E73">
            <w:pPr>
              <w:pStyle w:val="TableParagraph"/>
              <w:rPr>
                <w:rFonts w:ascii="Times New Roman"/>
              </w:rPr>
            </w:pPr>
          </w:p>
        </w:tc>
        <w:tc>
          <w:tcPr>
            <w:tcW w:w="974"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1132" w:type="dxa"/>
            <w:shd w:val="clear" w:color="auto" w:fill="BFBFBF"/>
          </w:tcPr>
          <w:p w:rsidR="00E67C92" w:rsidRPr="00BB1E73">
            <w:pPr>
              <w:pStyle w:val="TableParagraph"/>
              <w:rPr>
                <w:rFonts w:ascii="Times New Roman"/>
              </w:rPr>
            </w:pPr>
          </w:p>
        </w:tc>
      </w:tr>
      <w:tr w:rsidTr="000757EA">
        <w:tblPrEx>
          <w:tblW w:w="0" w:type="auto"/>
          <w:tblInd w:w="119" w:type="dxa"/>
          <w:tblLayout w:type="fixed"/>
          <w:tblCellMar>
            <w:left w:w="0" w:type="dxa"/>
            <w:right w:w="0" w:type="dxa"/>
          </w:tblCellMar>
          <w:tblLook w:val="01E0"/>
        </w:tblPrEx>
        <w:trPr>
          <w:trHeight w:val="786"/>
        </w:trPr>
        <w:tc>
          <w:tcPr>
            <w:tcW w:w="1358" w:type="dxa"/>
            <w:vMerge/>
          </w:tcPr>
          <w:p w:rsidR="00E67C92" w:rsidRPr="00BB1E73">
            <w:pPr>
              <w:pStyle w:val="TableParagraph"/>
              <w:rPr>
                <w:rFonts w:ascii="Times New Roman"/>
              </w:rPr>
            </w:pPr>
          </w:p>
        </w:tc>
        <w:tc>
          <w:tcPr>
            <w:tcW w:w="1540" w:type="dxa"/>
            <w:shd w:val="clear" w:color="auto" w:fill="BFBFBF"/>
          </w:tcPr>
          <w:p w:rsidR="00E67C92" w:rsidRPr="00BB1E73" w:rsidP="00E67C92">
            <w:pPr>
              <w:pStyle w:val="TableParagraph"/>
              <w:spacing w:before="42"/>
              <w:ind w:left="110"/>
              <w:rPr>
                <w:sz w:val="20"/>
              </w:rPr>
            </w:pPr>
            <w:r w:rsidRPr="00BB1E73">
              <w:rPr>
                <w:sz w:val="20"/>
              </w:rPr>
              <w:t>fires on vehicles</w:t>
            </w:r>
          </w:p>
        </w:tc>
        <w:tc>
          <w:tcPr>
            <w:tcW w:w="907"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892" w:type="dxa"/>
            <w:shd w:val="clear" w:color="auto" w:fill="BFBFBF"/>
          </w:tcPr>
          <w:p w:rsidR="00E67C92" w:rsidRPr="00BB1E73">
            <w:pPr>
              <w:pStyle w:val="TableParagraph"/>
              <w:rPr>
                <w:rFonts w:ascii="Times New Roman"/>
              </w:rPr>
            </w:pPr>
          </w:p>
        </w:tc>
        <w:tc>
          <w:tcPr>
            <w:tcW w:w="974"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1132" w:type="dxa"/>
            <w:shd w:val="clear" w:color="auto" w:fill="BFBFBF"/>
          </w:tcPr>
          <w:p w:rsidR="00E67C92" w:rsidRPr="00BB1E73">
            <w:pPr>
              <w:pStyle w:val="TableParagraph"/>
              <w:rPr>
                <w:rFonts w:ascii="Times New Roman"/>
              </w:rPr>
            </w:pPr>
          </w:p>
        </w:tc>
      </w:tr>
      <w:tr w:rsidTr="000757EA">
        <w:tblPrEx>
          <w:tblW w:w="0" w:type="auto"/>
          <w:tblInd w:w="119" w:type="dxa"/>
          <w:tblLayout w:type="fixed"/>
          <w:tblCellMar>
            <w:left w:w="0" w:type="dxa"/>
            <w:right w:w="0" w:type="dxa"/>
          </w:tblCellMar>
          <w:tblLook w:val="01E0"/>
        </w:tblPrEx>
        <w:trPr>
          <w:trHeight w:val="388"/>
        </w:trPr>
        <w:tc>
          <w:tcPr>
            <w:tcW w:w="1358" w:type="dxa"/>
            <w:vMerge/>
          </w:tcPr>
          <w:p w:rsidR="00E67C92" w:rsidRPr="00BB1E73">
            <w:pPr>
              <w:pStyle w:val="TableParagraph"/>
              <w:rPr>
                <w:rFonts w:ascii="Times New Roman"/>
              </w:rPr>
            </w:pPr>
          </w:p>
        </w:tc>
        <w:tc>
          <w:tcPr>
            <w:tcW w:w="1540" w:type="dxa"/>
            <w:shd w:val="clear" w:color="auto" w:fill="BFBFBF"/>
          </w:tcPr>
          <w:p w:rsidR="00E67C92" w:rsidRPr="00BB1E73">
            <w:pPr>
              <w:pStyle w:val="TableParagraph"/>
              <w:spacing w:before="38"/>
              <w:ind w:left="110"/>
              <w:rPr>
                <w:sz w:val="20"/>
              </w:rPr>
            </w:pPr>
            <w:r w:rsidRPr="00BB1E73">
              <w:rPr>
                <w:sz w:val="20"/>
              </w:rPr>
              <w:t>Other</w:t>
            </w:r>
          </w:p>
        </w:tc>
        <w:tc>
          <w:tcPr>
            <w:tcW w:w="907" w:type="dxa"/>
            <w:shd w:val="clear" w:color="auto" w:fill="BFBFBF"/>
          </w:tcPr>
          <w:p w:rsidR="00E67C92" w:rsidRPr="00BB1E73">
            <w:pPr>
              <w:pStyle w:val="TableParagraph"/>
              <w:ind w:left="106"/>
              <w:rPr>
                <w:sz w:val="24"/>
              </w:rPr>
            </w:pPr>
            <w:r w:rsidRPr="00BB1E73">
              <w:rPr>
                <w:sz w:val="24"/>
              </w:rPr>
              <w:t>1</w:t>
            </w:r>
          </w:p>
        </w:tc>
        <w:tc>
          <w:tcPr>
            <w:tcW w:w="849" w:type="dxa"/>
            <w:shd w:val="clear" w:color="auto" w:fill="BFBFBF"/>
          </w:tcPr>
          <w:p w:rsidR="00E67C92" w:rsidRPr="00BB1E73">
            <w:pPr>
              <w:pStyle w:val="TableParagraph"/>
              <w:rPr>
                <w:rFonts w:ascii="Times New Roman"/>
              </w:rPr>
            </w:pPr>
          </w:p>
        </w:tc>
        <w:tc>
          <w:tcPr>
            <w:tcW w:w="892" w:type="dxa"/>
            <w:shd w:val="clear" w:color="auto" w:fill="BFBFBF"/>
          </w:tcPr>
          <w:p w:rsidR="00E67C92" w:rsidRPr="00BB1E73">
            <w:pPr>
              <w:pStyle w:val="TableParagraph"/>
              <w:rPr>
                <w:rFonts w:ascii="Times New Roman"/>
              </w:rPr>
            </w:pPr>
          </w:p>
        </w:tc>
        <w:tc>
          <w:tcPr>
            <w:tcW w:w="974" w:type="dxa"/>
            <w:shd w:val="clear" w:color="auto" w:fill="BFBFBF"/>
          </w:tcPr>
          <w:p w:rsidR="00E67C92" w:rsidRPr="00BB1E73">
            <w:pPr>
              <w:pStyle w:val="TableParagraph"/>
              <w:rPr>
                <w:rFonts w:ascii="Times New Roman"/>
              </w:rPr>
            </w:pPr>
          </w:p>
        </w:tc>
        <w:tc>
          <w:tcPr>
            <w:tcW w:w="849" w:type="dxa"/>
            <w:shd w:val="clear" w:color="auto" w:fill="BFBFBF"/>
          </w:tcPr>
          <w:p w:rsidR="00E67C92" w:rsidRPr="00BB1E73">
            <w:pPr>
              <w:pStyle w:val="TableParagraph"/>
              <w:rPr>
                <w:rFonts w:ascii="Times New Roman"/>
              </w:rPr>
            </w:pPr>
          </w:p>
        </w:tc>
        <w:tc>
          <w:tcPr>
            <w:tcW w:w="1132" w:type="dxa"/>
            <w:shd w:val="clear" w:color="auto" w:fill="BFBFBF"/>
          </w:tcPr>
          <w:p w:rsidR="00E67C92" w:rsidRPr="00BB1E73">
            <w:pPr>
              <w:pStyle w:val="TableParagraph"/>
              <w:ind w:left="113"/>
              <w:rPr>
                <w:sz w:val="24"/>
              </w:rPr>
            </w:pPr>
            <w:r w:rsidRPr="00BB1E73">
              <w:rPr>
                <w:sz w:val="24"/>
              </w:rPr>
              <w:t>1</w:t>
            </w:r>
          </w:p>
        </w:tc>
      </w:tr>
      <w:tr w:rsidTr="000757EA">
        <w:tblPrEx>
          <w:tblW w:w="0" w:type="auto"/>
          <w:tblInd w:w="119" w:type="dxa"/>
          <w:tblLayout w:type="fixed"/>
          <w:tblCellMar>
            <w:left w:w="0" w:type="dxa"/>
            <w:right w:w="0" w:type="dxa"/>
          </w:tblCellMar>
          <w:tblLook w:val="01E0"/>
        </w:tblPrEx>
        <w:trPr>
          <w:trHeight w:val="383"/>
        </w:trPr>
        <w:tc>
          <w:tcPr>
            <w:tcW w:w="1358" w:type="dxa"/>
            <w:vMerge/>
          </w:tcPr>
          <w:p w:rsidR="00E67C92" w:rsidRPr="00BB1E73">
            <w:pPr>
              <w:pStyle w:val="TableParagraph"/>
              <w:rPr>
                <w:rFonts w:ascii="Times New Roman"/>
              </w:rPr>
            </w:pPr>
          </w:p>
        </w:tc>
        <w:tc>
          <w:tcPr>
            <w:tcW w:w="1540" w:type="dxa"/>
          </w:tcPr>
          <w:p w:rsidR="00E67C92" w:rsidRPr="00BB1E73" w:rsidP="00E67C92">
            <w:pPr>
              <w:pStyle w:val="TableParagraph"/>
              <w:spacing w:before="38"/>
              <w:ind w:left="110" w:right="29"/>
              <w:rPr>
                <w:sz w:val="20"/>
              </w:rPr>
            </w:pPr>
            <w:r w:rsidRPr="00BB1E73">
              <w:rPr>
                <w:sz w:val="20"/>
              </w:rPr>
              <w:t>hazardous substances</w:t>
            </w:r>
          </w:p>
        </w:tc>
        <w:tc>
          <w:tcPr>
            <w:tcW w:w="907"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892" w:type="dxa"/>
          </w:tcPr>
          <w:p w:rsidR="00E67C92" w:rsidRPr="00BB1E73">
            <w:pPr>
              <w:pStyle w:val="TableParagraph"/>
              <w:rPr>
                <w:rFonts w:ascii="Times New Roman"/>
              </w:rPr>
            </w:pPr>
          </w:p>
        </w:tc>
        <w:tc>
          <w:tcPr>
            <w:tcW w:w="974"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1132" w:type="dxa"/>
          </w:tcPr>
          <w:p w:rsidR="00E67C92" w:rsidRPr="00BB1E73">
            <w:pPr>
              <w:pStyle w:val="TableParagraph"/>
              <w:rPr>
                <w:rFonts w:ascii="Times New Roman"/>
              </w:rPr>
            </w:pPr>
          </w:p>
        </w:tc>
      </w:tr>
      <w:tr>
        <w:tblPrEx>
          <w:tblW w:w="0" w:type="auto"/>
          <w:tblInd w:w="119" w:type="dxa"/>
          <w:tblLayout w:type="fixed"/>
          <w:tblCellMar>
            <w:left w:w="0" w:type="dxa"/>
            <w:right w:w="0" w:type="dxa"/>
          </w:tblCellMar>
          <w:tblLook w:val="01E0"/>
        </w:tblPrEx>
        <w:trPr>
          <w:trHeight w:val="282"/>
        </w:trPr>
        <w:tc>
          <w:tcPr>
            <w:tcW w:w="1358" w:type="dxa"/>
            <w:shd w:val="clear" w:color="auto" w:fill="BFBFBF"/>
          </w:tcPr>
          <w:p w:rsidR="005854EB" w:rsidRPr="00BB1E73">
            <w:pPr>
              <w:pStyle w:val="TableParagraph"/>
              <w:rPr>
                <w:rFonts w:ascii="Times New Roman"/>
                <w:sz w:val="20"/>
              </w:rPr>
            </w:pPr>
          </w:p>
        </w:tc>
        <w:tc>
          <w:tcPr>
            <w:tcW w:w="1540" w:type="dxa"/>
            <w:shd w:val="clear" w:color="auto" w:fill="BFBFBF"/>
          </w:tcPr>
          <w:p w:rsidR="005854EB" w:rsidRPr="00BB1E73">
            <w:pPr>
              <w:pStyle w:val="TableParagraph"/>
              <w:rPr>
                <w:rFonts w:ascii="Times New Roman"/>
                <w:sz w:val="20"/>
              </w:rPr>
            </w:pPr>
          </w:p>
        </w:tc>
        <w:tc>
          <w:tcPr>
            <w:tcW w:w="907" w:type="dxa"/>
            <w:shd w:val="clear" w:color="auto" w:fill="BFBFBF"/>
          </w:tcPr>
          <w:p w:rsidR="005854EB" w:rsidRPr="00BB1E73">
            <w:pPr>
              <w:pStyle w:val="TableParagraph"/>
              <w:rPr>
                <w:rFonts w:ascii="Times New Roman"/>
                <w:sz w:val="20"/>
              </w:rPr>
            </w:pPr>
          </w:p>
        </w:tc>
        <w:tc>
          <w:tcPr>
            <w:tcW w:w="849" w:type="dxa"/>
            <w:shd w:val="clear" w:color="auto" w:fill="BFBFBF"/>
          </w:tcPr>
          <w:p w:rsidR="005854EB" w:rsidRPr="00BB1E73">
            <w:pPr>
              <w:pStyle w:val="TableParagraph"/>
              <w:rPr>
                <w:rFonts w:ascii="Times New Roman"/>
                <w:sz w:val="20"/>
              </w:rPr>
            </w:pPr>
          </w:p>
        </w:tc>
        <w:tc>
          <w:tcPr>
            <w:tcW w:w="892" w:type="dxa"/>
            <w:shd w:val="clear" w:color="auto" w:fill="BFBFBF"/>
          </w:tcPr>
          <w:p w:rsidR="005854EB" w:rsidRPr="00BB1E73">
            <w:pPr>
              <w:pStyle w:val="TableParagraph"/>
              <w:rPr>
                <w:rFonts w:ascii="Times New Roman"/>
                <w:sz w:val="20"/>
              </w:rPr>
            </w:pPr>
          </w:p>
        </w:tc>
        <w:tc>
          <w:tcPr>
            <w:tcW w:w="974" w:type="dxa"/>
            <w:shd w:val="clear" w:color="auto" w:fill="BFBFBF"/>
          </w:tcPr>
          <w:p w:rsidR="005854EB" w:rsidRPr="00BB1E73">
            <w:pPr>
              <w:pStyle w:val="TableParagraph"/>
              <w:rPr>
                <w:rFonts w:ascii="Times New Roman"/>
                <w:sz w:val="20"/>
              </w:rPr>
            </w:pPr>
          </w:p>
        </w:tc>
        <w:tc>
          <w:tcPr>
            <w:tcW w:w="849" w:type="dxa"/>
            <w:shd w:val="clear" w:color="auto" w:fill="BFBFBF"/>
          </w:tcPr>
          <w:p w:rsidR="005854EB" w:rsidRPr="00BB1E73">
            <w:pPr>
              <w:pStyle w:val="TableParagraph"/>
              <w:rPr>
                <w:rFonts w:ascii="Times New Roman"/>
                <w:sz w:val="20"/>
              </w:rPr>
            </w:pPr>
          </w:p>
        </w:tc>
        <w:tc>
          <w:tcPr>
            <w:tcW w:w="1132" w:type="dxa"/>
            <w:shd w:val="clear" w:color="auto" w:fill="BFBFBF"/>
          </w:tcPr>
          <w:p w:rsidR="005854EB" w:rsidRPr="00BB1E73">
            <w:pPr>
              <w:pStyle w:val="TableParagraph"/>
              <w:rPr>
                <w:rFonts w:ascii="Times New Roman"/>
                <w:sz w:val="20"/>
              </w:rPr>
            </w:pPr>
          </w:p>
        </w:tc>
      </w:tr>
      <w:tr w:rsidTr="000757EA">
        <w:tblPrEx>
          <w:tblW w:w="0" w:type="auto"/>
          <w:tblInd w:w="119" w:type="dxa"/>
          <w:tblLayout w:type="fixed"/>
          <w:tblCellMar>
            <w:left w:w="0" w:type="dxa"/>
            <w:right w:w="0" w:type="dxa"/>
          </w:tblCellMar>
          <w:tblLook w:val="01E0"/>
        </w:tblPrEx>
        <w:trPr>
          <w:trHeight w:val="529"/>
        </w:trPr>
        <w:tc>
          <w:tcPr>
            <w:tcW w:w="1358" w:type="dxa"/>
            <w:vMerge w:val="restart"/>
            <w:tcBorders>
              <w:bottom w:val="single" w:sz="4" w:space="0" w:color="000000"/>
            </w:tcBorders>
          </w:tcPr>
          <w:p w:rsidR="00E67C92" w:rsidRPr="00BB1E73" w:rsidP="00E67C92">
            <w:pPr>
              <w:pStyle w:val="TableParagraph"/>
              <w:spacing w:before="38"/>
              <w:ind w:left="110"/>
              <w:rPr>
                <w:sz w:val="20"/>
              </w:rPr>
            </w:pPr>
            <w:r w:rsidRPr="00BB1E73">
              <w:rPr>
                <w:sz w:val="20"/>
              </w:rPr>
              <w:t>Other accidents</w:t>
            </w:r>
          </w:p>
          <w:p w:rsidR="00E67C92" w:rsidRPr="00BB1E73">
            <w:pPr>
              <w:pStyle w:val="TableParagraph"/>
              <w:spacing w:before="16"/>
              <w:ind w:left="110"/>
              <w:rPr>
                <w:sz w:val="20"/>
              </w:rPr>
            </w:pPr>
          </w:p>
          <w:p w:rsidR="00E67C92" w:rsidRPr="00BB1E73" w:rsidP="00E67C92">
            <w:pPr>
              <w:pStyle w:val="TableParagraph"/>
              <w:spacing w:before="42"/>
              <w:ind w:left="110"/>
              <w:rPr>
                <w:sz w:val="20"/>
              </w:rPr>
            </w:pPr>
            <w:r w:rsidRPr="00BB1E73">
              <w:rPr>
                <w:sz w:val="20"/>
              </w:rPr>
              <w:t>Article 21(6) of the Railway Safety Directive</w:t>
            </w:r>
          </w:p>
        </w:tc>
        <w:tc>
          <w:tcPr>
            <w:tcW w:w="1540" w:type="dxa"/>
            <w:tcBorders>
              <w:bottom w:val="single" w:sz="4" w:space="0" w:color="000000"/>
            </w:tcBorders>
          </w:tcPr>
          <w:p w:rsidR="00E67C92" w:rsidRPr="00BB1E73">
            <w:pPr>
              <w:pStyle w:val="TableParagraph"/>
              <w:spacing w:before="38"/>
              <w:ind w:left="110"/>
              <w:rPr>
                <w:sz w:val="20"/>
              </w:rPr>
            </w:pPr>
            <w:r w:rsidRPr="00BB1E73">
              <w:rPr>
                <w:sz w:val="20"/>
              </w:rPr>
              <w:t>collision</w:t>
            </w:r>
          </w:p>
        </w:tc>
        <w:tc>
          <w:tcPr>
            <w:tcW w:w="907" w:type="dxa"/>
            <w:tcBorders>
              <w:bottom w:val="single" w:sz="4" w:space="0" w:color="000000"/>
            </w:tcBorders>
          </w:tcPr>
          <w:p w:rsidR="00E67C92" w:rsidRPr="00BB1E73">
            <w:pPr>
              <w:pStyle w:val="TableParagraph"/>
              <w:rPr>
                <w:rFonts w:ascii="Times New Roman"/>
              </w:rPr>
            </w:pPr>
          </w:p>
        </w:tc>
        <w:tc>
          <w:tcPr>
            <w:tcW w:w="849" w:type="dxa"/>
            <w:tcBorders>
              <w:bottom w:val="single" w:sz="4" w:space="0" w:color="000000"/>
            </w:tcBorders>
          </w:tcPr>
          <w:p w:rsidR="00E67C92" w:rsidRPr="00BB1E73">
            <w:pPr>
              <w:pStyle w:val="TableParagraph"/>
              <w:rPr>
                <w:rFonts w:ascii="Times New Roman"/>
              </w:rPr>
            </w:pPr>
          </w:p>
        </w:tc>
        <w:tc>
          <w:tcPr>
            <w:tcW w:w="892" w:type="dxa"/>
            <w:tcBorders>
              <w:bottom w:val="single" w:sz="4" w:space="0" w:color="000000"/>
            </w:tcBorders>
          </w:tcPr>
          <w:p w:rsidR="00E67C92" w:rsidRPr="00BB1E73">
            <w:pPr>
              <w:pStyle w:val="TableParagraph"/>
              <w:rPr>
                <w:rFonts w:ascii="Times New Roman"/>
              </w:rPr>
            </w:pPr>
          </w:p>
        </w:tc>
        <w:tc>
          <w:tcPr>
            <w:tcW w:w="974" w:type="dxa"/>
            <w:tcBorders>
              <w:bottom w:val="single" w:sz="4" w:space="0" w:color="000000"/>
            </w:tcBorders>
          </w:tcPr>
          <w:p w:rsidR="00E67C92" w:rsidRPr="00BB1E73">
            <w:pPr>
              <w:pStyle w:val="TableParagraph"/>
              <w:ind w:left="112"/>
              <w:rPr>
                <w:sz w:val="24"/>
              </w:rPr>
            </w:pPr>
            <w:r w:rsidRPr="00BB1E73">
              <w:rPr>
                <w:sz w:val="24"/>
              </w:rPr>
              <w:t>1</w:t>
            </w:r>
          </w:p>
        </w:tc>
        <w:tc>
          <w:tcPr>
            <w:tcW w:w="849" w:type="dxa"/>
            <w:tcBorders>
              <w:bottom w:val="single" w:sz="4" w:space="0" w:color="000000"/>
            </w:tcBorders>
          </w:tcPr>
          <w:p w:rsidR="00E67C92" w:rsidRPr="00BB1E73">
            <w:pPr>
              <w:pStyle w:val="TableParagraph"/>
              <w:rPr>
                <w:rFonts w:ascii="Times New Roman"/>
              </w:rPr>
            </w:pPr>
          </w:p>
        </w:tc>
        <w:tc>
          <w:tcPr>
            <w:tcW w:w="1132" w:type="dxa"/>
            <w:tcBorders>
              <w:bottom w:val="single" w:sz="4" w:space="0" w:color="000000"/>
            </w:tcBorders>
          </w:tcPr>
          <w:p w:rsidR="00E67C92" w:rsidRPr="00BB1E73">
            <w:pPr>
              <w:pStyle w:val="TableParagraph"/>
              <w:ind w:left="114"/>
              <w:rPr>
                <w:sz w:val="24"/>
              </w:rPr>
            </w:pPr>
            <w:r w:rsidRPr="00BB1E73">
              <w:rPr>
                <w:sz w:val="24"/>
              </w:rPr>
              <w:t>1</w:t>
            </w:r>
          </w:p>
        </w:tc>
      </w:tr>
      <w:tr w:rsidTr="000757EA">
        <w:tblPrEx>
          <w:tblW w:w="0" w:type="auto"/>
          <w:tblInd w:w="119" w:type="dxa"/>
          <w:tblLayout w:type="fixed"/>
          <w:tblCellMar>
            <w:left w:w="0" w:type="dxa"/>
            <w:right w:w="0" w:type="dxa"/>
          </w:tblCellMar>
          <w:tblLook w:val="01E0"/>
        </w:tblPrEx>
        <w:trPr>
          <w:trHeight w:val="388"/>
        </w:trPr>
        <w:tc>
          <w:tcPr>
            <w:tcW w:w="1358" w:type="dxa"/>
            <w:vMerge/>
          </w:tcPr>
          <w:p w:rsidR="00E67C92" w:rsidRPr="00BB1E73" w:rsidP="000757EA">
            <w:pPr>
              <w:pStyle w:val="TableParagraph"/>
              <w:spacing w:before="45" w:line="206" w:lineRule="exact"/>
              <w:ind w:left="110"/>
              <w:rPr>
                <w:sz w:val="2"/>
                <w:szCs w:val="2"/>
              </w:rPr>
            </w:pPr>
          </w:p>
        </w:tc>
        <w:tc>
          <w:tcPr>
            <w:tcW w:w="1540" w:type="dxa"/>
          </w:tcPr>
          <w:p w:rsidR="00E67C92" w:rsidRPr="00BB1E73">
            <w:pPr>
              <w:pStyle w:val="TableParagraph"/>
              <w:spacing w:before="38"/>
              <w:ind w:left="110"/>
              <w:rPr>
                <w:sz w:val="20"/>
              </w:rPr>
            </w:pPr>
            <w:r w:rsidRPr="00BB1E73">
              <w:rPr>
                <w:sz w:val="20"/>
              </w:rPr>
              <w:t>derailment</w:t>
            </w:r>
          </w:p>
        </w:tc>
        <w:tc>
          <w:tcPr>
            <w:tcW w:w="907" w:type="dxa"/>
          </w:tcPr>
          <w:p w:rsidR="00E67C92" w:rsidRPr="00BB1E73">
            <w:pPr>
              <w:pStyle w:val="TableParagraph"/>
              <w:rPr>
                <w:rFonts w:ascii="Times New Roman"/>
              </w:rPr>
            </w:pPr>
          </w:p>
        </w:tc>
        <w:tc>
          <w:tcPr>
            <w:tcW w:w="849" w:type="dxa"/>
          </w:tcPr>
          <w:p w:rsidR="00E67C92" w:rsidRPr="00BB1E73">
            <w:pPr>
              <w:pStyle w:val="TableParagraph"/>
              <w:ind w:left="111"/>
              <w:rPr>
                <w:sz w:val="24"/>
              </w:rPr>
            </w:pPr>
            <w:r w:rsidRPr="00BB1E73">
              <w:rPr>
                <w:sz w:val="24"/>
              </w:rPr>
              <w:t>2</w:t>
            </w:r>
          </w:p>
        </w:tc>
        <w:tc>
          <w:tcPr>
            <w:tcW w:w="892" w:type="dxa"/>
          </w:tcPr>
          <w:p w:rsidR="00E67C92" w:rsidRPr="00BB1E73">
            <w:pPr>
              <w:pStyle w:val="TableParagraph"/>
              <w:rPr>
                <w:rFonts w:ascii="Times New Roman"/>
              </w:rPr>
            </w:pPr>
          </w:p>
        </w:tc>
        <w:tc>
          <w:tcPr>
            <w:tcW w:w="974"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1132" w:type="dxa"/>
          </w:tcPr>
          <w:p w:rsidR="00E67C92" w:rsidRPr="00BB1E73">
            <w:pPr>
              <w:pStyle w:val="TableParagraph"/>
              <w:ind w:left="114"/>
              <w:rPr>
                <w:sz w:val="24"/>
              </w:rPr>
            </w:pPr>
            <w:r w:rsidRPr="00BB1E73">
              <w:rPr>
                <w:sz w:val="24"/>
              </w:rPr>
              <w:t>2</w:t>
            </w:r>
          </w:p>
        </w:tc>
      </w:tr>
      <w:tr w:rsidTr="000757EA">
        <w:tblPrEx>
          <w:tblW w:w="0" w:type="auto"/>
          <w:tblInd w:w="119" w:type="dxa"/>
          <w:tblLayout w:type="fixed"/>
          <w:tblCellMar>
            <w:left w:w="0" w:type="dxa"/>
            <w:right w:w="0" w:type="dxa"/>
          </w:tblCellMar>
          <w:tblLook w:val="01E0"/>
        </w:tblPrEx>
        <w:trPr>
          <w:trHeight w:val="806"/>
        </w:trPr>
        <w:tc>
          <w:tcPr>
            <w:tcW w:w="1358" w:type="dxa"/>
            <w:vMerge/>
          </w:tcPr>
          <w:p w:rsidR="00E67C92" w:rsidRPr="00BB1E73" w:rsidP="000757EA">
            <w:pPr>
              <w:pStyle w:val="TableParagraph"/>
              <w:spacing w:before="45" w:line="206" w:lineRule="exact"/>
              <w:ind w:left="110"/>
              <w:rPr>
                <w:sz w:val="20"/>
              </w:rPr>
            </w:pPr>
          </w:p>
        </w:tc>
        <w:tc>
          <w:tcPr>
            <w:tcW w:w="1540" w:type="dxa"/>
          </w:tcPr>
          <w:p w:rsidR="00E67C92" w:rsidRPr="00BB1E73" w:rsidP="00E67C92">
            <w:pPr>
              <w:pStyle w:val="TableParagraph"/>
              <w:spacing w:before="38"/>
              <w:ind w:left="110" w:right="171"/>
              <w:rPr>
                <w:sz w:val="20"/>
              </w:rPr>
            </w:pPr>
            <w:r w:rsidRPr="00BB1E73">
              <w:rPr>
                <w:sz w:val="20"/>
              </w:rPr>
              <w:t>Level crossing</w:t>
            </w:r>
          </w:p>
        </w:tc>
        <w:tc>
          <w:tcPr>
            <w:tcW w:w="907" w:type="dxa"/>
          </w:tcPr>
          <w:p w:rsidR="00E67C92" w:rsidRPr="00BB1E73">
            <w:pPr>
              <w:pStyle w:val="TableParagraph"/>
              <w:ind w:left="106"/>
              <w:rPr>
                <w:sz w:val="24"/>
              </w:rPr>
            </w:pPr>
            <w:r w:rsidRPr="00BB1E73">
              <w:rPr>
                <w:sz w:val="24"/>
              </w:rPr>
              <w:t>2</w:t>
            </w:r>
          </w:p>
        </w:tc>
        <w:tc>
          <w:tcPr>
            <w:tcW w:w="849" w:type="dxa"/>
          </w:tcPr>
          <w:p w:rsidR="00E67C92" w:rsidRPr="00BB1E73">
            <w:pPr>
              <w:pStyle w:val="TableParagraph"/>
              <w:ind w:left="110"/>
              <w:rPr>
                <w:sz w:val="24"/>
              </w:rPr>
            </w:pPr>
            <w:r w:rsidRPr="00BB1E73">
              <w:rPr>
                <w:sz w:val="24"/>
              </w:rPr>
              <w:t>1</w:t>
            </w:r>
          </w:p>
        </w:tc>
        <w:tc>
          <w:tcPr>
            <w:tcW w:w="892" w:type="dxa"/>
          </w:tcPr>
          <w:p w:rsidR="00E67C92" w:rsidRPr="00BB1E73">
            <w:pPr>
              <w:pStyle w:val="TableParagraph"/>
              <w:ind w:left="112"/>
              <w:rPr>
                <w:sz w:val="24"/>
              </w:rPr>
            </w:pPr>
            <w:r w:rsidRPr="00BB1E73">
              <w:rPr>
                <w:sz w:val="24"/>
              </w:rPr>
              <w:t>3</w:t>
            </w:r>
          </w:p>
        </w:tc>
        <w:tc>
          <w:tcPr>
            <w:tcW w:w="974" w:type="dxa"/>
          </w:tcPr>
          <w:p w:rsidR="00E67C92" w:rsidRPr="00BB1E73">
            <w:pPr>
              <w:pStyle w:val="TableParagraph"/>
              <w:ind w:left="111"/>
              <w:rPr>
                <w:sz w:val="24"/>
              </w:rPr>
            </w:pPr>
            <w:r w:rsidRPr="00BB1E73">
              <w:rPr>
                <w:sz w:val="24"/>
              </w:rPr>
              <w:t>2</w:t>
            </w:r>
          </w:p>
        </w:tc>
        <w:tc>
          <w:tcPr>
            <w:tcW w:w="849" w:type="dxa"/>
          </w:tcPr>
          <w:p w:rsidR="00E67C92" w:rsidRPr="00BB1E73">
            <w:pPr>
              <w:pStyle w:val="TableParagraph"/>
              <w:ind w:left="108"/>
              <w:rPr>
                <w:sz w:val="24"/>
              </w:rPr>
            </w:pPr>
            <w:r w:rsidRPr="00BB1E73">
              <w:rPr>
                <w:sz w:val="24"/>
              </w:rPr>
              <w:t>4</w:t>
            </w:r>
          </w:p>
        </w:tc>
        <w:tc>
          <w:tcPr>
            <w:tcW w:w="1132" w:type="dxa"/>
          </w:tcPr>
          <w:p w:rsidR="00E67C92" w:rsidRPr="00BB1E73">
            <w:pPr>
              <w:pStyle w:val="TableParagraph"/>
              <w:ind w:left="113"/>
              <w:rPr>
                <w:sz w:val="24"/>
              </w:rPr>
            </w:pPr>
            <w:r w:rsidRPr="00BB1E73">
              <w:rPr>
                <w:sz w:val="24"/>
              </w:rPr>
              <w:t>12</w:t>
            </w:r>
          </w:p>
        </w:tc>
      </w:tr>
      <w:tr w:rsidTr="000757EA">
        <w:tblPrEx>
          <w:tblW w:w="0" w:type="auto"/>
          <w:tblInd w:w="119" w:type="dxa"/>
          <w:tblLayout w:type="fixed"/>
          <w:tblCellMar>
            <w:left w:w="0" w:type="dxa"/>
            <w:right w:w="0" w:type="dxa"/>
          </w:tblCellMar>
          <w:tblLook w:val="01E0"/>
        </w:tblPrEx>
        <w:trPr>
          <w:trHeight w:val="1356"/>
        </w:trPr>
        <w:tc>
          <w:tcPr>
            <w:tcW w:w="1358" w:type="dxa"/>
            <w:vMerge/>
          </w:tcPr>
          <w:p w:rsidR="00E67C92" w:rsidRPr="00BB1E73" w:rsidP="000757EA">
            <w:pPr>
              <w:pStyle w:val="TableParagraph"/>
              <w:spacing w:before="45" w:line="206" w:lineRule="exact"/>
              <w:ind w:left="110"/>
              <w:rPr>
                <w:sz w:val="2"/>
                <w:szCs w:val="2"/>
              </w:rPr>
            </w:pPr>
          </w:p>
        </w:tc>
        <w:tc>
          <w:tcPr>
            <w:tcW w:w="1540" w:type="dxa"/>
          </w:tcPr>
          <w:p w:rsidR="00E67C92" w:rsidRPr="00BB1E73" w:rsidP="00E67C92">
            <w:pPr>
              <w:pStyle w:val="TableParagraph"/>
              <w:spacing w:before="38"/>
              <w:ind w:left="110"/>
              <w:rPr>
                <w:sz w:val="20"/>
              </w:rPr>
            </w:pPr>
            <w:r w:rsidRPr="00BB1E73">
              <w:rPr>
                <w:sz w:val="20"/>
              </w:rPr>
              <w:t>persons and railway vehicles during travel</w:t>
            </w:r>
          </w:p>
        </w:tc>
        <w:tc>
          <w:tcPr>
            <w:tcW w:w="907" w:type="dxa"/>
          </w:tcPr>
          <w:p w:rsidR="00E67C92" w:rsidRPr="00BB1E73">
            <w:pPr>
              <w:pStyle w:val="TableParagraph"/>
              <w:ind w:left="106"/>
              <w:rPr>
                <w:sz w:val="24"/>
              </w:rPr>
            </w:pPr>
            <w:r w:rsidRPr="00BB1E73">
              <w:rPr>
                <w:sz w:val="24"/>
              </w:rPr>
              <w:t>1</w:t>
            </w:r>
          </w:p>
        </w:tc>
        <w:tc>
          <w:tcPr>
            <w:tcW w:w="849" w:type="dxa"/>
          </w:tcPr>
          <w:p w:rsidR="00E67C92" w:rsidRPr="00BB1E73">
            <w:pPr>
              <w:pStyle w:val="TableParagraph"/>
              <w:rPr>
                <w:rFonts w:ascii="Times New Roman"/>
              </w:rPr>
            </w:pPr>
          </w:p>
        </w:tc>
        <w:tc>
          <w:tcPr>
            <w:tcW w:w="892" w:type="dxa"/>
          </w:tcPr>
          <w:p w:rsidR="00E67C92" w:rsidRPr="00BB1E73">
            <w:pPr>
              <w:pStyle w:val="TableParagraph"/>
              <w:rPr>
                <w:rFonts w:ascii="Times New Roman"/>
              </w:rPr>
            </w:pPr>
          </w:p>
        </w:tc>
        <w:tc>
          <w:tcPr>
            <w:tcW w:w="974"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1132" w:type="dxa"/>
          </w:tcPr>
          <w:p w:rsidR="00E67C92" w:rsidRPr="00BB1E73">
            <w:pPr>
              <w:pStyle w:val="TableParagraph"/>
              <w:ind w:left="114"/>
              <w:rPr>
                <w:sz w:val="24"/>
              </w:rPr>
            </w:pPr>
            <w:r w:rsidRPr="00BB1E73">
              <w:rPr>
                <w:sz w:val="24"/>
              </w:rPr>
              <w:t>1</w:t>
            </w:r>
          </w:p>
        </w:tc>
      </w:tr>
      <w:tr w:rsidTr="000757EA">
        <w:tblPrEx>
          <w:tblW w:w="0" w:type="auto"/>
          <w:tblInd w:w="119" w:type="dxa"/>
          <w:tblLayout w:type="fixed"/>
          <w:tblCellMar>
            <w:left w:w="0" w:type="dxa"/>
            <w:right w:w="0" w:type="dxa"/>
          </w:tblCellMar>
          <w:tblLook w:val="01E0"/>
        </w:tblPrEx>
        <w:trPr>
          <w:trHeight w:val="781"/>
        </w:trPr>
        <w:tc>
          <w:tcPr>
            <w:tcW w:w="1358" w:type="dxa"/>
            <w:vMerge/>
          </w:tcPr>
          <w:p w:rsidR="00E67C92" w:rsidRPr="00BB1E73">
            <w:pPr>
              <w:pStyle w:val="TableParagraph"/>
              <w:rPr>
                <w:rFonts w:ascii="Times New Roman"/>
                <w:sz w:val="20"/>
              </w:rPr>
            </w:pPr>
          </w:p>
        </w:tc>
        <w:tc>
          <w:tcPr>
            <w:tcW w:w="1540" w:type="dxa"/>
          </w:tcPr>
          <w:p w:rsidR="00E67C92" w:rsidRPr="00BB1E73" w:rsidP="00E67C92">
            <w:pPr>
              <w:pStyle w:val="TableParagraph"/>
              <w:spacing w:before="38"/>
              <w:ind w:left="110"/>
              <w:rPr>
                <w:sz w:val="20"/>
              </w:rPr>
            </w:pPr>
            <w:r w:rsidRPr="00BB1E73">
              <w:rPr>
                <w:sz w:val="20"/>
              </w:rPr>
              <w:t>fires on vehicles</w:t>
            </w:r>
          </w:p>
        </w:tc>
        <w:tc>
          <w:tcPr>
            <w:tcW w:w="907"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892" w:type="dxa"/>
          </w:tcPr>
          <w:p w:rsidR="00E67C92" w:rsidRPr="00BB1E73">
            <w:pPr>
              <w:pStyle w:val="TableParagraph"/>
              <w:rPr>
                <w:rFonts w:ascii="Times New Roman"/>
              </w:rPr>
            </w:pPr>
          </w:p>
        </w:tc>
        <w:tc>
          <w:tcPr>
            <w:tcW w:w="974"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1132" w:type="dxa"/>
          </w:tcPr>
          <w:p w:rsidR="00E67C92" w:rsidRPr="00BB1E73">
            <w:pPr>
              <w:pStyle w:val="TableParagraph"/>
              <w:rPr>
                <w:rFonts w:ascii="Times New Roman"/>
              </w:rPr>
            </w:pPr>
          </w:p>
        </w:tc>
      </w:tr>
      <w:tr w:rsidTr="000757EA">
        <w:tblPrEx>
          <w:tblW w:w="0" w:type="auto"/>
          <w:tblInd w:w="119" w:type="dxa"/>
          <w:tblLayout w:type="fixed"/>
          <w:tblCellMar>
            <w:left w:w="0" w:type="dxa"/>
            <w:right w:w="0" w:type="dxa"/>
          </w:tblCellMar>
          <w:tblLook w:val="01E0"/>
        </w:tblPrEx>
        <w:trPr>
          <w:trHeight w:val="388"/>
        </w:trPr>
        <w:tc>
          <w:tcPr>
            <w:tcW w:w="1358" w:type="dxa"/>
            <w:vMerge/>
          </w:tcPr>
          <w:p w:rsidR="00E67C92" w:rsidRPr="00BB1E73">
            <w:pPr>
              <w:pStyle w:val="TableParagraph"/>
              <w:rPr>
                <w:rFonts w:ascii="Times New Roman"/>
              </w:rPr>
            </w:pPr>
          </w:p>
        </w:tc>
        <w:tc>
          <w:tcPr>
            <w:tcW w:w="1540" w:type="dxa"/>
          </w:tcPr>
          <w:p w:rsidR="00E67C92" w:rsidRPr="00BB1E73">
            <w:pPr>
              <w:pStyle w:val="TableParagraph"/>
              <w:spacing w:before="38"/>
              <w:ind w:left="110"/>
              <w:rPr>
                <w:sz w:val="20"/>
              </w:rPr>
            </w:pPr>
            <w:r w:rsidRPr="00BB1E73">
              <w:rPr>
                <w:sz w:val="20"/>
              </w:rPr>
              <w:t>Other</w:t>
            </w:r>
          </w:p>
        </w:tc>
        <w:tc>
          <w:tcPr>
            <w:tcW w:w="907"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892" w:type="dxa"/>
          </w:tcPr>
          <w:p w:rsidR="00E67C92" w:rsidRPr="00BB1E73">
            <w:pPr>
              <w:pStyle w:val="TableParagraph"/>
              <w:rPr>
                <w:rFonts w:ascii="Times New Roman"/>
              </w:rPr>
            </w:pPr>
          </w:p>
        </w:tc>
        <w:tc>
          <w:tcPr>
            <w:tcW w:w="974" w:type="dxa"/>
          </w:tcPr>
          <w:p w:rsidR="00E67C92" w:rsidRPr="00BB1E73">
            <w:pPr>
              <w:pStyle w:val="TableParagraph"/>
              <w:ind w:left="112"/>
              <w:rPr>
                <w:sz w:val="24"/>
              </w:rPr>
            </w:pPr>
            <w:r w:rsidRPr="00BB1E73">
              <w:rPr>
                <w:sz w:val="24"/>
              </w:rPr>
              <w:t>1</w:t>
            </w:r>
          </w:p>
        </w:tc>
        <w:tc>
          <w:tcPr>
            <w:tcW w:w="849" w:type="dxa"/>
          </w:tcPr>
          <w:p w:rsidR="00E67C92" w:rsidRPr="00BB1E73">
            <w:pPr>
              <w:pStyle w:val="TableParagraph"/>
              <w:rPr>
                <w:rFonts w:ascii="Times New Roman"/>
              </w:rPr>
            </w:pPr>
          </w:p>
        </w:tc>
        <w:tc>
          <w:tcPr>
            <w:tcW w:w="1132" w:type="dxa"/>
          </w:tcPr>
          <w:p w:rsidR="00E67C92" w:rsidRPr="00BB1E73">
            <w:pPr>
              <w:pStyle w:val="TableParagraph"/>
              <w:ind w:left="114"/>
              <w:rPr>
                <w:sz w:val="24"/>
              </w:rPr>
            </w:pPr>
            <w:r w:rsidRPr="00BB1E73">
              <w:rPr>
                <w:sz w:val="24"/>
              </w:rPr>
              <w:t>1</w:t>
            </w:r>
          </w:p>
        </w:tc>
      </w:tr>
      <w:tr w:rsidTr="000757EA">
        <w:tblPrEx>
          <w:tblW w:w="0" w:type="auto"/>
          <w:tblInd w:w="119" w:type="dxa"/>
          <w:tblLayout w:type="fixed"/>
          <w:tblCellMar>
            <w:left w:w="0" w:type="dxa"/>
            <w:right w:w="0" w:type="dxa"/>
          </w:tblCellMar>
          <w:tblLook w:val="01E0"/>
        </w:tblPrEx>
        <w:trPr>
          <w:trHeight w:val="388"/>
        </w:trPr>
        <w:tc>
          <w:tcPr>
            <w:tcW w:w="1358" w:type="dxa"/>
            <w:vMerge/>
          </w:tcPr>
          <w:p w:rsidR="00E67C92" w:rsidRPr="00BB1E73">
            <w:pPr>
              <w:pStyle w:val="TableParagraph"/>
              <w:rPr>
                <w:rFonts w:ascii="Times New Roman"/>
              </w:rPr>
            </w:pPr>
          </w:p>
        </w:tc>
        <w:tc>
          <w:tcPr>
            <w:tcW w:w="1540" w:type="dxa"/>
          </w:tcPr>
          <w:p w:rsidR="00E67C92" w:rsidRPr="00BB1E73">
            <w:pPr>
              <w:pStyle w:val="TableParagraph"/>
              <w:spacing w:before="38"/>
              <w:ind w:left="110"/>
              <w:rPr>
                <w:sz w:val="20"/>
              </w:rPr>
            </w:pPr>
            <w:r w:rsidRPr="00BB1E73">
              <w:rPr>
                <w:sz w:val="20"/>
              </w:rPr>
              <w:t>hazardous substances</w:t>
            </w:r>
          </w:p>
        </w:tc>
        <w:tc>
          <w:tcPr>
            <w:tcW w:w="907"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892" w:type="dxa"/>
          </w:tcPr>
          <w:p w:rsidR="00E67C92" w:rsidRPr="00BB1E73">
            <w:pPr>
              <w:pStyle w:val="TableParagraph"/>
              <w:rPr>
                <w:rFonts w:ascii="Times New Roman"/>
              </w:rPr>
            </w:pPr>
          </w:p>
        </w:tc>
        <w:tc>
          <w:tcPr>
            <w:tcW w:w="974" w:type="dxa"/>
          </w:tcPr>
          <w:p w:rsidR="00E67C92" w:rsidRPr="00BB1E73">
            <w:pPr>
              <w:pStyle w:val="TableParagraph"/>
              <w:rPr>
                <w:rFonts w:ascii="Times New Roman"/>
              </w:rPr>
            </w:pPr>
          </w:p>
        </w:tc>
        <w:tc>
          <w:tcPr>
            <w:tcW w:w="849" w:type="dxa"/>
          </w:tcPr>
          <w:p w:rsidR="00E67C92" w:rsidRPr="00BB1E73">
            <w:pPr>
              <w:pStyle w:val="TableParagraph"/>
              <w:rPr>
                <w:rFonts w:ascii="Times New Roman"/>
              </w:rPr>
            </w:pPr>
          </w:p>
        </w:tc>
        <w:tc>
          <w:tcPr>
            <w:tcW w:w="1132" w:type="dxa"/>
          </w:tcPr>
          <w:p w:rsidR="00E67C92" w:rsidRPr="00BB1E73">
            <w:pPr>
              <w:pStyle w:val="TableParagraph"/>
              <w:rPr>
                <w:rFonts w:ascii="Times New Roman"/>
              </w:rPr>
            </w:pPr>
          </w:p>
        </w:tc>
      </w:tr>
      <w:tr>
        <w:tblPrEx>
          <w:tblW w:w="0" w:type="auto"/>
          <w:tblInd w:w="119" w:type="dxa"/>
          <w:tblLayout w:type="fixed"/>
          <w:tblCellMar>
            <w:left w:w="0" w:type="dxa"/>
            <w:right w:w="0" w:type="dxa"/>
          </w:tblCellMar>
          <w:tblLook w:val="01E0"/>
        </w:tblPrEx>
        <w:trPr>
          <w:trHeight w:val="388"/>
        </w:trPr>
        <w:tc>
          <w:tcPr>
            <w:tcW w:w="1358" w:type="dxa"/>
          </w:tcPr>
          <w:p w:rsidR="005854EB" w:rsidRPr="00BB1E73">
            <w:pPr>
              <w:pStyle w:val="TableParagraph"/>
              <w:spacing w:before="38"/>
              <w:ind w:left="110"/>
              <w:rPr>
                <w:sz w:val="20"/>
              </w:rPr>
            </w:pPr>
            <w:r w:rsidRPr="00BB1E73">
              <w:rPr>
                <w:sz w:val="20"/>
              </w:rPr>
              <w:t>TOTAL</w:t>
            </w:r>
          </w:p>
        </w:tc>
        <w:tc>
          <w:tcPr>
            <w:tcW w:w="1540" w:type="dxa"/>
          </w:tcPr>
          <w:p w:rsidR="005854EB" w:rsidRPr="00BB1E73">
            <w:pPr>
              <w:pStyle w:val="TableParagraph"/>
              <w:rPr>
                <w:rFonts w:ascii="Times New Roman"/>
              </w:rPr>
            </w:pPr>
          </w:p>
        </w:tc>
        <w:tc>
          <w:tcPr>
            <w:tcW w:w="907" w:type="dxa"/>
          </w:tcPr>
          <w:p w:rsidR="005854EB" w:rsidRPr="00BB1E73">
            <w:pPr>
              <w:pStyle w:val="TableParagraph"/>
              <w:ind w:left="106"/>
              <w:rPr>
                <w:sz w:val="24"/>
              </w:rPr>
            </w:pPr>
            <w:r w:rsidRPr="00BB1E73">
              <w:rPr>
                <w:sz w:val="24"/>
              </w:rPr>
              <w:t>5</w:t>
            </w:r>
          </w:p>
        </w:tc>
        <w:tc>
          <w:tcPr>
            <w:tcW w:w="849" w:type="dxa"/>
          </w:tcPr>
          <w:p w:rsidR="005854EB" w:rsidRPr="00BB1E73">
            <w:pPr>
              <w:pStyle w:val="TableParagraph"/>
              <w:ind w:left="112"/>
              <w:rPr>
                <w:sz w:val="24"/>
              </w:rPr>
            </w:pPr>
            <w:r w:rsidRPr="00BB1E73">
              <w:rPr>
                <w:sz w:val="24"/>
              </w:rPr>
              <w:t>4</w:t>
            </w:r>
          </w:p>
        </w:tc>
        <w:tc>
          <w:tcPr>
            <w:tcW w:w="892" w:type="dxa"/>
          </w:tcPr>
          <w:p w:rsidR="005854EB" w:rsidRPr="00BB1E73">
            <w:pPr>
              <w:pStyle w:val="TableParagraph"/>
              <w:ind w:left="112"/>
              <w:rPr>
                <w:sz w:val="24"/>
              </w:rPr>
            </w:pPr>
            <w:r w:rsidRPr="00BB1E73">
              <w:rPr>
                <w:sz w:val="24"/>
              </w:rPr>
              <w:t>5</w:t>
            </w:r>
          </w:p>
        </w:tc>
        <w:tc>
          <w:tcPr>
            <w:tcW w:w="974" w:type="dxa"/>
          </w:tcPr>
          <w:p w:rsidR="005854EB" w:rsidRPr="00BB1E73">
            <w:pPr>
              <w:pStyle w:val="TableParagraph"/>
              <w:ind w:left="111"/>
              <w:rPr>
                <w:sz w:val="24"/>
              </w:rPr>
            </w:pPr>
            <w:r w:rsidRPr="00BB1E73">
              <w:rPr>
                <w:sz w:val="24"/>
              </w:rPr>
              <w:t>4</w:t>
            </w:r>
          </w:p>
        </w:tc>
        <w:tc>
          <w:tcPr>
            <w:tcW w:w="849" w:type="dxa"/>
          </w:tcPr>
          <w:p w:rsidR="005854EB" w:rsidRPr="00BB1E73">
            <w:pPr>
              <w:pStyle w:val="TableParagraph"/>
              <w:ind w:left="108"/>
              <w:rPr>
                <w:sz w:val="24"/>
              </w:rPr>
            </w:pPr>
            <w:r w:rsidRPr="00BB1E73">
              <w:rPr>
                <w:sz w:val="24"/>
              </w:rPr>
              <w:t>6</w:t>
            </w:r>
          </w:p>
        </w:tc>
        <w:tc>
          <w:tcPr>
            <w:tcW w:w="1132" w:type="dxa"/>
          </w:tcPr>
          <w:p w:rsidR="005854EB" w:rsidRPr="00BB1E73">
            <w:pPr>
              <w:pStyle w:val="TableParagraph"/>
              <w:ind w:left="112"/>
              <w:rPr>
                <w:sz w:val="24"/>
              </w:rPr>
            </w:pPr>
            <w:r w:rsidRPr="00BB1E73">
              <w:rPr>
                <w:sz w:val="24"/>
              </w:rPr>
              <w:t>24</w:t>
            </w:r>
          </w:p>
        </w:tc>
      </w:tr>
    </w:tbl>
    <w:p w:rsidR="005854EB" w:rsidRPr="00BB1E73">
      <w:pPr>
        <w:rPr>
          <w:sz w:val="24"/>
        </w:rPr>
        <w:sectPr>
          <w:pgSz w:w="11910" w:h="16840"/>
          <w:pgMar w:top="1120" w:right="1020" w:bottom="1000" w:left="1580" w:header="0" w:footer="738" w:gutter="0"/>
          <w:cols w:space="720"/>
        </w:sectPr>
      </w:pPr>
    </w:p>
    <w:p w:rsidR="005854EB" w:rsidRPr="00BB1E73" w:rsidP="00EA1401">
      <w:pPr>
        <w:pStyle w:val="BodyText"/>
        <w:keepLines/>
        <w:spacing w:before="63"/>
        <w:ind w:left="119" w:right="686"/>
        <w:jc w:val="both"/>
      </w:pPr>
      <w:r w:rsidRPr="00BB1E73">
        <w:t xml:space="preserve">The investigating body investigated five events (serious accidents, accidents or incidents) in 2012, four events in 2013, five events in 2014, </w:t>
      </w:r>
      <w:r w:rsidRPr="00BB1E73">
        <w:t>four</w:t>
      </w:r>
      <w:r w:rsidRPr="00BB1E73">
        <w:t xml:space="preserve"> events in 2015 and six events in 2016.</w:t>
      </w:r>
    </w:p>
    <w:p w:rsidR="005854EB" w:rsidRPr="00BB1E73">
      <w:pPr>
        <w:pStyle w:val="BodyText"/>
        <w:spacing w:before="239"/>
        <w:ind w:left="119" w:right="690"/>
        <w:jc w:val="both"/>
      </w:pPr>
      <w:r w:rsidRPr="00BB1E73">
        <w:t>Between the time the investigating body began operating (1 June 2008) and the end of 2016, no accidents occurred in the area covered by Slovenian railways to which the same or similar causes as previous accidents could be attributed. Accordingly, there has been no requirement to produce a more detailed study of railway safety between 2009 and 2016.</w:t>
      </w:r>
    </w:p>
    <w:p w:rsidR="005854EB" w:rsidRPr="00BB1E73">
      <w:pPr>
        <w:pStyle w:val="Heading1"/>
        <w:numPr>
          <w:ilvl w:val="0"/>
          <w:numId w:val="4"/>
        </w:numPr>
        <w:tabs>
          <w:tab w:val="left" w:pos="617"/>
          <w:tab w:val="left" w:pos="618"/>
        </w:tabs>
        <w:ind w:left="617" w:hanging="498"/>
      </w:pPr>
      <w:bookmarkStart w:id="37" w:name="_Toc503796878"/>
      <w:bookmarkStart w:id="38" w:name="_Toc506208163"/>
      <w:r w:rsidRPr="00BB1E73">
        <w:t>RECOMMENDATIONS</w:t>
      </w:r>
      <w:bookmarkEnd w:id="37"/>
      <w:bookmarkEnd w:id="38"/>
    </w:p>
    <w:p w:rsidR="005854EB" w:rsidRPr="00BB1E73">
      <w:pPr>
        <w:spacing w:before="66" w:line="242" w:lineRule="auto"/>
        <w:ind w:left="719" w:right="673"/>
        <w:rPr>
          <w:sz w:val="24"/>
        </w:rPr>
      </w:pPr>
      <w:r w:rsidRPr="00BB1E73">
        <w:rPr>
          <w:sz w:val="24"/>
        </w:rPr>
        <w:t>The body charged with investigating railway accidents issued five safety recommendations in 2016:</w:t>
      </w:r>
    </w:p>
    <w:p w:rsidR="005854EB" w:rsidRPr="00BB1E73">
      <w:pPr>
        <w:pStyle w:val="ListParagraph"/>
        <w:numPr>
          <w:ilvl w:val="0"/>
          <w:numId w:val="1"/>
        </w:numPr>
        <w:tabs>
          <w:tab w:val="left" w:pos="960"/>
        </w:tabs>
        <w:spacing w:before="114" w:line="242" w:lineRule="auto"/>
        <w:ind w:right="681" w:firstLine="0"/>
        <w:rPr>
          <w:sz w:val="24"/>
        </w:rPr>
      </w:pPr>
      <w:r w:rsidRPr="00BB1E73">
        <w:rPr>
          <w:sz w:val="24"/>
        </w:rPr>
        <w:t>two related to maintenance processes for public railway infrastructure maintenance;</w:t>
      </w:r>
    </w:p>
    <w:p w:rsidR="005854EB" w:rsidRPr="00BB1E73">
      <w:pPr>
        <w:pStyle w:val="ListParagraph"/>
        <w:numPr>
          <w:ilvl w:val="0"/>
          <w:numId w:val="1"/>
        </w:numPr>
        <w:tabs>
          <w:tab w:val="left" w:pos="960"/>
        </w:tabs>
        <w:spacing w:before="115" w:line="242" w:lineRule="auto"/>
        <w:ind w:right="690" w:firstLine="0"/>
        <w:rPr>
          <w:sz w:val="24"/>
        </w:rPr>
      </w:pPr>
      <w:r w:rsidRPr="00BB1E73">
        <w:rPr>
          <w:sz w:val="24"/>
        </w:rPr>
        <w:t>one related to the upgrading of a level crossing equipped with road traffic signs for road users;</w:t>
      </w:r>
    </w:p>
    <w:p w:rsidR="005854EB" w:rsidRPr="00BB1E73">
      <w:pPr>
        <w:pStyle w:val="ListParagraph"/>
        <w:numPr>
          <w:ilvl w:val="0"/>
          <w:numId w:val="1"/>
        </w:numPr>
        <w:tabs>
          <w:tab w:val="left" w:pos="960"/>
        </w:tabs>
        <w:spacing w:before="114" w:line="242" w:lineRule="auto"/>
        <w:ind w:right="690" w:firstLine="0"/>
        <w:rPr>
          <w:sz w:val="24"/>
        </w:rPr>
      </w:pPr>
      <w:r w:rsidRPr="00BB1E73">
        <w:rPr>
          <w:sz w:val="24"/>
        </w:rPr>
        <w:t>one related to the upgrading of safety equipment for securing a level crossing and a recommendation that the amount of time taken to secure the crossing be reduced;</w:t>
      </w:r>
    </w:p>
    <w:p w:rsidR="005854EB" w:rsidRPr="00BB1E73">
      <w:pPr>
        <w:pStyle w:val="ListParagraph"/>
        <w:numPr>
          <w:ilvl w:val="0"/>
          <w:numId w:val="1"/>
        </w:numPr>
        <w:tabs>
          <w:tab w:val="left" w:pos="960"/>
        </w:tabs>
        <w:spacing w:before="115" w:line="242" w:lineRule="auto"/>
        <w:ind w:right="690" w:firstLine="0"/>
        <w:rPr>
          <w:sz w:val="24"/>
        </w:rPr>
      </w:pPr>
      <w:r w:rsidRPr="00BB1E73">
        <w:rPr>
          <w:sz w:val="24"/>
        </w:rPr>
        <w:t>one</w:t>
      </w:r>
      <w:r w:rsidRPr="00BB1E73">
        <w:rPr>
          <w:sz w:val="24"/>
        </w:rPr>
        <w:t xml:space="preserve"> related to the upgrading of safety equipment for securing a level crossing by means of a maze for pedestrians and cyclists.</w:t>
      </w:r>
    </w:p>
    <w:p w:rsidR="005854EB" w:rsidRPr="00BB1E73">
      <w:pPr>
        <w:pStyle w:val="BodyText"/>
        <w:rPr>
          <w:sz w:val="25"/>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7"/>
        <w:gridCol w:w="993"/>
        <w:gridCol w:w="964"/>
        <w:gridCol w:w="945"/>
        <w:gridCol w:w="998"/>
        <w:gridCol w:w="993"/>
        <w:gridCol w:w="1012"/>
        <w:gridCol w:w="882"/>
      </w:tblGrid>
      <w:tr w:rsidTr="004D4B41">
        <w:tblPrEx>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20"/>
        </w:trPr>
        <w:tc>
          <w:tcPr>
            <w:tcW w:w="2380" w:type="dxa"/>
            <w:gridSpan w:val="2"/>
            <w:vMerge w:val="restart"/>
          </w:tcPr>
          <w:p w:rsidR="005854EB" w:rsidRPr="004D4B41" w:rsidP="004D4B41">
            <w:pPr>
              <w:pStyle w:val="TableParagraph"/>
              <w:spacing w:before="96" w:beforeLines="40" w:after="60" w:line="206" w:lineRule="auto"/>
              <w:ind w:left="110" w:right="212"/>
              <w:rPr>
                <w:sz w:val="24"/>
              </w:rPr>
            </w:pPr>
            <w:r w:rsidRPr="004D4B41">
              <w:rPr>
                <w:sz w:val="24"/>
              </w:rPr>
              <w:t>Recommendations issued</w:t>
            </w:r>
          </w:p>
        </w:tc>
        <w:tc>
          <w:tcPr>
            <w:tcW w:w="5794" w:type="dxa"/>
            <w:gridSpan w:val="6"/>
          </w:tcPr>
          <w:p w:rsidR="005854EB" w:rsidRPr="004D4B41" w:rsidP="004D4B41">
            <w:pPr>
              <w:pStyle w:val="TableParagraph"/>
              <w:spacing w:before="96" w:beforeLines="40" w:after="60" w:line="285" w:lineRule="exact"/>
              <w:ind w:left="111"/>
              <w:rPr>
                <w:sz w:val="24"/>
              </w:rPr>
            </w:pPr>
            <w:r w:rsidRPr="004D4B41">
              <w:rPr>
                <w:sz w:val="24"/>
              </w:rPr>
              <w:t>Situation regarding implementation of recommendations</w:t>
            </w:r>
          </w:p>
        </w:tc>
      </w:tr>
      <w:tr w:rsidTr="004D4B41">
        <w:tblPrEx>
          <w:tblW w:w="0" w:type="auto"/>
          <w:tblInd w:w="320" w:type="dxa"/>
          <w:tblLayout w:type="fixed"/>
          <w:tblCellMar>
            <w:left w:w="0" w:type="dxa"/>
            <w:right w:w="0" w:type="dxa"/>
          </w:tblCellMar>
          <w:tblLook w:val="01E0"/>
        </w:tblPrEx>
        <w:trPr>
          <w:trHeight w:val="20"/>
        </w:trPr>
        <w:tc>
          <w:tcPr>
            <w:tcW w:w="2380" w:type="dxa"/>
            <w:gridSpan w:val="2"/>
            <w:vMerge/>
            <w:tcBorders>
              <w:top w:val="nil"/>
            </w:tcBorders>
          </w:tcPr>
          <w:p w:rsidR="005854EB" w:rsidRPr="004D4B41" w:rsidP="004D4B41">
            <w:pPr>
              <w:spacing w:before="96" w:beforeLines="40" w:after="60"/>
              <w:rPr>
                <w:sz w:val="24"/>
                <w:szCs w:val="2"/>
              </w:rPr>
            </w:pPr>
          </w:p>
        </w:tc>
        <w:tc>
          <w:tcPr>
            <w:tcW w:w="1909" w:type="dxa"/>
            <w:gridSpan w:val="2"/>
          </w:tcPr>
          <w:p w:rsidR="005854EB" w:rsidRPr="004D4B41" w:rsidP="004D4B41">
            <w:pPr>
              <w:pStyle w:val="TableParagraph"/>
              <w:spacing w:before="96" w:beforeLines="40" w:after="60" w:line="285" w:lineRule="exact"/>
              <w:ind w:left="111"/>
              <w:rPr>
                <w:sz w:val="24"/>
              </w:rPr>
            </w:pPr>
            <w:r w:rsidRPr="004D4B41">
              <w:rPr>
                <w:sz w:val="24"/>
              </w:rPr>
              <w:t>implemented</w:t>
            </w:r>
          </w:p>
        </w:tc>
        <w:tc>
          <w:tcPr>
            <w:tcW w:w="1991" w:type="dxa"/>
            <w:gridSpan w:val="2"/>
          </w:tcPr>
          <w:p w:rsidR="005854EB" w:rsidRPr="004D4B41" w:rsidP="004D4B41">
            <w:pPr>
              <w:pStyle w:val="TableParagraph"/>
              <w:spacing w:before="96" w:beforeLines="40" w:after="60" w:line="208" w:lineRule="auto"/>
              <w:ind w:left="112"/>
              <w:rPr>
                <w:sz w:val="24"/>
              </w:rPr>
            </w:pPr>
            <w:r w:rsidRPr="004D4B41">
              <w:rPr>
                <w:sz w:val="24"/>
              </w:rPr>
              <w:t>being implemented (or have been prepared)</w:t>
            </w:r>
          </w:p>
        </w:tc>
        <w:tc>
          <w:tcPr>
            <w:tcW w:w="1894" w:type="dxa"/>
            <w:gridSpan w:val="2"/>
          </w:tcPr>
          <w:p w:rsidR="005854EB" w:rsidRPr="004D4B41" w:rsidP="004D4B41">
            <w:pPr>
              <w:pStyle w:val="TableParagraph"/>
              <w:spacing w:before="96" w:beforeLines="40" w:after="60" w:line="208" w:lineRule="auto"/>
              <w:ind w:left="113"/>
              <w:rPr>
                <w:sz w:val="24"/>
              </w:rPr>
            </w:pPr>
            <w:r w:rsidRPr="004D4B41">
              <w:rPr>
                <w:sz w:val="24"/>
              </w:rPr>
              <w:t>will not be implemented (rejected)</w:t>
            </w: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YEAR</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no</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no</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w:t>
            </w:r>
          </w:p>
        </w:tc>
        <w:tc>
          <w:tcPr>
            <w:tcW w:w="998" w:type="dxa"/>
          </w:tcPr>
          <w:p w:rsidR="005854EB" w:rsidRPr="004D4B41" w:rsidP="004D4B41">
            <w:pPr>
              <w:pStyle w:val="TableParagraph"/>
              <w:spacing w:before="96" w:beforeLines="40" w:after="60" w:line="285" w:lineRule="exact"/>
              <w:ind w:left="112"/>
              <w:rPr>
                <w:sz w:val="24"/>
              </w:rPr>
            </w:pPr>
            <w:r w:rsidRPr="004D4B41">
              <w:rPr>
                <w:sz w:val="24"/>
              </w:rPr>
              <w:t>no</w:t>
            </w:r>
          </w:p>
        </w:tc>
        <w:tc>
          <w:tcPr>
            <w:tcW w:w="993" w:type="dxa"/>
          </w:tcPr>
          <w:p w:rsidR="005854EB" w:rsidRPr="004D4B41" w:rsidP="004D4B41">
            <w:pPr>
              <w:pStyle w:val="TableParagraph"/>
              <w:spacing w:before="96" w:beforeLines="40" w:after="60" w:line="285" w:lineRule="exact"/>
              <w:ind w:left="112"/>
              <w:rPr>
                <w:sz w:val="24"/>
              </w:rPr>
            </w:pPr>
            <w:r w:rsidRPr="004D4B41">
              <w:rPr>
                <w:sz w:val="24"/>
              </w:rPr>
              <w:t>%</w:t>
            </w:r>
          </w:p>
        </w:tc>
        <w:tc>
          <w:tcPr>
            <w:tcW w:w="1012" w:type="dxa"/>
          </w:tcPr>
          <w:p w:rsidR="005854EB" w:rsidRPr="004D4B41" w:rsidP="004D4B41">
            <w:pPr>
              <w:pStyle w:val="TableParagraph"/>
              <w:spacing w:before="96" w:beforeLines="40" w:after="60" w:line="285" w:lineRule="exact"/>
              <w:ind w:left="113"/>
              <w:rPr>
                <w:sz w:val="24"/>
              </w:rPr>
            </w:pPr>
            <w:r w:rsidRPr="004D4B41">
              <w:rPr>
                <w:sz w:val="24"/>
              </w:rPr>
              <w:t>no</w:t>
            </w:r>
          </w:p>
        </w:tc>
        <w:tc>
          <w:tcPr>
            <w:tcW w:w="882" w:type="dxa"/>
          </w:tcPr>
          <w:p w:rsidR="005854EB" w:rsidRPr="004D4B41" w:rsidP="004D4B41">
            <w:pPr>
              <w:pStyle w:val="TableParagraph"/>
              <w:spacing w:before="96" w:beforeLines="40" w:after="60" w:line="285" w:lineRule="exact"/>
              <w:ind w:left="114"/>
              <w:rPr>
                <w:sz w:val="24"/>
              </w:rPr>
            </w:pPr>
            <w:r w:rsidRPr="004D4B41">
              <w:rPr>
                <w:sz w:val="24"/>
              </w:rPr>
              <w:t>%</w:t>
            </w: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2008</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2</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2</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100</w:t>
            </w:r>
          </w:p>
        </w:tc>
        <w:tc>
          <w:tcPr>
            <w:tcW w:w="998" w:type="dxa"/>
          </w:tcPr>
          <w:p w:rsidR="005854EB" w:rsidRPr="004D4B41" w:rsidP="004D4B41">
            <w:pPr>
              <w:pStyle w:val="TableParagraph"/>
              <w:spacing w:before="96" w:beforeLines="40" w:after="60"/>
              <w:rPr>
                <w:rFonts w:ascii="Times New Roman"/>
                <w:sz w:val="24"/>
              </w:rPr>
            </w:pPr>
          </w:p>
        </w:tc>
        <w:tc>
          <w:tcPr>
            <w:tcW w:w="993" w:type="dxa"/>
          </w:tcPr>
          <w:p w:rsidR="005854EB" w:rsidRPr="004D4B41" w:rsidP="004D4B41">
            <w:pPr>
              <w:pStyle w:val="TableParagraph"/>
              <w:spacing w:before="96" w:beforeLines="40" w:after="60"/>
              <w:rPr>
                <w:rFonts w:ascii="Times New Roman"/>
                <w:sz w:val="24"/>
              </w:rPr>
            </w:pPr>
          </w:p>
        </w:tc>
        <w:tc>
          <w:tcPr>
            <w:tcW w:w="1012" w:type="dxa"/>
          </w:tcPr>
          <w:p w:rsidR="005854EB" w:rsidRPr="004D4B41" w:rsidP="004D4B41">
            <w:pPr>
              <w:pStyle w:val="TableParagraph"/>
              <w:spacing w:before="96" w:beforeLines="40" w:after="60"/>
              <w:rPr>
                <w:rFonts w:ascii="Times New Roman"/>
                <w:sz w:val="24"/>
              </w:rPr>
            </w:pPr>
          </w:p>
        </w:tc>
        <w:tc>
          <w:tcPr>
            <w:tcW w:w="882" w:type="dxa"/>
          </w:tcPr>
          <w:p w:rsidR="005854EB" w:rsidRPr="004D4B41" w:rsidP="004D4B41">
            <w:pPr>
              <w:pStyle w:val="TableParagraph"/>
              <w:spacing w:before="96" w:beforeLines="40" w:after="60"/>
              <w:rPr>
                <w:rFonts w:ascii="Times New Roman"/>
                <w:sz w:val="24"/>
              </w:rPr>
            </w:pP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2009</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16</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15</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94</w:t>
            </w:r>
          </w:p>
        </w:tc>
        <w:tc>
          <w:tcPr>
            <w:tcW w:w="998" w:type="dxa"/>
          </w:tcPr>
          <w:p w:rsidR="005854EB" w:rsidRPr="004D4B41" w:rsidP="004D4B41">
            <w:pPr>
              <w:pStyle w:val="TableParagraph"/>
              <w:spacing w:before="96" w:beforeLines="40" w:after="60"/>
              <w:rPr>
                <w:rFonts w:ascii="Times New Roman"/>
                <w:sz w:val="24"/>
              </w:rPr>
            </w:pPr>
          </w:p>
        </w:tc>
        <w:tc>
          <w:tcPr>
            <w:tcW w:w="993" w:type="dxa"/>
          </w:tcPr>
          <w:p w:rsidR="005854EB" w:rsidRPr="004D4B41" w:rsidP="004D4B41">
            <w:pPr>
              <w:pStyle w:val="TableParagraph"/>
              <w:spacing w:before="96" w:beforeLines="40" w:after="60"/>
              <w:rPr>
                <w:rFonts w:ascii="Times New Roman"/>
                <w:sz w:val="24"/>
              </w:rPr>
            </w:pPr>
          </w:p>
        </w:tc>
        <w:tc>
          <w:tcPr>
            <w:tcW w:w="1012" w:type="dxa"/>
          </w:tcPr>
          <w:p w:rsidR="005854EB" w:rsidRPr="004D4B41" w:rsidP="004D4B41">
            <w:pPr>
              <w:pStyle w:val="TableParagraph"/>
              <w:spacing w:before="96" w:beforeLines="40" w:after="60" w:line="285" w:lineRule="exact"/>
              <w:ind w:left="113"/>
              <w:rPr>
                <w:sz w:val="24"/>
              </w:rPr>
            </w:pPr>
            <w:r w:rsidRPr="004D4B41">
              <w:rPr>
                <w:sz w:val="24"/>
              </w:rPr>
              <w:t>1</w:t>
            </w:r>
          </w:p>
        </w:tc>
        <w:tc>
          <w:tcPr>
            <w:tcW w:w="882" w:type="dxa"/>
          </w:tcPr>
          <w:p w:rsidR="005854EB" w:rsidRPr="004D4B41" w:rsidP="004D4B41">
            <w:pPr>
              <w:pStyle w:val="TableParagraph"/>
              <w:spacing w:before="96" w:beforeLines="40" w:after="60" w:line="285" w:lineRule="exact"/>
              <w:ind w:left="114"/>
              <w:rPr>
                <w:sz w:val="24"/>
              </w:rPr>
            </w:pPr>
            <w:r w:rsidRPr="004D4B41">
              <w:rPr>
                <w:sz w:val="24"/>
              </w:rPr>
              <w:t>6</w:t>
            </w: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2010</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3</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3</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100</w:t>
            </w:r>
          </w:p>
        </w:tc>
        <w:tc>
          <w:tcPr>
            <w:tcW w:w="998" w:type="dxa"/>
          </w:tcPr>
          <w:p w:rsidR="005854EB" w:rsidRPr="004D4B41" w:rsidP="004D4B41">
            <w:pPr>
              <w:pStyle w:val="TableParagraph"/>
              <w:spacing w:before="96" w:beforeLines="40" w:after="60"/>
              <w:rPr>
                <w:rFonts w:ascii="Times New Roman"/>
                <w:sz w:val="24"/>
              </w:rPr>
            </w:pPr>
          </w:p>
        </w:tc>
        <w:tc>
          <w:tcPr>
            <w:tcW w:w="993" w:type="dxa"/>
          </w:tcPr>
          <w:p w:rsidR="005854EB" w:rsidRPr="004D4B41" w:rsidP="004D4B41">
            <w:pPr>
              <w:pStyle w:val="TableParagraph"/>
              <w:spacing w:before="96" w:beforeLines="40" w:after="60"/>
              <w:rPr>
                <w:rFonts w:ascii="Times New Roman"/>
                <w:sz w:val="24"/>
              </w:rPr>
            </w:pPr>
          </w:p>
        </w:tc>
        <w:tc>
          <w:tcPr>
            <w:tcW w:w="1012" w:type="dxa"/>
          </w:tcPr>
          <w:p w:rsidR="005854EB" w:rsidRPr="004D4B41" w:rsidP="004D4B41">
            <w:pPr>
              <w:pStyle w:val="TableParagraph"/>
              <w:spacing w:before="96" w:beforeLines="40" w:after="60"/>
              <w:rPr>
                <w:rFonts w:ascii="Times New Roman"/>
                <w:sz w:val="24"/>
              </w:rPr>
            </w:pPr>
          </w:p>
        </w:tc>
        <w:tc>
          <w:tcPr>
            <w:tcW w:w="882" w:type="dxa"/>
          </w:tcPr>
          <w:p w:rsidR="005854EB" w:rsidRPr="004D4B41" w:rsidP="004D4B41">
            <w:pPr>
              <w:pStyle w:val="TableParagraph"/>
              <w:spacing w:before="96" w:beforeLines="40" w:after="60"/>
              <w:rPr>
                <w:rFonts w:ascii="Times New Roman"/>
                <w:sz w:val="24"/>
              </w:rPr>
            </w:pP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2011</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6</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5</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83.3</w:t>
            </w:r>
          </w:p>
        </w:tc>
        <w:tc>
          <w:tcPr>
            <w:tcW w:w="998" w:type="dxa"/>
          </w:tcPr>
          <w:p w:rsidR="005854EB" w:rsidRPr="004D4B41" w:rsidP="004D4B41">
            <w:pPr>
              <w:pStyle w:val="TableParagraph"/>
              <w:spacing w:before="96" w:beforeLines="40" w:after="60"/>
              <w:rPr>
                <w:rFonts w:ascii="Times New Roman"/>
                <w:sz w:val="24"/>
              </w:rPr>
            </w:pPr>
          </w:p>
        </w:tc>
        <w:tc>
          <w:tcPr>
            <w:tcW w:w="993" w:type="dxa"/>
          </w:tcPr>
          <w:p w:rsidR="005854EB" w:rsidRPr="004D4B41" w:rsidP="004D4B41">
            <w:pPr>
              <w:pStyle w:val="TableParagraph"/>
              <w:spacing w:before="96" w:beforeLines="40" w:after="60"/>
              <w:rPr>
                <w:rFonts w:ascii="Times New Roman"/>
                <w:sz w:val="24"/>
              </w:rPr>
            </w:pPr>
          </w:p>
        </w:tc>
        <w:tc>
          <w:tcPr>
            <w:tcW w:w="1012" w:type="dxa"/>
          </w:tcPr>
          <w:p w:rsidR="005854EB" w:rsidRPr="004D4B41" w:rsidP="004D4B41">
            <w:pPr>
              <w:pStyle w:val="TableParagraph"/>
              <w:spacing w:before="96" w:beforeLines="40" w:after="60" w:line="285" w:lineRule="exact"/>
              <w:ind w:left="113"/>
              <w:rPr>
                <w:sz w:val="24"/>
              </w:rPr>
            </w:pPr>
            <w:r w:rsidRPr="004D4B41">
              <w:rPr>
                <w:sz w:val="24"/>
              </w:rPr>
              <w:t>1</w:t>
            </w:r>
          </w:p>
        </w:tc>
        <w:tc>
          <w:tcPr>
            <w:tcW w:w="882" w:type="dxa"/>
          </w:tcPr>
          <w:p w:rsidR="005854EB" w:rsidRPr="004D4B41" w:rsidP="004D4B41">
            <w:pPr>
              <w:pStyle w:val="TableParagraph"/>
              <w:spacing w:before="96" w:beforeLines="40" w:after="60" w:line="285" w:lineRule="exact"/>
              <w:ind w:left="114"/>
              <w:rPr>
                <w:sz w:val="24"/>
              </w:rPr>
            </w:pPr>
            <w:r w:rsidRPr="004D4B41">
              <w:rPr>
                <w:sz w:val="24"/>
              </w:rPr>
              <w:t>16.7</w:t>
            </w: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90" w:lineRule="exact"/>
              <w:ind w:left="110"/>
              <w:rPr>
                <w:sz w:val="24"/>
              </w:rPr>
            </w:pPr>
            <w:r w:rsidRPr="004D4B41">
              <w:rPr>
                <w:sz w:val="24"/>
              </w:rPr>
              <w:t>2012</w:t>
            </w:r>
          </w:p>
        </w:tc>
        <w:tc>
          <w:tcPr>
            <w:tcW w:w="993" w:type="dxa"/>
          </w:tcPr>
          <w:p w:rsidR="005854EB" w:rsidRPr="004D4B41" w:rsidP="004D4B41">
            <w:pPr>
              <w:pStyle w:val="TableParagraph"/>
              <w:spacing w:before="96" w:beforeLines="40" w:after="60" w:line="290" w:lineRule="exact"/>
              <w:ind w:left="110"/>
              <w:rPr>
                <w:sz w:val="24"/>
              </w:rPr>
            </w:pPr>
            <w:r w:rsidRPr="004D4B41">
              <w:rPr>
                <w:sz w:val="24"/>
              </w:rPr>
              <w:t>12</w:t>
            </w:r>
          </w:p>
        </w:tc>
        <w:tc>
          <w:tcPr>
            <w:tcW w:w="964" w:type="dxa"/>
          </w:tcPr>
          <w:p w:rsidR="005854EB" w:rsidRPr="004D4B41" w:rsidP="004D4B41">
            <w:pPr>
              <w:pStyle w:val="TableParagraph"/>
              <w:spacing w:before="96" w:beforeLines="40" w:after="60" w:line="290" w:lineRule="exact"/>
              <w:ind w:left="111"/>
              <w:rPr>
                <w:sz w:val="24"/>
              </w:rPr>
            </w:pPr>
            <w:r w:rsidRPr="004D4B41">
              <w:rPr>
                <w:sz w:val="24"/>
              </w:rPr>
              <w:t>10</w:t>
            </w:r>
          </w:p>
        </w:tc>
        <w:tc>
          <w:tcPr>
            <w:tcW w:w="945" w:type="dxa"/>
          </w:tcPr>
          <w:p w:rsidR="005854EB" w:rsidRPr="004D4B41" w:rsidP="004D4B41">
            <w:pPr>
              <w:pStyle w:val="TableParagraph"/>
              <w:spacing w:before="96" w:beforeLines="40" w:after="60" w:line="290" w:lineRule="exact"/>
              <w:ind w:left="107"/>
              <w:rPr>
                <w:sz w:val="24"/>
              </w:rPr>
            </w:pPr>
            <w:r w:rsidRPr="004D4B41">
              <w:rPr>
                <w:sz w:val="24"/>
              </w:rPr>
              <w:t>83.3</w:t>
            </w:r>
          </w:p>
        </w:tc>
        <w:tc>
          <w:tcPr>
            <w:tcW w:w="998" w:type="dxa"/>
          </w:tcPr>
          <w:p w:rsidR="005854EB" w:rsidRPr="004D4B41" w:rsidP="004D4B41">
            <w:pPr>
              <w:pStyle w:val="TableParagraph"/>
              <w:spacing w:before="96" w:beforeLines="40" w:after="60"/>
              <w:rPr>
                <w:rFonts w:ascii="Times New Roman"/>
                <w:sz w:val="24"/>
              </w:rPr>
            </w:pPr>
          </w:p>
        </w:tc>
        <w:tc>
          <w:tcPr>
            <w:tcW w:w="993" w:type="dxa"/>
          </w:tcPr>
          <w:p w:rsidR="005854EB" w:rsidRPr="004D4B41" w:rsidP="004D4B41">
            <w:pPr>
              <w:pStyle w:val="TableParagraph"/>
              <w:spacing w:before="96" w:beforeLines="40" w:after="60"/>
              <w:rPr>
                <w:rFonts w:ascii="Times New Roman"/>
                <w:sz w:val="24"/>
              </w:rPr>
            </w:pPr>
          </w:p>
        </w:tc>
        <w:tc>
          <w:tcPr>
            <w:tcW w:w="1012" w:type="dxa"/>
          </w:tcPr>
          <w:p w:rsidR="005854EB" w:rsidRPr="004D4B41" w:rsidP="004D4B41">
            <w:pPr>
              <w:pStyle w:val="TableParagraph"/>
              <w:spacing w:before="96" w:beforeLines="40" w:after="60" w:line="290" w:lineRule="exact"/>
              <w:ind w:left="113"/>
              <w:rPr>
                <w:sz w:val="24"/>
              </w:rPr>
            </w:pPr>
            <w:r w:rsidRPr="004D4B41">
              <w:rPr>
                <w:sz w:val="24"/>
              </w:rPr>
              <w:t>2</w:t>
            </w:r>
          </w:p>
        </w:tc>
        <w:tc>
          <w:tcPr>
            <w:tcW w:w="882" w:type="dxa"/>
          </w:tcPr>
          <w:p w:rsidR="005854EB" w:rsidRPr="004D4B41" w:rsidP="004D4B41">
            <w:pPr>
              <w:pStyle w:val="TableParagraph"/>
              <w:spacing w:before="96" w:beforeLines="40" w:after="60" w:line="290" w:lineRule="exact"/>
              <w:ind w:left="114"/>
              <w:rPr>
                <w:sz w:val="24"/>
              </w:rPr>
            </w:pPr>
            <w:r w:rsidRPr="004D4B41">
              <w:rPr>
                <w:sz w:val="24"/>
              </w:rPr>
              <w:t>16.7</w:t>
            </w: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2013</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5</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4</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80</w:t>
            </w:r>
          </w:p>
        </w:tc>
        <w:tc>
          <w:tcPr>
            <w:tcW w:w="998" w:type="dxa"/>
          </w:tcPr>
          <w:p w:rsidR="005854EB" w:rsidRPr="004D4B41" w:rsidP="004D4B41">
            <w:pPr>
              <w:pStyle w:val="TableParagraph"/>
              <w:spacing w:before="96" w:beforeLines="40" w:after="60" w:line="285" w:lineRule="exact"/>
              <w:ind w:left="112"/>
              <w:rPr>
                <w:sz w:val="24"/>
              </w:rPr>
            </w:pPr>
            <w:r w:rsidRPr="004D4B41">
              <w:rPr>
                <w:sz w:val="24"/>
              </w:rPr>
              <w:t>1</w:t>
            </w:r>
          </w:p>
        </w:tc>
        <w:tc>
          <w:tcPr>
            <w:tcW w:w="993" w:type="dxa"/>
          </w:tcPr>
          <w:p w:rsidR="005854EB" w:rsidRPr="004D4B41" w:rsidP="004D4B41">
            <w:pPr>
              <w:pStyle w:val="TableParagraph"/>
              <w:spacing w:before="96" w:beforeLines="40" w:after="60" w:line="285" w:lineRule="exact"/>
              <w:ind w:left="112"/>
              <w:rPr>
                <w:sz w:val="24"/>
              </w:rPr>
            </w:pPr>
            <w:r w:rsidRPr="004D4B41">
              <w:rPr>
                <w:sz w:val="24"/>
              </w:rPr>
              <w:t>20</w:t>
            </w:r>
          </w:p>
        </w:tc>
        <w:tc>
          <w:tcPr>
            <w:tcW w:w="1012" w:type="dxa"/>
          </w:tcPr>
          <w:p w:rsidR="005854EB" w:rsidRPr="004D4B41" w:rsidP="004D4B41">
            <w:pPr>
              <w:pStyle w:val="TableParagraph"/>
              <w:spacing w:before="96" w:beforeLines="40" w:after="60"/>
              <w:rPr>
                <w:rFonts w:ascii="Times New Roman"/>
                <w:sz w:val="24"/>
              </w:rPr>
            </w:pPr>
          </w:p>
        </w:tc>
        <w:tc>
          <w:tcPr>
            <w:tcW w:w="882" w:type="dxa"/>
          </w:tcPr>
          <w:p w:rsidR="005854EB" w:rsidRPr="004D4B41" w:rsidP="004D4B41">
            <w:pPr>
              <w:pStyle w:val="TableParagraph"/>
              <w:spacing w:before="96" w:beforeLines="40" w:after="60"/>
              <w:rPr>
                <w:rFonts w:ascii="Times New Roman"/>
                <w:sz w:val="24"/>
              </w:rPr>
            </w:pP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2014</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8</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5</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62.5</w:t>
            </w:r>
          </w:p>
        </w:tc>
        <w:tc>
          <w:tcPr>
            <w:tcW w:w="998" w:type="dxa"/>
          </w:tcPr>
          <w:p w:rsidR="005854EB" w:rsidRPr="004D4B41" w:rsidP="004D4B41">
            <w:pPr>
              <w:pStyle w:val="TableParagraph"/>
              <w:spacing w:before="96" w:beforeLines="40" w:after="60" w:line="285" w:lineRule="exact"/>
              <w:ind w:left="112"/>
              <w:rPr>
                <w:sz w:val="24"/>
              </w:rPr>
            </w:pPr>
            <w:r w:rsidRPr="004D4B41">
              <w:rPr>
                <w:sz w:val="24"/>
              </w:rPr>
              <w:t>3</w:t>
            </w:r>
          </w:p>
        </w:tc>
        <w:tc>
          <w:tcPr>
            <w:tcW w:w="993" w:type="dxa"/>
          </w:tcPr>
          <w:p w:rsidR="005854EB" w:rsidRPr="004D4B41" w:rsidP="004D4B41">
            <w:pPr>
              <w:pStyle w:val="TableParagraph"/>
              <w:spacing w:before="96" w:beforeLines="40" w:after="60" w:line="285" w:lineRule="exact"/>
              <w:ind w:left="112"/>
              <w:rPr>
                <w:sz w:val="24"/>
              </w:rPr>
            </w:pPr>
            <w:r w:rsidRPr="004D4B41">
              <w:rPr>
                <w:sz w:val="24"/>
              </w:rPr>
              <w:t>37.5</w:t>
            </w:r>
          </w:p>
        </w:tc>
        <w:tc>
          <w:tcPr>
            <w:tcW w:w="1012" w:type="dxa"/>
          </w:tcPr>
          <w:p w:rsidR="005854EB" w:rsidRPr="004D4B41" w:rsidP="004D4B41">
            <w:pPr>
              <w:pStyle w:val="TableParagraph"/>
              <w:spacing w:before="96" w:beforeLines="40" w:after="60"/>
              <w:rPr>
                <w:rFonts w:ascii="Times New Roman"/>
                <w:sz w:val="24"/>
              </w:rPr>
            </w:pPr>
          </w:p>
        </w:tc>
        <w:tc>
          <w:tcPr>
            <w:tcW w:w="882" w:type="dxa"/>
          </w:tcPr>
          <w:p w:rsidR="005854EB" w:rsidRPr="004D4B41" w:rsidP="004D4B41">
            <w:pPr>
              <w:pStyle w:val="TableParagraph"/>
              <w:spacing w:before="96" w:beforeLines="40" w:after="60"/>
              <w:rPr>
                <w:rFonts w:ascii="Times New Roman"/>
                <w:sz w:val="24"/>
              </w:rPr>
            </w:pP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2015</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4</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4</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100</w:t>
            </w:r>
          </w:p>
        </w:tc>
        <w:tc>
          <w:tcPr>
            <w:tcW w:w="998" w:type="dxa"/>
          </w:tcPr>
          <w:p w:rsidR="005854EB" w:rsidRPr="004D4B41" w:rsidP="004D4B41">
            <w:pPr>
              <w:pStyle w:val="TableParagraph"/>
              <w:spacing w:before="96" w:beforeLines="40" w:after="60"/>
              <w:rPr>
                <w:rFonts w:ascii="Times New Roman"/>
                <w:sz w:val="24"/>
              </w:rPr>
            </w:pPr>
          </w:p>
        </w:tc>
        <w:tc>
          <w:tcPr>
            <w:tcW w:w="993" w:type="dxa"/>
          </w:tcPr>
          <w:p w:rsidR="005854EB" w:rsidRPr="004D4B41" w:rsidP="004D4B41">
            <w:pPr>
              <w:pStyle w:val="TableParagraph"/>
              <w:spacing w:before="96" w:beforeLines="40" w:after="60"/>
              <w:rPr>
                <w:rFonts w:ascii="Times New Roman"/>
                <w:sz w:val="24"/>
              </w:rPr>
            </w:pPr>
          </w:p>
        </w:tc>
        <w:tc>
          <w:tcPr>
            <w:tcW w:w="1012" w:type="dxa"/>
          </w:tcPr>
          <w:p w:rsidR="005854EB" w:rsidRPr="004D4B41" w:rsidP="004D4B41">
            <w:pPr>
              <w:pStyle w:val="TableParagraph"/>
              <w:spacing w:before="96" w:beforeLines="40" w:after="60"/>
              <w:rPr>
                <w:rFonts w:ascii="Times New Roman"/>
                <w:sz w:val="24"/>
              </w:rPr>
            </w:pPr>
          </w:p>
        </w:tc>
        <w:tc>
          <w:tcPr>
            <w:tcW w:w="882" w:type="dxa"/>
          </w:tcPr>
          <w:p w:rsidR="005854EB" w:rsidRPr="004D4B41" w:rsidP="004D4B41">
            <w:pPr>
              <w:pStyle w:val="TableParagraph"/>
              <w:spacing w:before="96" w:beforeLines="40" w:after="60"/>
              <w:rPr>
                <w:rFonts w:ascii="Times New Roman"/>
                <w:sz w:val="24"/>
              </w:rPr>
            </w:pP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2016</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5</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3</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60</w:t>
            </w:r>
          </w:p>
        </w:tc>
        <w:tc>
          <w:tcPr>
            <w:tcW w:w="998" w:type="dxa"/>
          </w:tcPr>
          <w:p w:rsidR="005854EB" w:rsidRPr="004D4B41" w:rsidP="004D4B41">
            <w:pPr>
              <w:pStyle w:val="TableParagraph"/>
              <w:spacing w:before="96" w:beforeLines="40" w:after="60" w:line="285" w:lineRule="exact"/>
              <w:ind w:left="112"/>
              <w:rPr>
                <w:sz w:val="24"/>
              </w:rPr>
            </w:pPr>
            <w:r w:rsidRPr="004D4B41">
              <w:rPr>
                <w:sz w:val="24"/>
              </w:rPr>
              <w:t>2</w:t>
            </w:r>
          </w:p>
        </w:tc>
        <w:tc>
          <w:tcPr>
            <w:tcW w:w="993" w:type="dxa"/>
          </w:tcPr>
          <w:p w:rsidR="005854EB" w:rsidRPr="004D4B41" w:rsidP="004D4B41">
            <w:pPr>
              <w:pStyle w:val="TableParagraph"/>
              <w:spacing w:before="96" w:beforeLines="40" w:after="60" w:line="285" w:lineRule="exact"/>
              <w:ind w:left="112"/>
              <w:rPr>
                <w:sz w:val="24"/>
              </w:rPr>
            </w:pPr>
            <w:r w:rsidRPr="004D4B41">
              <w:rPr>
                <w:sz w:val="24"/>
              </w:rPr>
              <w:t>40</w:t>
            </w:r>
          </w:p>
        </w:tc>
        <w:tc>
          <w:tcPr>
            <w:tcW w:w="1012" w:type="dxa"/>
          </w:tcPr>
          <w:p w:rsidR="005854EB" w:rsidRPr="004D4B41" w:rsidP="004D4B41">
            <w:pPr>
              <w:pStyle w:val="TableParagraph"/>
              <w:spacing w:before="96" w:beforeLines="40" w:after="60"/>
              <w:rPr>
                <w:rFonts w:ascii="Times New Roman"/>
                <w:sz w:val="24"/>
              </w:rPr>
            </w:pPr>
          </w:p>
        </w:tc>
        <w:tc>
          <w:tcPr>
            <w:tcW w:w="882" w:type="dxa"/>
          </w:tcPr>
          <w:p w:rsidR="005854EB" w:rsidRPr="004D4B41" w:rsidP="004D4B41">
            <w:pPr>
              <w:pStyle w:val="TableParagraph"/>
              <w:spacing w:before="96" w:beforeLines="40" w:after="60"/>
              <w:rPr>
                <w:rFonts w:ascii="Times New Roman"/>
                <w:sz w:val="24"/>
              </w:rPr>
            </w:pPr>
          </w:p>
        </w:tc>
      </w:tr>
      <w:tr w:rsidTr="004D4B41">
        <w:tblPrEx>
          <w:tblW w:w="0" w:type="auto"/>
          <w:tblInd w:w="320" w:type="dxa"/>
          <w:tblLayout w:type="fixed"/>
          <w:tblCellMar>
            <w:left w:w="0" w:type="dxa"/>
            <w:right w:w="0" w:type="dxa"/>
          </w:tblCellMar>
          <w:tblLook w:val="01E0"/>
        </w:tblPrEx>
        <w:trPr>
          <w:trHeight w:val="20"/>
        </w:trPr>
        <w:tc>
          <w:tcPr>
            <w:tcW w:w="1387" w:type="dxa"/>
          </w:tcPr>
          <w:p w:rsidR="005854EB" w:rsidRPr="004D4B41" w:rsidP="004D4B41">
            <w:pPr>
              <w:pStyle w:val="TableParagraph"/>
              <w:spacing w:before="96" w:beforeLines="40" w:after="60" w:line="285" w:lineRule="exact"/>
              <w:ind w:left="110"/>
              <w:rPr>
                <w:sz w:val="24"/>
              </w:rPr>
            </w:pPr>
            <w:r w:rsidRPr="004D4B41">
              <w:rPr>
                <w:sz w:val="24"/>
              </w:rPr>
              <w:t>TOTAL</w:t>
            </w:r>
          </w:p>
        </w:tc>
        <w:tc>
          <w:tcPr>
            <w:tcW w:w="993" w:type="dxa"/>
          </w:tcPr>
          <w:p w:rsidR="005854EB" w:rsidRPr="004D4B41" w:rsidP="004D4B41">
            <w:pPr>
              <w:pStyle w:val="TableParagraph"/>
              <w:spacing w:before="96" w:beforeLines="40" w:after="60" w:line="285" w:lineRule="exact"/>
              <w:ind w:left="110"/>
              <w:rPr>
                <w:sz w:val="24"/>
              </w:rPr>
            </w:pPr>
            <w:r w:rsidRPr="004D4B41">
              <w:rPr>
                <w:sz w:val="24"/>
              </w:rPr>
              <w:t>61</w:t>
            </w:r>
          </w:p>
        </w:tc>
        <w:tc>
          <w:tcPr>
            <w:tcW w:w="964" w:type="dxa"/>
          </w:tcPr>
          <w:p w:rsidR="005854EB" w:rsidRPr="004D4B41" w:rsidP="004D4B41">
            <w:pPr>
              <w:pStyle w:val="TableParagraph"/>
              <w:spacing w:before="96" w:beforeLines="40" w:after="60" w:line="285" w:lineRule="exact"/>
              <w:ind w:left="111"/>
              <w:rPr>
                <w:sz w:val="24"/>
              </w:rPr>
            </w:pPr>
            <w:r w:rsidRPr="004D4B41">
              <w:rPr>
                <w:sz w:val="24"/>
              </w:rPr>
              <w:t>51</w:t>
            </w:r>
          </w:p>
        </w:tc>
        <w:tc>
          <w:tcPr>
            <w:tcW w:w="945" w:type="dxa"/>
          </w:tcPr>
          <w:p w:rsidR="005854EB" w:rsidRPr="004D4B41" w:rsidP="004D4B41">
            <w:pPr>
              <w:pStyle w:val="TableParagraph"/>
              <w:spacing w:before="96" w:beforeLines="40" w:after="60" w:line="285" w:lineRule="exact"/>
              <w:ind w:left="107"/>
              <w:rPr>
                <w:sz w:val="24"/>
              </w:rPr>
            </w:pPr>
            <w:r w:rsidRPr="004D4B41">
              <w:rPr>
                <w:sz w:val="24"/>
              </w:rPr>
              <w:t>83.6</w:t>
            </w:r>
          </w:p>
        </w:tc>
        <w:tc>
          <w:tcPr>
            <w:tcW w:w="998" w:type="dxa"/>
          </w:tcPr>
          <w:p w:rsidR="005854EB" w:rsidRPr="004D4B41" w:rsidP="004D4B41">
            <w:pPr>
              <w:pStyle w:val="TableParagraph"/>
              <w:spacing w:before="96" w:beforeLines="40" w:after="60" w:line="285" w:lineRule="exact"/>
              <w:ind w:left="112"/>
              <w:rPr>
                <w:sz w:val="24"/>
              </w:rPr>
            </w:pPr>
            <w:r w:rsidRPr="004D4B41">
              <w:rPr>
                <w:sz w:val="24"/>
              </w:rPr>
              <w:t>6</w:t>
            </w:r>
          </w:p>
        </w:tc>
        <w:tc>
          <w:tcPr>
            <w:tcW w:w="993" w:type="dxa"/>
          </w:tcPr>
          <w:p w:rsidR="005854EB" w:rsidRPr="004D4B41" w:rsidP="004D4B41">
            <w:pPr>
              <w:pStyle w:val="TableParagraph"/>
              <w:spacing w:before="96" w:beforeLines="40" w:after="60" w:line="285" w:lineRule="exact"/>
              <w:ind w:left="112"/>
              <w:rPr>
                <w:sz w:val="24"/>
              </w:rPr>
            </w:pPr>
            <w:r w:rsidRPr="004D4B41">
              <w:rPr>
                <w:sz w:val="24"/>
              </w:rPr>
              <w:t>9.8</w:t>
            </w:r>
          </w:p>
        </w:tc>
        <w:tc>
          <w:tcPr>
            <w:tcW w:w="1012" w:type="dxa"/>
          </w:tcPr>
          <w:p w:rsidR="005854EB" w:rsidRPr="004D4B41" w:rsidP="004D4B41">
            <w:pPr>
              <w:pStyle w:val="TableParagraph"/>
              <w:spacing w:before="96" w:beforeLines="40" w:after="60" w:line="285" w:lineRule="exact"/>
              <w:ind w:left="113"/>
              <w:rPr>
                <w:sz w:val="24"/>
              </w:rPr>
            </w:pPr>
            <w:r w:rsidRPr="004D4B41">
              <w:rPr>
                <w:sz w:val="24"/>
              </w:rPr>
              <w:t>4</w:t>
            </w:r>
          </w:p>
        </w:tc>
        <w:tc>
          <w:tcPr>
            <w:tcW w:w="882" w:type="dxa"/>
          </w:tcPr>
          <w:p w:rsidR="005854EB" w:rsidRPr="004D4B41" w:rsidP="004D4B41">
            <w:pPr>
              <w:pStyle w:val="TableParagraph"/>
              <w:spacing w:before="96" w:beforeLines="40" w:after="60" w:line="285" w:lineRule="exact"/>
              <w:ind w:left="114"/>
              <w:rPr>
                <w:sz w:val="24"/>
              </w:rPr>
            </w:pPr>
            <w:r w:rsidRPr="004D4B41">
              <w:rPr>
                <w:sz w:val="24"/>
              </w:rPr>
              <w:t>6.6</w:t>
            </w:r>
          </w:p>
        </w:tc>
      </w:tr>
    </w:tbl>
    <w:p w:rsidR="005854EB" w:rsidRPr="00BB1E73" w:rsidP="00E67C92">
      <w:pPr>
        <w:pStyle w:val="BodyText"/>
        <w:rPr>
          <w:rFonts w:ascii="Times New Roman" w:hAnsi="Times New Roman"/>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2291"/>
        <w:gridCol w:w="1843"/>
      </w:tblGrid>
      <w:tr w:rsidTr="00074A1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61"/>
        </w:trPr>
        <w:tc>
          <w:tcPr>
            <w:tcW w:w="4763" w:type="dxa"/>
            <w:vMerge w:val="restart"/>
          </w:tcPr>
          <w:p w:rsidR="00E67C92" w:rsidRPr="00BB1E73" w:rsidP="00E67C92">
            <w:pPr>
              <w:jc w:val="right"/>
              <w:rPr>
                <w:rFonts w:asciiTheme="minorHAnsi" w:hAnsiTheme="minorHAnsi" w:cstheme="minorHAnsi"/>
              </w:rPr>
            </w:pPr>
            <w:r w:rsidRPr="00BB1E73">
              <w:rPr>
                <w:noProof/>
                <w:lang w:val="en-US" w:eastAsia="en-US" w:bidi="ar-SA"/>
              </w:rPr>
              <w:drawing>
                <wp:inline distT="0" distB="0" distL="0" distR="0">
                  <wp:extent cx="1133855" cy="1141525"/>
                  <wp:effectExtent l="0" t="0" r="0" b="0"/>
                  <wp:docPr id="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95216" name="image33.jpe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33855" cy="1141525"/>
                          </a:xfrm>
                          <a:prstGeom prst="rect">
                            <a:avLst/>
                          </a:prstGeom>
                        </pic:spPr>
                      </pic:pic>
                    </a:graphicData>
                  </a:graphic>
                </wp:inline>
              </w:drawing>
            </w:r>
          </w:p>
        </w:tc>
        <w:tc>
          <w:tcPr>
            <w:tcW w:w="4134" w:type="dxa"/>
            <w:gridSpan w:val="2"/>
          </w:tcPr>
          <w:p w:rsidR="00E67C92" w:rsidRPr="00BB1E73" w:rsidP="00074A1D">
            <w:pPr>
              <w:spacing w:line="360" w:lineRule="auto"/>
              <w:rPr>
                <w:rFonts w:ascii="Times New Roman" w:hAnsi="Times New Roman"/>
                <w:sz w:val="24"/>
              </w:rPr>
            </w:pPr>
            <w:r w:rsidRPr="00BB1E73">
              <w:rPr>
                <w:rFonts w:ascii="Times New Roman" w:hAnsi="Times New Roman"/>
                <w:sz w:val="24"/>
              </w:rPr>
              <w:t>Chief railway accident and incident investigator</w:t>
            </w:r>
          </w:p>
          <w:p w:rsidR="00E67C92" w:rsidRPr="00BB1E73" w:rsidP="00074A1D">
            <w:pPr>
              <w:spacing w:line="360" w:lineRule="auto"/>
              <w:rPr>
                <w:rFonts w:asciiTheme="minorHAnsi" w:hAnsiTheme="minorHAnsi" w:cstheme="minorHAnsi"/>
              </w:rPr>
            </w:pPr>
            <w:r w:rsidRPr="00BB1E73">
              <w:rPr>
                <w:rFonts w:ascii="Times New Roman"/>
                <w:sz w:val="24"/>
              </w:rPr>
              <w:t xml:space="preserve">Daniel </w:t>
            </w:r>
            <w:r w:rsidRPr="00BB1E73">
              <w:rPr>
                <w:rFonts w:ascii="Times New Roman"/>
                <w:sz w:val="24"/>
              </w:rPr>
              <w:t>Lenart</w:t>
            </w:r>
            <w:r w:rsidRPr="00BB1E73">
              <w:rPr>
                <w:rFonts w:ascii="Times New Roman"/>
                <w:sz w:val="24"/>
              </w:rPr>
              <w:t>, Secretary</w:t>
            </w:r>
          </w:p>
        </w:tc>
      </w:tr>
      <w:tr w:rsidTr="00074A1D">
        <w:tblPrEx>
          <w:tblW w:w="0" w:type="auto"/>
          <w:tblLook w:val="04A0"/>
        </w:tblPrEx>
        <w:trPr>
          <w:trHeight w:val="1545"/>
        </w:trPr>
        <w:tc>
          <w:tcPr>
            <w:tcW w:w="4763" w:type="dxa"/>
            <w:vMerge/>
          </w:tcPr>
          <w:p w:rsidR="00E67C92" w:rsidRPr="00BB1E73" w:rsidP="00DB035F">
            <w:pPr>
              <w:rPr>
                <w:rFonts w:asciiTheme="minorHAnsi" w:hAnsiTheme="minorHAnsi" w:cstheme="minorHAnsi"/>
              </w:rPr>
            </w:pPr>
          </w:p>
        </w:tc>
        <w:tc>
          <w:tcPr>
            <w:tcW w:w="2291" w:type="dxa"/>
          </w:tcPr>
          <w:p w:rsidR="00E67C92" w:rsidRPr="00BB1E73" w:rsidP="00DB035F">
            <w:pPr>
              <w:rPr>
                <w:rFonts w:ascii="Myriad Pro"/>
                <w:sz w:val="57"/>
              </w:rPr>
            </w:pPr>
            <w:r w:rsidRPr="00BB1E73">
              <w:rPr>
                <w:rFonts w:ascii="Myriad Pro"/>
                <w:sz w:val="57"/>
              </w:rPr>
              <w:t>Daniel</w:t>
            </w:r>
          </w:p>
          <w:p w:rsidR="00E67C92" w:rsidRPr="00BB1E73" w:rsidP="00DB035F">
            <w:pPr>
              <w:rPr>
                <w:rFonts w:asciiTheme="minorHAnsi" w:hAnsiTheme="minorHAnsi" w:cstheme="minorHAnsi"/>
              </w:rPr>
            </w:pPr>
            <w:r w:rsidRPr="00BB1E73">
              <w:rPr>
                <w:rFonts w:ascii="Myriad Pro"/>
                <w:sz w:val="57"/>
              </w:rPr>
              <w:t>Lenart</w:t>
            </w:r>
          </w:p>
        </w:tc>
        <w:tc>
          <w:tcPr>
            <w:tcW w:w="1843" w:type="dxa"/>
            <w:vAlign w:val="center"/>
          </w:tcPr>
          <w:p w:rsidR="00E67C92" w:rsidRPr="00BB1E73" w:rsidP="00E67C92">
            <w:pPr>
              <w:rPr>
                <w:rFonts w:asciiTheme="minorHAnsi" w:hAnsiTheme="minorHAnsi" w:cstheme="minorHAnsi"/>
              </w:rPr>
            </w:pPr>
            <w:r w:rsidRPr="00BB1E73">
              <w:rPr>
                <w:rFonts w:ascii="Myriad Pro"/>
                <w:sz w:val="10"/>
              </w:rPr>
              <w:t xml:space="preserve">Digitally signed by Daniel </w:t>
            </w:r>
            <w:r w:rsidRPr="00BB1E73">
              <w:rPr>
                <w:rFonts w:ascii="Myriad Pro"/>
                <w:sz w:val="10"/>
              </w:rPr>
              <w:t>Lenart</w:t>
            </w:r>
            <w:r w:rsidRPr="00BB1E73">
              <w:rPr>
                <w:rFonts w:ascii="Myriad Pro"/>
                <w:sz w:val="10"/>
              </w:rPr>
              <w:t xml:space="preserve"> DN: c=</w:t>
            </w:r>
            <w:r w:rsidRPr="00BB1E73">
              <w:rPr>
                <w:rFonts w:ascii="Myriad Pro"/>
                <w:sz w:val="10"/>
              </w:rPr>
              <w:t>si</w:t>
            </w:r>
            <w:r w:rsidRPr="00BB1E73">
              <w:rPr>
                <w:rFonts w:ascii="Myriad Pro"/>
                <w:sz w:val="10"/>
              </w:rPr>
              <w:t xml:space="preserve">, o=state-institutions, </w:t>
            </w:r>
            <w:r w:rsidRPr="00BB1E73">
              <w:rPr>
                <w:rFonts w:ascii="Myriad Pro"/>
                <w:sz w:val="10"/>
              </w:rPr>
              <w:t>ou</w:t>
            </w:r>
            <w:r w:rsidRPr="00BB1E73">
              <w:rPr>
                <w:rFonts w:ascii="Myriad Pro"/>
                <w:sz w:val="10"/>
              </w:rPr>
              <w:t xml:space="preserve">=web-certificates, </w:t>
            </w:r>
            <w:r w:rsidRPr="00BB1E73">
              <w:rPr>
                <w:rFonts w:ascii="Myriad Pro"/>
                <w:sz w:val="10"/>
              </w:rPr>
              <w:t>ou</w:t>
            </w:r>
            <w:r w:rsidRPr="00BB1E73">
              <w:rPr>
                <w:rFonts w:ascii="Myriad Pro"/>
                <w:sz w:val="10"/>
              </w:rPr>
              <w:t xml:space="preserve">=government, </w:t>
            </w:r>
            <w:r w:rsidRPr="00BB1E73">
              <w:rPr>
                <w:rFonts w:ascii="Myriad Pro"/>
                <w:sz w:val="10"/>
              </w:rPr>
              <w:t>cn</w:t>
            </w:r>
            <w:r w:rsidRPr="00BB1E73">
              <w:rPr>
                <w:rFonts w:ascii="Myriad Pro"/>
                <w:sz w:val="10"/>
              </w:rPr>
              <w:t xml:space="preserve">=Daniel </w:t>
            </w:r>
            <w:r w:rsidRPr="00BB1E73">
              <w:rPr>
                <w:rFonts w:ascii="Myriad Pro"/>
                <w:sz w:val="10"/>
              </w:rPr>
              <w:t>Lenart</w:t>
            </w:r>
            <w:r w:rsidRPr="00BB1E73">
              <w:rPr>
                <w:rFonts w:ascii="Myriad Pro"/>
                <w:sz w:val="10"/>
              </w:rPr>
              <w:t xml:space="preserve">, </w:t>
            </w:r>
            <w:r w:rsidRPr="00BB1E73">
              <w:rPr>
                <w:rFonts w:ascii="Myriad Pro"/>
                <w:sz w:val="10"/>
              </w:rPr>
              <w:t>serialNumber</w:t>
            </w:r>
            <w:r w:rsidRPr="00BB1E73">
              <w:rPr>
                <w:rFonts w:ascii="Myriad Pro"/>
                <w:sz w:val="10"/>
              </w:rPr>
              <w:t>=1235613214020 Date: 2017.09.29 09:53:03 +02'00'</w:t>
            </w:r>
          </w:p>
        </w:tc>
      </w:tr>
    </w:tbl>
    <w:p w:rsidR="005E17D5" w:rsidRPr="00BB1E73" w:rsidP="00DB035F">
      <w:r>
        <w:rPr>
          <w:noProof/>
        </w:rPr>
        <w:pict>
          <v:shape id="_x0000_s1054" style="width:68.3pt;height:67.85pt;margin-top:-62.1pt;margin-left:376.95pt;mso-position-horizontal-relative:page;position:absolute;z-index:-251657216" coordorigin="7539,146" coordsize="1366,1357" o:spt="100" adj="0,,0" path="m7785,1215l7686,1277l7616,1338l7571,1395l7546,1443l7539,1480l7548,1497l7555,1502l7646,1502l7650,1499l7565,1499l7572,1461l7600,1408l7647,1345l7710,1279l7785,1215xm8123,146l8096,164l8082,206l8076,254l8076,288l8077,318l8079,352l8084,387l8090,423l8096,459l8104,497l8113,535l8123,573l8118,598l8105,641l8084,699l8056,768l8022,847l7983,932l7940,1020l7894,1109l7846,1195l7797,1276l7747,1349l7698,1410l7651,1458l7606,1488l7565,1499l7650,1499l7678,1482l7728,1435l7784,1367l7848,1276l7918,1160l7931,1156l7918,1156l7979,1047l8028,953l8067,872l8097,803l8119,744l8136,693l8148,649l8196,649l8195,648l8166,569l8176,498l8148,498l8132,437l8121,378l8115,323l8113,272l8114,251l8117,216l8125,179l8142,154l8176,154l8158,147l8123,146xm8870,1153l8857,1155l8846,1162l8839,1173l8836,1186l8839,1199l8846,1209l8857,1216l8870,1218l8884,1216l8891,1211l8856,1211l8843,1200l8843,1171l8856,1160l8891,1160l8884,1155l8870,1153xm8891,1160l8886,1160l8896,1171l8896,1200l8886,1211l8891,1211l8895,1209l8902,1199l8905,1186l8902,1173l8895,1162l8891,1160xm8880,1164l8857,1164l8857,1204l8864,1204l8864,1189l8882,1189l8881,1188l8877,1186l8885,1183l8864,1183l8864,1172l8884,1172l8884,1170l8880,1164xm8882,1189l8873,1189l8875,1193l8877,1197l8878,1204l8885,1204l8884,1197l8884,1192l8882,1189xm8884,1172l8874,1172l8877,1174l8877,1182l8873,1183l8885,1183l8885,1178l8884,1172xm8196,649l8148,649l8197,756l8249,839l8301,903l8350,950l8395,983l8433,1007l8363,1020l8290,1036l8215,1054l8140,1075l8065,1099l7991,1126l7918,1156l7931,1156l7991,1136l8069,1115l8150,1095l8233,1078l8317,1064l8402,1051l8485,1042l8589,1042l8567,1032l8640,1028l8877,1028l8840,1008l8788,997l8505,997l8473,979l8441,959l8410,938l8380,916l8324,862l8275,797l8232,725l8196,649xm8589,1042l8485,1042l8576,1083l8666,1114l8749,1134l8818,1140l8847,1138l8869,1133l8883,1123l8886,1118l8848,1118l8792,1112l8724,1094l8647,1067l8589,1042xm8891,1108l8882,1112l8872,1115l8861,1117l8848,1118l8886,1118l8891,1108xm8877,1028l8727,1028l8811,1036l8873,1056l8896,1093l8900,1083l8905,1079l8905,1069l8888,1034l8877,1028xm8672,987l8635,988l8595,991l8505,997l8788,997l8767,993l8672,987xm8190,260l8182,301l8173,354l8162,419l8148,498l8176,498l8177,489l8184,412l8187,337l8190,260xm8176,154l8142,154l8157,164l8172,179l8183,202l8190,235l8195,183l8183,157l8176,154xe" fillcolor="#ffd8d8" stroked="f">
            <v:stroke joinstyle="round"/>
            <v:formulas/>
            <v:path arrowok="t" o:connecttype="segments"/>
          </v:shape>
        </w:pict>
      </w:r>
      <w:r>
        <w:rPr>
          <w:noProof/>
        </w:rPr>
        <w:pict>
          <v:shape id="_x0000_s1055" style="width:68.3pt;height:67.85pt;margin-top:523.7pt;margin-left:376.95pt;mso-position-horizontal-relative:page;position:absolute;z-index:-251658240" coordorigin="7539,146" coordsize="1366,1357" o:spt="100" adj="0,,0" path="m7785,1215l7686,1277l7616,1338l7571,1395l7546,1443l7539,1480l7548,1497l7555,1502l7646,1502l7650,1499l7565,1499l7572,1461l7600,1408l7647,1345l7710,1279l7785,1215xm8123,146l8096,164l8082,206l8076,254l8076,288l8077,318l8079,352l8084,387l8090,423l8096,459l8104,497l8113,535l8123,573l8118,598l8105,641l8084,699l8056,768l8022,847l7983,932l7940,1020l7894,1109l7846,1195l7797,1276l7747,1349l7698,1410l7651,1458l7606,1488l7565,1499l7650,1499l7678,1482l7728,1435l7784,1367l7848,1276l7918,1160l7931,1156l7918,1156l7979,1047l8028,953l8067,872l8097,803l8119,744l8136,693l8148,649l8196,649l8195,648l8166,569l8176,498l8148,498l8132,437l8121,378l8115,323l8113,272l8114,251l8117,216l8125,179l8142,154l8176,154l8158,147l8123,146xm8870,1153l8857,1155l8846,1162l8839,1173l8836,1186l8839,1199l8846,1209l8857,1216l8870,1218l8884,1216l8891,1211l8856,1211l8843,1200l8843,1171l8856,1160l8891,1160l8884,1155l8870,1153xm8891,1160l8886,1160l8896,1171l8896,1200l8886,1211l8891,1211l8895,1209l8902,1199l8905,1186l8902,1173l8895,1162l8891,1160xm8880,1164l8857,1164l8857,1204l8864,1204l8864,1189l8882,1189l8881,1188l8877,1186l8885,1183l8864,1183l8864,1172l8884,1172l8884,1170l8880,1164xm8882,1189l8873,1189l8875,1193l8877,1197l8878,1204l8885,1204l8884,1197l8884,1192l8882,1189xm8884,1172l8874,1172l8877,1174l8877,1182l8873,1183l8885,1183l8885,1178l8884,1172xm8196,649l8148,649l8197,756l8249,839l8301,903l8350,950l8395,983l8433,1007l8363,1020l8290,1036l8215,1054l8140,1075l8065,1099l7991,1126l7918,1156l7931,1156l7991,1136l8069,1115l8150,1095l8233,1078l8317,1064l8402,1051l8485,1042l8589,1042l8567,1032l8640,1028l8877,1028l8840,1008l8788,997l8505,997l8473,979l8441,959l8410,938l8380,916l8324,862l8275,797l8232,725l8196,649xm8589,1042l8485,1042l8576,1083l8666,1114l8749,1134l8818,1140l8847,1138l8869,1133l8883,1123l8886,1118l8848,1118l8792,1112l8724,1094l8647,1067l8589,1042xm8891,1108l8882,1112l8872,1115l8861,1117l8848,1118l8886,1118l8891,1108xm8877,1028l8727,1028l8811,1036l8873,1056l8896,1093l8900,1083l8905,1079l8905,1069l8888,1034l8877,1028xm8672,987l8635,988l8595,991l8505,997l8788,997l8767,993l8672,987xm8190,260l8182,301l8173,354l8162,419l8148,498l8176,498l8177,489l8184,412l8187,337l8190,260xm8176,154l8142,154l8157,164l8172,179l8183,202l8190,235l8195,183l8183,157l8176,154xe" fillcolor="#ffd8d8" stroked="f">
            <v:stroke joinstyle="round"/>
            <v:formulas/>
            <v:path arrowok="t" o:connecttype="segments"/>
          </v:shape>
        </w:pict>
      </w:r>
    </w:p>
    <w:sectPr>
      <w:type w:val="continuous"/>
      <w:pgSz w:w="11910" w:h="16840"/>
      <w:pgMar w:top="1100" w:right="102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1E7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1E73">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9.65pt;height:13.3pt;margin-top:790.05pt;margin-left:497.65pt;mso-position-horizontal-relative:page;mso-position-vertical-relative:page;position:absolute;z-index:-251657216" filled="f" stroked="f">
          <v:textbox inset="0,0,0,0">
            <w:txbxContent>
              <w:p w:rsidR="00BB1E73">
                <w:pPr>
                  <w:spacing w:before="15"/>
                  <w:ind w:left="40"/>
                  <w:rPr>
                    <w:sz w:val="20"/>
                  </w:rPr>
                </w:pPr>
                <w:r>
                  <w:fldChar w:fldCharType="begin"/>
                </w:r>
                <w:r>
                  <w:rPr>
                    <w:sz w:val="20"/>
                  </w:rPr>
                  <w:instrText xml:space="preserve"> PAGE </w:instrText>
                </w:r>
                <w:r>
                  <w:fldChar w:fldCharType="separate"/>
                </w:r>
                <w:r w:rsidR="000F51A5">
                  <w:rPr>
                    <w:noProof/>
                    <w:sz w:val="20"/>
                  </w:rPr>
                  <w:t>3</w:t>
                </w:r>
                <w: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1E73">
    <w:pPr>
      <w:pStyle w:val="BodyText"/>
      <w:spacing w:line="14" w:lineRule="auto"/>
      <w:rPr>
        <w:sz w:val="20"/>
      </w:rPr>
    </w:pPr>
    <w:r>
      <w:rPr>
        <w:noProof/>
      </w:rPr>
      <w:pict>
        <v:shapetype id="_x0000_t202" coordsize="21600,21600" o:spt="202" path="m,l,21600r21600,l21600,xe">
          <v:stroke joinstyle="miter"/>
          <v:path gradientshapeok="t" o:connecttype="rect"/>
        </v:shapetype>
        <v:shape id="_x0000_s2050" type="#_x0000_t202" style="width:11.25pt;height:13.3pt;margin-top:567.35pt;margin-left:801.8pt;mso-position-horizontal-relative:page;mso-position-vertical-relative:page;position:absolute;z-index:-251655168" filled="f" stroked="f">
          <v:textbox inset="0,0,0,0">
            <w:txbxContent>
              <w:p w:rsidR="00BB1E73" w:rsidP="00C54FD7">
                <w:pPr>
                  <w:spacing w:before="15"/>
                  <w:ind w:left="40"/>
                  <w:rPr>
                    <w:sz w:val="20"/>
                  </w:rPr>
                </w:pPr>
                <w:r>
                  <w:fldChar w:fldCharType="begin"/>
                </w:r>
                <w:r>
                  <w:rPr>
                    <w:sz w:val="20"/>
                  </w:rPr>
                  <w:instrText xml:space="preserve"> PAGE </w:instrText>
                </w:r>
                <w:r>
                  <w:fldChar w:fldCharType="separate"/>
                </w:r>
                <w:r w:rsidR="000F51A5">
                  <w:rPr>
                    <w:noProof/>
                    <w:sz w:val="20"/>
                  </w:rPr>
                  <w:t>5</w:t>
                </w:r>
                <w:r>
                  <w:fldChar w:fldCharType="end"/>
                </w:r>
              </w:p>
            </w:txbxContent>
          </v:textbox>
        </v:shape>
      </w:pict>
    </w:r>
  </w:p>
  <w:p w:rsidR="00BB1E73">
    <w:pPr>
      <w:pStyle w:val="BodyText"/>
      <w:spacing w:line="14" w:lineRule="auto"/>
      <w:rPr>
        <w:sz w:val="20"/>
      </w:rPr>
    </w:pPr>
    <w:r>
      <w:pict>
        <v:shape id="_x0000_s2051" type="#_x0000_t202" style="width:9.65pt;height:13.3pt;margin-top:790.05pt;margin-left:497.65pt;mso-position-horizontal-relative:page;mso-position-vertical-relative:page;position:absolute;z-index:-251656192" filled="f" stroked="f">
          <v:textbox inset="0,0,0,0">
            <w:txbxContent>
              <w:p w:rsidR="00BB1E73">
                <w:pPr>
                  <w:spacing w:before="15"/>
                  <w:ind w:left="40"/>
                  <w:rPr>
                    <w:sz w:val="20"/>
                  </w:rPr>
                </w:pPr>
                <w:r>
                  <w:fldChar w:fldCharType="begin"/>
                </w:r>
                <w:r>
                  <w:rPr>
                    <w:sz w:val="20"/>
                  </w:rPr>
                  <w:instrText xml:space="preserve"> PAGE </w:instrText>
                </w:r>
                <w:r>
                  <w:fldChar w:fldCharType="separate"/>
                </w:r>
                <w:r w:rsidR="000F51A5">
                  <w:rPr>
                    <w:noProof/>
                    <w:sz w:val="20"/>
                  </w:rPr>
                  <w:t>5</w:t>
                </w:r>
                <w:r>
                  <w:fldChar w:fldCharType="end"/>
                </w: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1E73">
    <w:pPr>
      <w:pStyle w:val="BodyText"/>
      <w:spacing w:line="14" w:lineRule="auto"/>
      <w:rPr>
        <w:sz w:val="15"/>
      </w:rPr>
    </w:pPr>
    <w:r>
      <w:pict>
        <v:shapetype id="_x0000_t202" coordsize="21600,21600" o:spt="202" path="m,l,21600r21600,l21600,xe">
          <v:stroke joinstyle="miter"/>
          <v:path gradientshapeok="t" o:connecttype="rect"/>
        </v:shapetype>
        <v:shape id="_x0000_s2052" type="#_x0000_t202" style="width:15.45pt;height:13.3pt;margin-top:790.05pt;margin-left:496.7pt;mso-position-horizontal-relative:page;mso-position-vertical-relative:page;position:absolute;z-index:-251658240" filled="f" stroked="f">
          <v:textbox inset="0,0,0,0">
            <w:txbxContent>
              <w:p w:rsidR="00BB1E73">
                <w:pPr>
                  <w:spacing w:before="15"/>
                  <w:ind w:left="40"/>
                  <w:rPr>
                    <w:sz w:val="20"/>
                  </w:rPr>
                </w:pPr>
                <w:r>
                  <w:fldChar w:fldCharType="begin"/>
                </w:r>
                <w:r>
                  <w:rPr>
                    <w:sz w:val="20"/>
                  </w:rPr>
                  <w:instrText xml:space="preserve"> PAGE </w:instrText>
                </w:r>
                <w:r>
                  <w:fldChar w:fldCharType="separate"/>
                </w:r>
                <w:r w:rsidR="000F51A5">
                  <w:rPr>
                    <w:noProof/>
                    <w:sz w:val="20"/>
                  </w:rPr>
                  <w:t>20</w:t>
                </w:r>
                <w:r>
                  <w:fldChar w:fldCharType="end"/>
                </w:r>
              </w:p>
            </w:txbxContent>
          </v:textbox>
        </v:shape>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5D0885"/>
    <w:multiLevelType w:val="hybridMultilevel"/>
    <w:tmpl w:val="12F253DE"/>
    <w:lvl w:ilvl="0">
      <w:start w:val="1"/>
      <w:numFmt w:val="lowerLetter"/>
      <w:lvlText w:val="%1)"/>
      <w:lvlJc w:val="left"/>
      <w:pPr>
        <w:ind w:left="1117" w:hanging="399"/>
      </w:pPr>
      <w:rPr>
        <w:rFonts w:ascii="Arial" w:eastAsia="Arial" w:hAnsi="Arial" w:cs="Arial" w:hint="default"/>
        <w:w w:val="99"/>
        <w:sz w:val="28"/>
        <w:szCs w:val="28"/>
      </w:rPr>
    </w:lvl>
    <w:lvl w:ilvl="1">
      <w:start w:val="0"/>
      <w:numFmt w:val="bullet"/>
      <w:lvlText w:val="•"/>
      <w:lvlJc w:val="left"/>
      <w:pPr>
        <w:ind w:left="1938" w:hanging="399"/>
      </w:pPr>
      <w:rPr>
        <w:rFonts w:hint="default"/>
      </w:rPr>
    </w:lvl>
    <w:lvl w:ilvl="2">
      <w:start w:val="0"/>
      <w:numFmt w:val="bullet"/>
      <w:lvlText w:val="•"/>
      <w:lvlJc w:val="left"/>
      <w:pPr>
        <w:ind w:left="2756" w:hanging="399"/>
      </w:pPr>
      <w:rPr>
        <w:rFonts w:hint="default"/>
      </w:rPr>
    </w:lvl>
    <w:lvl w:ilvl="3">
      <w:start w:val="0"/>
      <w:numFmt w:val="bullet"/>
      <w:lvlText w:val="•"/>
      <w:lvlJc w:val="left"/>
      <w:pPr>
        <w:ind w:left="3575" w:hanging="399"/>
      </w:pPr>
      <w:rPr>
        <w:rFonts w:hint="default"/>
      </w:rPr>
    </w:lvl>
    <w:lvl w:ilvl="4">
      <w:start w:val="0"/>
      <w:numFmt w:val="bullet"/>
      <w:lvlText w:val="•"/>
      <w:lvlJc w:val="left"/>
      <w:pPr>
        <w:ind w:left="4393" w:hanging="399"/>
      </w:pPr>
      <w:rPr>
        <w:rFonts w:hint="default"/>
      </w:rPr>
    </w:lvl>
    <w:lvl w:ilvl="5">
      <w:start w:val="0"/>
      <w:numFmt w:val="bullet"/>
      <w:lvlText w:val="•"/>
      <w:lvlJc w:val="left"/>
      <w:pPr>
        <w:ind w:left="5212" w:hanging="399"/>
      </w:pPr>
      <w:rPr>
        <w:rFonts w:hint="default"/>
      </w:rPr>
    </w:lvl>
    <w:lvl w:ilvl="6">
      <w:start w:val="0"/>
      <w:numFmt w:val="bullet"/>
      <w:lvlText w:val="•"/>
      <w:lvlJc w:val="left"/>
      <w:pPr>
        <w:ind w:left="6030" w:hanging="399"/>
      </w:pPr>
      <w:rPr>
        <w:rFonts w:hint="default"/>
      </w:rPr>
    </w:lvl>
    <w:lvl w:ilvl="7">
      <w:start w:val="0"/>
      <w:numFmt w:val="bullet"/>
      <w:lvlText w:val="•"/>
      <w:lvlJc w:val="left"/>
      <w:pPr>
        <w:ind w:left="6848" w:hanging="399"/>
      </w:pPr>
      <w:rPr>
        <w:rFonts w:hint="default"/>
      </w:rPr>
    </w:lvl>
    <w:lvl w:ilvl="8">
      <w:start w:val="0"/>
      <w:numFmt w:val="bullet"/>
      <w:lvlText w:val="•"/>
      <w:lvlJc w:val="left"/>
      <w:pPr>
        <w:ind w:left="7667" w:hanging="399"/>
      </w:pPr>
      <w:rPr>
        <w:rFonts w:hint="default"/>
      </w:rPr>
    </w:lvl>
  </w:abstractNum>
  <w:abstractNum w:abstractNumId="1">
    <w:nsid w:val="244F12D9"/>
    <w:multiLevelType w:val="multilevel"/>
    <w:tmpl w:val="81C60CBE"/>
    <w:lvl w:ilvl="0">
      <w:start w:val="2"/>
      <w:numFmt w:val="decimal"/>
      <w:lvlText w:val="%1"/>
      <w:lvlJc w:val="left"/>
      <w:pPr>
        <w:ind w:left="1499" w:hanging="600"/>
      </w:pPr>
      <w:rPr>
        <w:rFonts w:hint="default"/>
      </w:rPr>
    </w:lvl>
    <w:lvl w:ilvl="1">
      <w:start w:val="1"/>
      <w:numFmt w:val="decimal"/>
      <w:lvlText w:val="%1.%2"/>
      <w:lvlJc w:val="left"/>
      <w:pPr>
        <w:ind w:left="1499" w:hanging="600"/>
      </w:pPr>
      <w:rPr>
        <w:rFonts w:ascii="Times New Roman" w:eastAsia="Times New Roman" w:hAnsi="Times New Roman" w:cs="Times New Roman" w:hint="default"/>
        <w:spacing w:val="-10"/>
        <w:w w:val="99"/>
        <w:sz w:val="24"/>
        <w:szCs w:val="24"/>
      </w:rPr>
    </w:lvl>
    <w:lvl w:ilvl="2">
      <w:start w:val="0"/>
      <w:numFmt w:val="bullet"/>
      <w:lvlText w:val="•"/>
      <w:lvlJc w:val="left"/>
      <w:pPr>
        <w:ind w:left="3108" w:hanging="600"/>
      </w:pPr>
      <w:rPr>
        <w:rFonts w:hint="default"/>
      </w:rPr>
    </w:lvl>
    <w:lvl w:ilvl="3">
      <w:start w:val="0"/>
      <w:numFmt w:val="bullet"/>
      <w:lvlText w:val="•"/>
      <w:lvlJc w:val="left"/>
      <w:pPr>
        <w:ind w:left="3913" w:hanging="600"/>
      </w:pPr>
      <w:rPr>
        <w:rFonts w:hint="default"/>
      </w:rPr>
    </w:lvl>
    <w:lvl w:ilvl="4">
      <w:start w:val="0"/>
      <w:numFmt w:val="bullet"/>
      <w:lvlText w:val="•"/>
      <w:lvlJc w:val="left"/>
      <w:pPr>
        <w:ind w:left="4717" w:hanging="600"/>
      </w:pPr>
      <w:rPr>
        <w:rFonts w:hint="default"/>
      </w:rPr>
    </w:lvl>
    <w:lvl w:ilvl="5">
      <w:start w:val="0"/>
      <w:numFmt w:val="bullet"/>
      <w:lvlText w:val="•"/>
      <w:lvlJc w:val="left"/>
      <w:pPr>
        <w:ind w:left="5522" w:hanging="600"/>
      </w:pPr>
      <w:rPr>
        <w:rFonts w:hint="default"/>
      </w:rPr>
    </w:lvl>
    <w:lvl w:ilvl="6">
      <w:start w:val="0"/>
      <w:numFmt w:val="bullet"/>
      <w:lvlText w:val="•"/>
      <w:lvlJc w:val="left"/>
      <w:pPr>
        <w:ind w:left="6326" w:hanging="600"/>
      </w:pPr>
      <w:rPr>
        <w:rFonts w:hint="default"/>
      </w:rPr>
    </w:lvl>
    <w:lvl w:ilvl="7">
      <w:start w:val="0"/>
      <w:numFmt w:val="bullet"/>
      <w:lvlText w:val="•"/>
      <w:lvlJc w:val="left"/>
      <w:pPr>
        <w:ind w:left="7130" w:hanging="600"/>
      </w:pPr>
      <w:rPr>
        <w:rFonts w:hint="default"/>
      </w:rPr>
    </w:lvl>
    <w:lvl w:ilvl="8">
      <w:start w:val="0"/>
      <w:numFmt w:val="bullet"/>
      <w:lvlText w:val="•"/>
      <w:lvlJc w:val="left"/>
      <w:pPr>
        <w:ind w:left="7935" w:hanging="600"/>
      </w:pPr>
      <w:rPr>
        <w:rFonts w:hint="default"/>
      </w:rPr>
    </w:lvl>
  </w:abstractNum>
  <w:abstractNum w:abstractNumId="2">
    <w:nsid w:val="2C810404"/>
    <w:multiLevelType w:val="multilevel"/>
    <w:tmpl w:val="B7907EBC"/>
    <w:lvl w:ilvl="0">
      <w:start w:val="1"/>
      <w:numFmt w:val="decimal"/>
      <w:lvlText w:val="%1."/>
      <w:lvlJc w:val="left"/>
      <w:pPr>
        <w:ind w:left="1418" w:hanging="567"/>
      </w:pPr>
      <w:rPr>
        <w:rFonts w:hint="default"/>
      </w:rPr>
    </w:lvl>
    <w:lvl w:ilvl="1">
      <w:start w:val="1"/>
      <w:numFmt w:val="lowerLetter"/>
      <w:lvlText w:val="%2."/>
      <w:lvlJc w:val="left"/>
      <w:pPr>
        <w:ind w:left="2338" w:hanging="360"/>
      </w:pPr>
      <w:rPr>
        <w:rFonts w:hint="default"/>
      </w:rPr>
    </w:lvl>
    <w:lvl w:ilvl="2">
      <w:start w:val="1"/>
      <w:numFmt w:val="lowerRoman"/>
      <w:lvlText w:val="%3."/>
      <w:lvlJc w:val="right"/>
      <w:pPr>
        <w:ind w:left="3058" w:hanging="180"/>
      </w:pPr>
      <w:rPr>
        <w:rFonts w:hint="default"/>
      </w:rPr>
    </w:lvl>
    <w:lvl w:ilvl="3">
      <w:start w:val="1"/>
      <w:numFmt w:val="decimal"/>
      <w:lvlText w:val="%4."/>
      <w:lvlJc w:val="left"/>
      <w:pPr>
        <w:ind w:left="3778" w:hanging="360"/>
      </w:pPr>
      <w:rPr>
        <w:rFonts w:hint="default"/>
      </w:rPr>
    </w:lvl>
    <w:lvl w:ilvl="4">
      <w:start w:val="1"/>
      <w:numFmt w:val="lowerLetter"/>
      <w:lvlText w:val="%5."/>
      <w:lvlJc w:val="left"/>
      <w:pPr>
        <w:ind w:left="4498" w:hanging="360"/>
      </w:pPr>
      <w:rPr>
        <w:rFonts w:hint="default"/>
      </w:rPr>
    </w:lvl>
    <w:lvl w:ilvl="5">
      <w:start w:val="1"/>
      <w:numFmt w:val="lowerRoman"/>
      <w:lvlText w:val="%6."/>
      <w:lvlJc w:val="right"/>
      <w:pPr>
        <w:ind w:left="5218" w:hanging="180"/>
      </w:pPr>
      <w:rPr>
        <w:rFonts w:hint="default"/>
      </w:rPr>
    </w:lvl>
    <w:lvl w:ilvl="6">
      <w:start w:val="1"/>
      <w:numFmt w:val="decimal"/>
      <w:lvlText w:val="%7."/>
      <w:lvlJc w:val="left"/>
      <w:pPr>
        <w:ind w:left="5938" w:hanging="360"/>
      </w:pPr>
      <w:rPr>
        <w:rFonts w:hint="default"/>
      </w:rPr>
    </w:lvl>
    <w:lvl w:ilvl="7">
      <w:start w:val="1"/>
      <w:numFmt w:val="lowerLetter"/>
      <w:lvlText w:val="%8."/>
      <w:lvlJc w:val="left"/>
      <w:pPr>
        <w:ind w:left="6658" w:hanging="360"/>
      </w:pPr>
      <w:rPr>
        <w:rFonts w:hint="default"/>
      </w:rPr>
    </w:lvl>
    <w:lvl w:ilvl="8">
      <w:start w:val="1"/>
      <w:numFmt w:val="lowerRoman"/>
      <w:lvlText w:val="%9."/>
      <w:lvlJc w:val="right"/>
      <w:pPr>
        <w:ind w:left="7378" w:hanging="180"/>
      </w:pPr>
      <w:rPr>
        <w:rFonts w:hint="default"/>
      </w:rPr>
    </w:lvl>
  </w:abstractNum>
  <w:abstractNum w:abstractNumId="3">
    <w:nsid w:val="3E1E5740"/>
    <w:multiLevelType w:val="multilevel"/>
    <w:tmpl w:val="262E248E"/>
    <w:lvl w:ilvl="0">
      <w:start w:val="2"/>
      <w:numFmt w:val="decimal"/>
      <w:lvlText w:val="%1"/>
      <w:lvlJc w:val="left"/>
      <w:pPr>
        <w:ind w:left="719" w:hanging="576"/>
      </w:pPr>
      <w:rPr>
        <w:rFonts w:hint="default"/>
      </w:rPr>
    </w:lvl>
    <w:lvl w:ilvl="1">
      <w:start w:val="1"/>
      <w:numFmt w:val="decimal"/>
      <w:lvlText w:val="%1.%2"/>
      <w:lvlJc w:val="left"/>
      <w:pPr>
        <w:ind w:left="719" w:hanging="576"/>
      </w:pPr>
      <w:rPr>
        <w:rFonts w:ascii="Arial" w:eastAsia="Arial" w:hAnsi="Arial" w:cs="Arial" w:hint="default"/>
        <w:b/>
        <w:bCs/>
        <w:i/>
        <w:w w:val="99"/>
        <w:sz w:val="28"/>
        <w:szCs w:val="28"/>
      </w:rPr>
    </w:lvl>
    <w:lvl w:ilvl="2">
      <w:start w:val="0"/>
      <w:numFmt w:val="bullet"/>
      <w:lvlText w:val="-"/>
      <w:lvlJc w:val="left"/>
      <w:pPr>
        <w:ind w:left="829" w:hanging="147"/>
      </w:pPr>
      <w:rPr>
        <w:rFonts w:ascii="Arial" w:eastAsia="Arial" w:hAnsi="Arial" w:cs="Arial" w:hint="default"/>
        <w:spacing w:val="-8"/>
        <w:w w:val="99"/>
        <w:sz w:val="24"/>
        <w:szCs w:val="24"/>
      </w:rPr>
    </w:lvl>
    <w:lvl w:ilvl="3">
      <w:start w:val="0"/>
      <w:numFmt w:val="bullet"/>
      <w:lvlText w:val="•"/>
      <w:lvlJc w:val="left"/>
      <w:pPr>
        <w:ind w:left="2705" w:hanging="147"/>
      </w:pPr>
      <w:rPr>
        <w:rFonts w:hint="default"/>
      </w:rPr>
    </w:lvl>
    <w:lvl w:ilvl="4">
      <w:start w:val="0"/>
      <w:numFmt w:val="bullet"/>
      <w:lvlText w:val="•"/>
      <w:lvlJc w:val="left"/>
      <w:pPr>
        <w:ind w:left="3648" w:hanging="147"/>
      </w:pPr>
      <w:rPr>
        <w:rFonts w:hint="default"/>
      </w:rPr>
    </w:lvl>
    <w:lvl w:ilvl="5">
      <w:start w:val="0"/>
      <w:numFmt w:val="bullet"/>
      <w:lvlText w:val="•"/>
      <w:lvlJc w:val="left"/>
      <w:pPr>
        <w:ind w:left="4590" w:hanging="147"/>
      </w:pPr>
      <w:rPr>
        <w:rFonts w:hint="default"/>
      </w:rPr>
    </w:lvl>
    <w:lvl w:ilvl="6">
      <w:start w:val="0"/>
      <w:numFmt w:val="bullet"/>
      <w:lvlText w:val="•"/>
      <w:lvlJc w:val="left"/>
      <w:pPr>
        <w:ind w:left="5533" w:hanging="147"/>
      </w:pPr>
      <w:rPr>
        <w:rFonts w:hint="default"/>
      </w:rPr>
    </w:lvl>
    <w:lvl w:ilvl="7">
      <w:start w:val="0"/>
      <w:numFmt w:val="bullet"/>
      <w:lvlText w:val="•"/>
      <w:lvlJc w:val="left"/>
      <w:pPr>
        <w:ind w:left="6476" w:hanging="147"/>
      </w:pPr>
      <w:rPr>
        <w:rFonts w:hint="default"/>
      </w:rPr>
    </w:lvl>
    <w:lvl w:ilvl="8">
      <w:start w:val="0"/>
      <w:numFmt w:val="bullet"/>
      <w:lvlText w:val="•"/>
      <w:lvlJc w:val="left"/>
      <w:pPr>
        <w:ind w:left="7418" w:hanging="147"/>
      </w:pPr>
      <w:rPr>
        <w:rFonts w:hint="default"/>
      </w:rPr>
    </w:lvl>
  </w:abstractNum>
  <w:abstractNum w:abstractNumId="4">
    <w:nsid w:val="4F912D68"/>
    <w:multiLevelType w:val="hybridMultilevel"/>
    <w:tmpl w:val="4198BF6A"/>
    <w:lvl w:ilvl="0">
      <w:start w:val="1"/>
      <w:numFmt w:val="lowerLetter"/>
      <w:lvlText w:val="%1)"/>
      <w:lvlJc w:val="left"/>
      <w:pPr>
        <w:ind w:left="1117" w:hanging="399"/>
        <w:jc w:val="right"/>
      </w:pPr>
      <w:rPr>
        <w:rFonts w:ascii="Arial" w:eastAsia="Arial" w:hAnsi="Arial" w:cs="Arial" w:hint="default"/>
        <w:w w:val="99"/>
        <w:sz w:val="28"/>
        <w:szCs w:val="28"/>
      </w:rPr>
    </w:lvl>
    <w:lvl w:ilvl="1">
      <w:start w:val="0"/>
      <w:numFmt w:val="bullet"/>
      <w:lvlText w:val="•"/>
      <w:lvlJc w:val="left"/>
      <w:pPr>
        <w:ind w:left="1938" w:hanging="399"/>
      </w:pPr>
      <w:rPr>
        <w:rFonts w:hint="default"/>
      </w:rPr>
    </w:lvl>
    <w:lvl w:ilvl="2">
      <w:start w:val="0"/>
      <w:numFmt w:val="bullet"/>
      <w:lvlText w:val="•"/>
      <w:lvlJc w:val="left"/>
      <w:pPr>
        <w:ind w:left="2756" w:hanging="399"/>
      </w:pPr>
      <w:rPr>
        <w:rFonts w:hint="default"/>
      </w:rPr>
    </w:lvl>
    <w:lvl w:ilvl="3">
      <w:start w:val="0"/>
      <w:numFmt w:val="bullet"/>
      <w:lvlText w:val="•"/>
      <w:lvlJc w:val="left"/>
      <w:pPr>
        <w:ind w:left="3575" w:hanging="399"/>
      </w:pPr>
      <w:rPr>
        <w:rFonts w:hint="default"/>
      </w:rPr>
    </w:lvl>
    <w:lvl w:ilvl="4">
      <w:start w:val="0"/>
      <w:numFmt w:val="bullet"/>
      <w:lvlText w:val="•"/>
      <w:lvlJc w:val="left"/>
      <w:pPr>
        <w:ind w:left="4393" w:hanging="399"/>
      </w:pPr>
      <w:rPr>
        <w:rFonts w:hint="default"/>
      </w:rPr>
    </w:lvl>
    <w:lvl w:ilvl="5">
      <w:start w:val="0"/>
      <w:numFmt w:val="bullet"/>
      <w:lvlText w:val="•"/>
      <w:lvlJc w:val="left"/>
      <w:pPr>
        <w:ind w:left="5212" w:hanging="399"/>
      </w:pPr>
      <w:rPr>
        <w:rFonts w:hint="default"/>
      </w:rPr>
    </w:lvl>
    <w:lvl w:ilvl="6">
      <w:start w:val="0"/>
      <w:numFmt w:val="bullet"/>
      <w:lvlText w:val="•"/>
      <w:lvlJc w:val="left"/>
      <w:pPr>
        <w:ind w:left="6030" w:hanging="399"/>
      </w:pPr>
      <w:rPr>
        <w:rFonts w:hint="default"/>
      </w:rPr>
    </w:lvl>
    <w:lvl w:ilvl="7">
      <w:start w:val="0"/>
      <w:numFmt w:val="bullet"/>
      <w:lvlText w:val="•"/>
      <w:lvlJc w:val="left"/>
      <w:pPr>
        <w:ind w:left="6848" w:hanging="399"/>
      </w:pPr>
      <w:rPr>
        <w:rFonts w:hint="default"/>
      </w:rPr>
    </w:lvl>
    <w:lvl w:ilvl="8">
      <w:start w:val="0"/>
      <w:numFmt w:val="bullet"/>
      <w:lvlText w:val="•"/>
      <w:lvlJc w:val="left"/>
      <w:pPr>
        <w:ind w:left="7667" w:hanging="399"/>
      </w:pPr>
      <w:rPr>
        <w:rFonts w:hint="default"/>
      </w:rPr>
    </w:lvl>
  </w:abstractNum>
  <w:abstractNum w:abstractNumId="5">
    <w:nsid w:val="5A570BE6"/>
    <w:multiLevelType w:val="multilevel"/>
    <w:tmpl w:val="E0188806"/>
    <w:lvl w:ilvl="0">
      <w:start w:val="1"/>
      <w:numFmt w:val="decimal"/>
      <w:lvlText w:val="%1"/>
      <w:lvlJc w:val="left"/>
      <w:pPr>
        <w:ind w:left="1499" w:hanging="600"/>
      </w:pPr>
      <w:rPr>
        <w:rFonts w:ascii="Times New Roman" w:eastAsia="Times New Roman" w:hAnsi="Times New Roman" w:cs="Times New Roman" w:hint="default"/>
        <w:b/>
        <w:bCs/>
        <w:spacing w:val="-24"/>
        <w:w w:val="99"/>
        <w:sz w:val="24"/>
        <w:szCs w:val="24"/>
      </w:rPr>
    </w:lvl>
    <w:lvl w:ilvl="1">
      <w:start w:val="1"/>
      <w:numFmt w:val="decimal"/>
      <w:lvlText w:val="%1.%2."/>
      <w:lvlJc w:val="left"/>
      <w:pPr>
        <w:ind w:left="1499" w:hanging="600"/>
      </w:pPr>
      <w:rPr>
        <w:rFonts w:ascii="Times New Roman" w:eastAsia="Times New Roman" w:hAnsi="Times New Roman" w:cs="Times New Roman" w:hint="default"/>
        <w:spacing w:val="-10"/>
        <w:w w:val="100"/>
        <w:sz w:val="24"/>
        <w:szCs w:val="24"/>
      </w:rPr>
    </w:lvl>
    <w:lvl w:ilvl="2">
      <w:start w:val="0"/>
      <w:numFmt w:val="bullet"/>
      <w:lvlText w:val="•"/>
      <w:lvlJc w:val="left"/>
      <w:pPr>
        <w:ind w:left="3108" w:hanging="600"/>
      </w:pPr>
      <w:rPr>
        <w:rFonts w:hint="default"/>
      </w:rPr>
    </w:lvl>
    <w:lvl w:ilvl="3">
      <w:start w:val="0"/>
      <w:numFmt w:val="bullet"/>
      <w:lvlText w:val="•"/>
      <w:lvlJc w:val="left"/>
      <w:pPr>
        <w:ind w:left="3913" w:hanging="600"/>
      </w:pPr>
      <w:rPr>
        <w:rFonts w:hint="default"/>
      </w:rPr>
    </w:lvl>
    <w:lvl w:ilvl="4">
      <w:start w:val="0"/>
      <w:numFmt w:val="bullet"/>
      <w:lvlText w:val="•"/>
      <w:lvlJc w:val="left"/>
      <w:pPr>
        <w:ind w:left="4717" w:hanging="600"/>
      </w:pPr>
      <w:rPr>
        <w:rFonts w:hint="default"/>
      </w:rPr>
    </w:lvl>
    <w:lvl w:ilvl="5">
      <w:start w:val="0"/>
      <w:numFmt w:val="bullet"/>
      <w:lvlText w:val="•"/>
      <w:lvlJc w:val="left"/>
      <w:pPr>
        <w:ind w:left="5522" w:hanging="600"/>
      </w:pPr>
      <w:rPr>
        <w:rFonts w:hint="default"/>
      </w:rPr>
    </w:lvl>
    <w:lvl w:ilvl="6">
      <w:start w:val="0"/>
      <w:numFmt w:val="bullet"/>
      <w:lvlText w:val="•"/>
      <w:lvlJc w:val="left"/>
      <w:pPr>
        <w:ind w:left="6326" w:hanging="600"/>
      </w:pPr>
      <w:rPr>
        <w:rFonts w:hint="default"/>
      </w:rPr>
    </w:lvl>
    <w:lvl w:ilvl="7">
      <w:start w:val="0"/>
      <w:numFmt w:val="bullet"/>
      <w:lvlText w:val="•"/>
      <w:lvlJc w:val="left"/>
      <w:pPr>
        <w:ind w:left="7130" w:hanging="600"/>
      </w:pPr>
      <w:rPr>
        <w:rFonts w:hint="default"/>
      </w:rPr>
    </w:lvl>
    <w:lvl w:ilvl="8">
      <w:start w:val="0"/>
      <w:numFmt w:val="bullet"/>
      <w:lvlText w:val="•"/>
      <w:lvlJc w:val="left"/>
      <w:pPr>
        <w:ind w:left="7935" w:hanging="600"/>
      </w:pPr>
      <w:rPr>
        <w:rFonts w:hint="default"/>
      </w:rPr>
    </w:lvl>
  </w:abstractNum>
  <w:abstractNum w:abstractNumId="6">
    <w:nsid w:val="60817F7C"/>
    <w:multiLevelType w:val="hybridMultilevel"/>
    <w:tmpl w:val="1EAACB4E"/>
    <w:lvl w:ilvl="0">
      <w:start w:val="0"/>
      <w:numFmt w:val="bullet"/>
      <w:lvlText w:val="-"/>
      <w:lvlJc w:val="left"/>
      <w:pPr>
        <w:ind w:left="719" w:hanging="240"/>
      </w:pPr>
      <w:rPr>
        <w:rFonts w:ascii="Arial" w:eastAsia="Arial" w:hAnsi="Arial" w:cs="Arial" w:hint="default"/>
        <w:spacing w:val="-23"/>
        <w:w w:val="99"/>
        <w:sz w:val="24"/>
        <w:szCs w:val="24"/>
      </w:rPr>
    </w:lvl>
    <w:lvl w:ilvl="1">
      <w:start w:val="0"/>
      <w:numFmt w:val="bullet"/>
      <w:lvlText w:val="•"/>
      <w:lvlJc w:val="left"/>
      <w:pPr>
        <w:ind w:left="1578" w:hanging="240"/>
      </w:pPr>
      <w:rPr>
        <w:rFonts w:hint="default"/>
      </w:rPr>
    </w:lvl>
    <w:lvl w:ilvl="2">
      <w:start w:val="0"/>
      <w:numFmt w:val="bullet"/>
      <w:lvlText w:val="•"/>
      <w:lvlJc w:val="left"/>
      <w:pPr>
        <w:ind w:left="2436" w:hanging="240"/>
      </w:pPr>
      <w:rPr>
        <w:rFonts w:hint="default"/>
      </w:rPr>
    </w:lvl>
    <w:lvl w:ilvl="3">
      <w:start w:val="0"/>
      <w:numFmt w:val="bullet"/>
      <w:lvlText w:val="•"/>
      <w:lvlJc w:val="left"/>
      <w:pPr>
        <w:ind w:left="3295" w:hanging="240"/>
      </w:pPr>
      <w:rPr>
        <w:rFonts w:hint="default"/>
      </w:rPr>
    </w:lvl>
    <w:lvl w:ilvl="4">
      <w:start w:val="0"/>
      <w:numFmt w:val="bullet"/>
      <w:lvlText w:val="•"/>
      <w:lvlJc w:val="left"/>
      <w:pPr>
        <w:ind w:left="4153" w:hanging="240"/>
      </w:pPr>
      <w:rPr>
        <w:rFonts w:hint="default"/>
      </w:rPr>
    </w:lvl>
    <w:lvl w:ilvl="5">
      <w:start w:val="0"/>
      <w:numFmt w:val="bullet"/>
      <w:lvlText w:val="•"/>
      <w:lvlJc w:val="left"/>
      <w:pPr>
        <w:ind w:left="5012" w:hanging="240"/>
      </w:pPr>
      <w:rPr>
        <w:rFonts w:hint="default"/>
      </w:rPr>
    </w:lvl>
    <w:lvl w:ilvl="6">
      <w:start w:val="0"/>
      <w:numFmt w:val="bullet"/>
      <w:lvlText w:val="•"/>
      <w:lvlJc w:val="left"/>
      <w:pPr>
        <w:ind w:left="5870" w:hanging="240"/>
      </w:pPr>
      <w:rPr>
        <w:rFonts w:hint="default"/>
      </w:rPr>
    </w:lvl>
    <w:lvl w:ilvl="7">
      <w:start w:val="0"/>
      <w:numFmt w:val="bullet"/>
      <w:lvlText w:val="•"/>
      <w:lvlJc w:val="left"/>
      <w:pPr>
        <w:ind w:left="6728" w:hanging="240"/>
      </w:pPr>
      <w:rPr>
        <w:rFonts w:hint="default"/>
      </w:rPr>
    </w:lvl>
    <w:lvl w:ilvl="8">
      <w:start w:val="0"/>
      <w:numFmt w:val="bullet"/>
      <w:lvlText w:val="•"/>
      <w:lvlJc w:val="left"/>
      <w:pPr>
        <w:ind w:left="7587" w:hanging="240"/>
      </w:pPr>
      <w:rPr>
        <w:rFonts w:hint="default"/>
      </w:rPr>
    </w:lvl>
  </w:abstractNum>
  <w:abstractNum w:abstractNumId="7">
    <w:nsid w:val="753D7B45"/>
    <w:multiLevelType w:val="hybridMultilevel"/>
    <w:tmpl w:val="B2C83A50"/>
    <w:lvl w:ilvl="0">
      <w:start w:val="1"/>
      <w:numFmt w:val="decimal"/>
      <w:lvlText w:val="%1"/>
      <w:lvlJc w:val="left"/>
      <w:pPr>
        <w:ind w:left="1390" w:hanging="492"/>
      </w:pPr>
      <w:rPr>
        <w:rFonts w:hint="default"/>
      </w:rPr>
    </w:lvl>
    <w:lvl w:ilvl="1" w:tentative="1">
      <w:start w:val="1"/>
      <w:numFmt w:val="lowerLetter"/>
      <w:lvlText w:val="%2."/>
      <w:lvlJc w:val="left"/>
      <w:pPr>
        <w:ind w:left="1978" w:hanging="360"/>
      </w:pPr>
    </w:lvl>
    <w:lvl w:ilvl="2" w:tentative="1">
      <w:start w:val="1"/>
      <w:numFmt w:val="lowerRoman"/>
      <w:lvlText w:val="%3."/>
      <w:lvlJc w:val="right"/>
      <w:pPr>
        <w:ind w:left="2698" w:hanging="180"/>
      </w:pPr>
    </w:lvl>
    <w:lvl w:ilvl="3" w:tentative="1">
      <w:start w:val="1"/>
      <w:numFmt w:val="decimal"/>
      <w:lvlText w:val="%4."/>
      <w:lvlJc w:val="left"/>
      <w:pPr>
        <w:ind w:left="3418" w:hanging="360"/>
      </w:pPr>
    </w:lvl>
    <w:lvl w:ilvl="4" w:tentative="1">
      <w:start w:val="1"/>
      <w:numFmt w:val="lowerLetter"/>
      <w:lvlText w:val="%5."/>
      <w:lvlJc w:val="left"/>
      <w:pPr>
        <w:ind w:left="4138" w:hanging="360"/>
      </w:pPr>
    </w:lvl>
    <w:lvl w:ilvl="5" w:tentative="1">
      <w:start w:val="1"/>
      <w:numFmt w:val="lowerRoman"/>
      <w:lvlText w:val="%6."/>
      <w:lvlJc w:val="right"/>
      <w:pPr>
        <w:ind w:left="4858" w:hanging="180"/>
      </w:pPr>
    </w:lvl>
    <w:lvl w:ilvl="6" w:tentative="1">
      <w:start w:val="1"/>
      <w:numFmt w:val="decimal"/>
      <w:lvlText w:val="%7."/>
      <w:lvlJc w:val="left"/>
      <w:pPr>
        <w:ind w:left="5578" w:hanging="360"/>
      </w:pPr>
    </w:lvl>
    <w:lvl w:ilvl="7" w:tentative="1">
      <w:start w:val="1"/>
      <w:numFmt w:val="lowerLetter"/>
      <w:lvlText w:val="%8."/>
      <w:lvlJc w:val="left"/>
      <w:pPr>
        <w:ind w:left="6298" w:hanging="360"/>
      </w:pPr>
    </w:lvl>
    <w:lvl w:ilvl="8" w:tentative="1">
      <w:start w:val="1"/>
      <w:numFmt w:val="lowerRoman"/>
      <w:lvlText w:val="%9."/>
      <w:lvlJc w:val="right"/>
      <w:pPr>
        <w:ind w:left="7018" w:hanging="180"/>
      </w:pPr>
    </w:lvl>
  </w:abstractNum>
  <w:abstractNum w:abstractNumId="8">
    <w:nsid w:val="757D0F8D"/>
    <w:multiLevelType w:val="multilevel"/>
    <w:tmpl w:val="DBE687A6"/>
    <w:lvl w:ilvl="0">
      <w:start w:val="1"/>
      <w:numFmt w:val="decimal"/>
      <w:lvlText w:val="%1"/>
      <w:lvlJc w:val="left"/>
      <w:pPr>
        <w:ind w:left="694" w:hanging="576"/>
      </w:pPr>
      <w:rPr>
        <w:rFonts w:hint="default"/>
      </w:rPr>
    </w:lvl>
    <w:lvl w:ilvl="1">
      <w:start w:val="1"/>
      <w:numFmt w:val="decimal"/>
      <w:lvlText w:val="%1.%2."/>
      <w:lvlJc w:val="left"/>
      <w:pPr>
        <w:ind w:left="719" w:hanging="576"/>
      </w:pPr>
      <w:rPr>
        <w:rFonts w:ascii="Arial" w:eastAsia="Arial" w:hAnsi="Arial" w:cs="Arial" w:hint="default"/>
        <w:b/>
        <w:bCs/>
        <w:i/>
        <w:w w:val="99"/>
        <w:sz w:val="28"/>
        <w:szCs w:val="28"/>
      </w:rPr>
    </w:lvl>
    <w:lvl w:ilvl="2">
      <w:start w:val="0"/>
      <w:numFmt w:val="bullet"/>
      <w:lvlText w:val="•"/>
      <w:lvlJc w:val="left"/>
      <w:pPr>
        <w:ind w:left="1673" w:hanging="576"/>
      </w:pPr>
      <w:rPr>
        <w:rFonts w:hint="default"/>
      </w:rPr>
    </w:lvl>
    <w:lvl w:ilvl="3">
      <w:start w:val="0"/>
      <w:numFmt w:val="bullet"/>
      <w:lvlText w:val="•"/>
      <w:lvlJc w:val="left"/>
      <w:pPr>
        <w:ind w:left="2627" w:hanging="576"/>
      </w:pPr>
      <w:rPr>
        <w:rFonts w:hint="default"/>
      </w:rPr>
    </w:lvl>
    <w:lvl w:ilvl="4">
      <w:start w:val="0"/>
      <w:numFmt w:val="bullet"/>
      <w:lvlText w:val="•"/>
      <w:lvlJc w:val="left"/>
      <w:pPr>
        <w:ind w:left="3581" w:hanging="576"/>
      </w:pPr>
      <w:rPr>
        <w:rFonts w:hint="default"/>
      </w:rPr>
    </w:lvl>
    <w:lvl w:ilvl="5">
      <w:start w:val="0"/>
      <w:numFmt w:val="bullet"/>
      <w:lvlText w:val="•"/>
      <w:lvlJc w:val="left"/>
      <w:pPr>
        <w:ind w:left="4535" w:hanging="576"/>
      </w:pPr>
      <w:rPr>
        <w:rFonts w:hint="default"/>
      </w:rPr>
    </w:lvl>
    <w:lvl w:ilvl="6">
      <w:start w:val="0"/>
      <w:numFmt w:val="bullet"/>
      <w:lvlText w:val="•"/>
      <w:lvlJc w:val="left"/>
      <w:pPr>
        <w:ind w:left="5488" w:hanging="576"/>
      </w:pPr>
      <w:rPr>
        <w:rFonts w:hint="default"/>
      </w:rPr>
    </w:lvl>
    <w:lvl w:ilvl="7">
      <w:start w:val="0"/>
      <w:numFmt w:val="bullet"/>
      <w:lvlText w:val="•"/>
      <w:lvlJc w:val="left"/>
      <w:pPr>
        <w:ind w:left="6442" w:hanging="576"/>
      </w:pPr>
      <w:rPr>
        <w:rFonts w:hint="default"/>
      </w:rPr>
    </w:lvl>
    <w:lvl w:ilvl="8">
      <w:start w:val="0"/>
      <w:numFmt w:val="bullet"/>
      <w:lvlText w:val="•"/>
      <w:lvlJc w:val="left"/>
      <w:pPr>
        <w:ind w:left="7396" w:hanging="576"/>
      </w:pPr>
      <w:rPr>
        <w:rFonts w:hint="default"/>
      </w:rPr>
    </w:lvl>
  </w:abstractNum>
  <w:num w:numId="1">
    <w:abstractNumId w:val="6"/>
  </w:num>
  <w:num w:numId="2">
    <w:abstractNumId w:val="4"/>
  </w:num>
  <w:num w:numId="3">
    <w:abstractNumId w:val="0"/>
  </w:num>
  <w:num w:numId="4">
    <w:abstractNumId w:val="3"/>
  </w:num>
  <w:num w:numId="5">
    <w:abstractNumId w:val="8"/>
  </w:num>
  <w:num w:numId="6">
    <w:abstractNumId w:val="1"/>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5854EB"/>
    <w:rsid w:val="00023877"/>
    <w:rsid w:val="00074A1D"/>
    <w:rsid w:val="00075148"/>
    <w:rsid w:val="000757EA"/>
    <w:rsid w:val="000A4B5D"/>
    <w:rsid w:val="000F51A5"/>
    <w:rsid w:val="0026237B"/>
    <w:rsid w:val="00274B25"/>
    <w:rsid w:val="002D0361"/>
    <w:rsid w:val="003253B5"/>
    <w:rsid w:val="003D3ED2"/>
    <w:rsid w:val="003F0A7E"/>
    <w:rsid w:val="004509D5"/>
    <w:rsid w:val="0048519E"/>
    <w:rsid w:val="004A496A"/>
    <w:rsid w:val="004C6F9D"/>
    <w:rsid w:val="004D195F"/>
    <w:rsid w:val="004D4B41"/>
    <w:rsid w:val="0055487A"/>
    <w:rsid w:val="005854EB"/>
    <w:rsid w:val="005E17D5"/>
    <w:rsid w:val="00610724"/>
    <w:rsid w:val="006510E8"/>
    <w:rsid w:val="0065365E"/>
    <w:rsid w:val="006A0FCD"/>
    <w:rsid w:val="006A12F9"/>
    <w:rsid w:val="0074452E"/>
    <w:rsid w:val="00782C34"/>
    <w:rsid w:val="008155CE"/>
    <w:rsid w:val="0082547F"/>
    <w:rsid w:val="009A62BA"/>
    <w:rsid w:val="00AA0591"/>
    <w:rsid w:val="00B66362"/>
    <w:rsid w:val="00BB1E73"/>
    <w:rsid w:val="00BB3A80"/>
    <w:rsid w:val="00BD5888"/>
    <w:rsid w:val="00C02DFE"/>
    <w:rsid w:val="00C54FD7"/>
    <w:rsid w:val="00C8304A"/>
    <w:rsid w:val="00C974D5"/>
    <w:rsid w:val="00CA2D49"/>
    <w:rsid w:val="00CB07AF"/>
    <w:rsid w:val="00DB035F"/>
    <w:rsid w:val="00DB55A1"/>
    <w:rsid w:val="00E46FCF"/>
    <w:rsid w:val="00E67C92"/>
    <w:rsid w:val="00EA1401"/>
    <w:rsid w:val="00F23748"/>
    <w:rsid w:val="00F83C22"/>
    <w:rsid w:val="00FD5E06"/>
    <w:rsid w:val="00FE09F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B29EC7E5-B660-4E06-9FBA-BE2FE875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uiPriority w:val="1"/>
    <w:qFormat/>
    <w:rsid w:val="00BD5888"/>
    <w:pPr>
      <w:pageBreakBefore/>
      <w:spacing w:before="73"/>
      <w:ind w:left="618" w:hanging="499"/>
      <w:outlineLvl w:val="0"/>
    </w:pPr>
    <w:rPr>
      <w:rFonts w:ascii="Arial" w:eastAsia="Arial" w:hAnsi="Arial" w:cs="Arial"/>
      <w:b/>
      <w:bCs/>
      <w:sz w:val="28"/>
      <w:szCs w:val="28"/>
    </w:rPr>
  </w:style>
  <w:style w:type="paragraph" w:styleId="Heading2">
    <w:name w:val="heading 2"/>
    <w:basedOn w:val="Normal"/>
    <w:uiPriority w:val="1"/>
    <w:qFormat/>
    <w:rsid w:val="008155CE"/>
    <w:pPr>
      <w:spacing w:before="244" w:after="240"/>
      <w:ind w:left="720" w:hanging="601"/>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253B5"/>
    <w:pPr>
      <w:spacing w:before="129"/>
      <w:ind w:left="1503" w:right="567" w:hanging="601"/>
    </w:pPr>
    <w:rPr>
      <w:rFonts w:ascii="Times New Roman" w:eastAsia="Times New Roman" w:hAnsi="Times New Roman" w:cs="Times New Roman"/>
      <w:b/>
      <w:bCs/>
      <w:sz w:val="24"/>
      <w:szCs w:val="24"/>
    </w:rPr>
  </w:style>
  <w:style w:type="paragraph" w:styleId="TOC2">
    <w:name w:val="toc 2"/>
    <w:basedOn w:val="Normal"/>
    <w:uiPriority w:val="39"/>
    <w:qFormat/>
    <w:rsid w:val="003253B5"/>
    <w:pPr>
      <w:ind w:left="1503" w:right="567" w:hanging="601"/>
    </w:pPr>
    <w:rPr>
      <w:rFonts w:ascii="Times New Roman" w:eastAsia="Times New Roman" w:hAnsi="Times New Roman" w:cs="Times New Roman"/>
      <w:sz w:val="24"/>
      <w:szCs w:val="24"/>
    </w:rPr>
  </w:style>
  <w:style w:type="paragraph" w:styleId="TOC3">
    <w:name w:val="toc 3"/>
    <w:basedOn w:val="Normal"/>
    <w:uiPriority w:val="1"/>
    <w:qFormat/>
    <w:pPr>
      <w:spacing w:line="275" w:lineRule="exact"/>
      <w:ind w:left="1498"/>
    </w:pPr>
    <w:rPr>
      <w:rFonts w:ascii="Times New Roman" w:eastAsia="Times New Roman" w:hAnsi="Times New Roman" w:cs="Times New Roman"/>
      <w:sz w:val="24"/>
      <w:szCs w:val="24"/>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19" w:hanging="600"/>
    </w:pPr>
  </w:style>
  <w:style w:type="paragraph" w:customStyle="1" w:styleId="TableParagraph">
    <w:name w:val="Table Paragraph"/>
    <w:basedOn w:val="Normal"/>
    <w:uiPriority w:val="1"/>
    <w:qFormat/>
  </w:style>
  <w:style w:type="table" w:styleId="TableGrid">
    <w:name w:val="Table Grid"/>
    <w:basedOn w:val="TableNormal"/>
    <w:uiPriority w:val="39"/>
    <w:rsid w:val="003F0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A1401"/>
    <w:pPr>
      <w:keepNext/>
      <w:keepLines/>
      <w:pageBreakBefore w:val="0"/>
      <w:widowControl/>
      <w:autoSpaceDE/>
      <w:autoSpaceDN/>
      <w:spacing w:before="0"/>
      <w:ind w:left="0" w:firstLine="0"/>
      <w:outlineLvl w:val="9"/>
    </w:pPr>
    <w:rPr>
      <w:rFonts w:asciiTheme="majorHAnsi" w:eastAsiaTheme="majorEastAsia" w:hAnsiTheme="majorHAnsi" w:cstheme="majorBidi"/>
      <w:b w:val="0"/>
      <w:bCs w:val="0"/>
      <w:sz w:val="4"/>
      <w:szCs w:val="32"/>
    </w:rPr>
  </w:style>
  <w:style w:type="character" w:styleId="Hyperlink">
    <w:name w:val="Hyperlink"/>
    <w:basedOn w:val="DefaultParagraphFont"/>
    <w:uiPriority w:val="99"/>
    <w:unhideWhenUsed/>
    <w:rsid w:val="00EA1401"/>
    <w:rPr>
      <w:color w:val="0000FF" w:themeColor="hyperlink"/>
      <w:u w:val="single"/>
    </w:rPr>
  </w:style>
  <w:style w:type="paragraph" w:styleId="Header">
    <w:name w:val="header"/>
    <w:basedOn w:val="Normal"/>
    <w:link w:val="HeaderChar"/>
    <w:uiPriority w:val="99"/>
    <w:unhideWhenUsed/>
    <w:rsid w:val="003253B5"/>
    <w:pPr>
      <w:tabs>
        <w:tab w:val="center" w:pos="4703"/>
        <w:tab w:val="right" w:pos="9406"/>
      </w:tabs>
    </w:pPr>
  </w:style>
  <w:style w:type="character" w:customStyle="1" w:styleId="HeaderChar">
    <w:name w:val="Header Char"/>
    <w:basedOn w:val="DefaultParagraphFont"/>
    <w:link w:val="Header"/>
    <w:uiPriority w:val="99"/>
    <w:rsid w:val="003253B5"/>
    <w:rPr>
      <w:rFonts w:ascii="Arial" w:eastAsia="Arial" w:hAnsi="Arial" w:cs="Arial"/>
    </w:rPr>
  </w:style>
  <w:style w:type="paragraph" w:styleId="Footer">
    <w:name w:val="footer"/>
    <w:basedOn w:val="Normal"/>
    <w:link w:val="FooterChar"/>
    <w:uiPriority w:val="99"/>
    <w:unhideWhenUsed/>
    <w:rsid w:val="003253B5"/>
    <w:pPr>
      <w:tabs>
        <w:tab w:val="center" w:pos="4703"/>
        <w:tab w:val="right" w:pos="9406"/>
      </w:tabs>
    </w:pPr>
  </w:style>
  <w:style w:type="character" w:customStyle="1" w:styleId="FooterChar">
    <w:name w:val="Footer Char"/>
    <w:basedOn w:val="DefaultParagraphFont"/>
    <w:link w:val="Footer"/>
    <w:uiPriority w:val="99"/>
    <w:rsid w:val="003253B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footer" Target="footer3.xml" /><Relationship Id="rId12" Type="http://schemas.openxmlformats.org/officeDocument/2006/relationships/image" Target="media/image5.png" /><Relationship Id="rId13" Type="http://schemas.openxmlformats.org/officeDocument/2006/relationships/footer" Target="footer4.xml" /><Relationship Id="rId14" Type="http://schemas.openxmlformats.org/officeDocument/2006/relationships/image" Target="media/image6.jpeg" /><Relationship Id="rId15" Type="http://schemas.openxmlformats.org/officeDocument/2006/relationships/image" Target="media/image7.jpeg" /><Relationship Id="rId16" Type="http://schemas.openxmlformats.org/officeDocument/2006/relationships/image" Target="media/image8.pn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jpe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A69D8-444D-4912-825F-EEB684F0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28</Pages>
  <Words>6777</Words>
  <Characters>38634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45321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CDT</cp:lastModifiedBy>
  <cp:revision>23</cp:revision>
  <cp:lastPrinted>2018-01-15T16:46:00Z</cp:lastPrinted>
  <dcterms:created xsi:type="dcterms:W3CDTF">2017-12-21T09:02:00Z</dcterms:created>
  <dcterms:modified xsi:type="dcterms:W3CDTF">2018-02-12T13:13:00Z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Aspose Ltd.</vt:lpwstr>
  </property>
  <property fmtid="{D5CDD505-2E9C-101B-9397-08002B2CF9AE}" pid="4" name="LastSaved">
    <vt:filetime>2017-12-21T00:00:00Z</vt:filetime>
  </property>
</Properties>
</file>